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58627" w14:textId="77777777" w:rsidR="00C646B6" w:rsidRPr="00C560A2" w:rsidRDefault="01415C72" w:rsidP="00C560A2">
      <w:pPr>
        <w:pStyle w:val="ListParagraph"/>
        <w:numPr>
          <w:ilvl w:val="0"/>
          <w:numId w:val="14"/>
        </w:numPr>
        <w:spacing w:after="0" w:line="240" w:lineRule="auto"/>
        <w:jc w:val="both"/>
        <w:rPr>
          <w:rFonts w:eastAsiaTheme="majorEastAsia"/>
          <w:b/>
          <w:bCs/>
          <w:color w:val="000000" w:themeColor="text1"/>
        </w:rPr>
      </w:pPr>
      <w:r w:rsidRPr="00C560A2">
        <w:rPr>
          <w:rFonts w:eastAsiaTheme="majorEastAsia"/>
          <w:b/>
          <w:bCs/>
          <w:color w:val="000000" w:themeColor="text1"/>
        </w:rPr>
        <w:t>Brief Description</w:t>
      </w:r>
      <w:r w:rsidRPr="00C560A2">
        <w:rPr>
          <w:rFonts w:eastAsiaTheme="majorEastAsia"/>
          <w:color w:val="000000" w:themeColor="text1"/>
        </w:rPr>
        <w:t xml:space="preserve"> </w:t>
      </w:r>
    </w:p>
    <w:p w14:paraId="57F878BB" w14:textId="77777777" w:rsidR="002642EA" w:rsidRPr="00C560A2" w:rsidRDefault="002642EA" w:rsidP="00C560A2">
      <w:pPr>
        <w:pStyle w:val="NoSpacing"/>
        <w:jc w:val="both"/>
        <w:rPr>
          <w:color w:val="000000" w:themeColor="text1"/>
        </w:rPr>
      </w:pPr>
      <w:r w:rsidRPr="00C560A2">
        <w:rPr>
          <w:i/>
          <w:color w:val="000000" w:themeColor="text1"/>
        </w:rPr>
        <w:t xml:space="preserve">Growth Area </w:t>
      </w:r>
      <w:r w:rsidR="00F968F4" w:rsidRPr="00C560A2">
        <w:rPr>
          <w:i/>
          <w:color w:val="000000" w:themeColor="text1"/>
        </w:rPr>
        <w:t>2 &amp; 3</w:t>
      </w:r>
      <w:r w:rsidRPr="00C560A2">
        <w:rPr>
          <w:i/>
          <w:color w:val="000000" w:themeColor="text1"/>
        </w:rPr>
        <w:t>:</w:t>
      </w:r>
      <w:r w:rsidRPr="00C560A2">
        <w:rPr>
          <w:color w:val="000000" w:themeColor="text1"/>
        </w:rPr>
        <w:t xml:space="preserve"> </w:t>
      </w:r>
      <w:r w:rsidRPr="00C560A2">
        <w:rPr>
          <w:color w:val="000000" w:themeColor="text1"/>
        </w:rPr>
        <w:tab/>
      </w:r>
      <w:r w:rsidRPr="00C560A2">
        <w:rPr>
          <w:color w:val="000000" w:themeColor="text1"/>
        </w:rPr>
        <w:tab/>
      </w:r>
      <w:r w:rsidR="0071041E" w:rsidRPr="00C560A2">
        <w:rPr>
          <w:color w:val="000000" w:themeColor="text1"/>
        </w:rPr>
        <w:t>Alternative financing and private sector</w:t>
      </w:r>
    </w:p>
    <w:p w14:paraId="723C93CB" w14:textId="77777777" w:rsidR="002642EA" w:rsidRPr="00C560A2" w:rsidRDefault="002642EA" w:rsidP="00C560A2">
      <w:pPr>
        <w:pStyle w:val="NoSpacing"/>
        <w:jc w:val="both"/>
        <w:rPr>
          <w:color w:val="000000" w:themeColor="text1"/>
        </w:rPr>
      </w:pPr>
      <w:r w:rsidRPr="00C560A2">
        <w:rPr>
          <w:i/>
          <w:color w:val="000000" w:themeColor="text1"/>
        </w:rPr>
        <w:t>Thematic Area 1:</w:t>
      </w:r>
      <w:r w:rsidRPr="00C560A2">
        <w:rPr>
          <w:color w:val="000000" w:themeColor="text1"/>
        </w:rPr>
        <w:tab/>
      </w:r>
      <w:r w:rsidR="0071041E" w:rsidRPr="00C560A2">
        <w:rPr>
          <w:color w:val="000000" w:themeColor="text1"/>
        </w:rPr>
        <w:tab/>
      </w:r>
      <w:r w:rsidRPr="00C560A2">
        <w:rPr>
          <w:color w:val="000000" w:themeColor="text1"/>
        </w:rPr>
        <w:t>Sustainable development</w:t>
      </w:r>
    </w:p>
    <w:p w14:paraId="18FEC83D" w14:textId="77777777" w:rsidR="002642EA" w:rsidRPr="00C560A2" w:rsidRDefault="002642EA" w:rsidP="00C560A2">
      <w:pPr>
        <w:pStyle w:val="NoSpacing"/>
        <w:jc w:val="both"/>
        <w:rPr>
          <w:color w:val="000000" w:themeColor="text1"/>
        </w:rPr>
      </w:pPr>
    </w:p>
    <w:p w14:paraId="01547872" w14:textId="2B120E82" w:rsidR="00272597" w:rsidRPr="00C560A2" w:rsidRDefault="00A368A0" w:rsidP="00C560A2">
      <w:pPr>
        <w:pStyle w:val="NoSpacing"/>
        <w:jc w:val="both"/>
        <w:rPr>
          <w:color w:val="000000" w:themeColor="text1"/>
        </w:rPr>
      </w:pPr>
      <w:r w:rsidRPr="00C560A2">
        <w:rPr>
          <w:color w:val="000000" w:themeColor="text1"/>
        </w:rPr>
        <w:t>UNDP Albania</w:t>
      </w:r>
      <w:r w:rsidR="004E04A7" w:rsidRPr="00C560A2">
        <w:rPr>
          <w:color w:val="000000" w:themeColor="text1"/>
        </w:rPr>
        <w:t xml:space="preserve"> proposed interventi</w:t>
      </w:r>
      <w:r w:rsidR="00491D27" w:rsidRPr="00C560A2">
        <w:rPr>
          <w:color w:val="000000" w:themeColor="text1"/>
        </w:rPr>
        <w:t xml:space="preserve">on </w:t>
      </w:r>
      <w:r w:rsidR="002B4D76" w:rsidRPr="00C560A2">
        <w:rPr>
          <w:color w:val="000000" w:themeColor="text1"/>
        </w:rPr>
        <w:t>seeks to mobilise private sector financing for</w:t>
      </w:r>
      <w:r w:rsidR="00491D27" w:rsidRPr="00C560A2">
        <w:rPr>
          <w:color w:val="000000" w:themeColor="text1"/>
        </w:rPr>
        <w:t xml:space="preserve"> piloting </w:t>
      </w:r>
      <w:r w:rsidR="004E04A7" w:rsidRPr="00C560A2">
        <w:rPr>
          <w:color w:val="000000" w:themeColor="text1"/>
        </w:rPr>
        <w:t xml:space="preserve">of an Employment and Skills Development </w:t>
      </w:r>
      <w:r w:rsidR="005D2ABE" w:rsidRPr="00C560A2">
        <w:rPr>
          <w:color w:val="000000" w:themeColor="text1"/>
        </w:rPr>
        <w:t>F</w:t>
      </w:r>
      <w:r w:rsidR="004E04A7" w:rsidRPr="00C560A2">
        <w:rPr>
          <w:color w:val="000000" w:themeColor="text1"/>
        </w:rPr>
        <w:t>und for persons with disabilities</w:t>
      </w:r>
      <w:r w:rsidR="00442FC8" w:rsidRPr="00C560A2">
        <w:rPr>
          <w:color w:val="000000" w:themeColor="text1"/>
        </w:rPr>
        <w:t>, whose employment and training needs remain largely unaddressed</w:t>
      </w:r>
      <w:r w:rsidR="005D2ABE" w:rsidRPr="00C560A2">
        <w:rPr>
          <w:color w:val="000000" w:themeColor="text1"/>
        </w:rPr>
        <w:t>.</w:t>
      </w:r>
      <w:r w:rsidR="00266E17" w:rsidRPr="00C560A2">
        <w:rPr>
          <w:color w:val="000000" w:themeColor="text1"/>
        </w:rPr>
        <w:t xml:space="preserve"> </w:t>
      </w:r>
      <w:r w:rsidR="00442FC8" w:rsidRPr="00C560A2">
        <w:rPr>
          <w:color w:val="000000" w:themeColor="text1"/>
        </w:rPr>
        <w:t xml:space="preserve">The </w:t>
      </w:r>
      <w:r w:rsidR="00266E17" w:rsidRPr="00C560A2">
        <w:rPr>
          <w:color w:val="000000" w:themeColor="text1"/>
        </w:rPr>
        <w:t xml:space="preserve">relevant </w:t>
      </w:r>
      <w:r w:rsidR="00442FC8" w:rsidRPr="00C560A2">
        <w:rPr>
          <w:color w:val="000000" w:themeColor="text1"/>
        </w:rPr>
        <w:t>government legal framework</w:t>
      </w:r>
      <w:r w:rsidR="002B4D76" w:rsidRPr="00C560A2">
        <w:rPr>
          <w:color w:val="000000" w:themeColor="text1"/>
        </w:rPr>
        <w:t xml:space="preserve"> currently in place</w:t>
      </w:r>
      <w:r w:rsidR="00442FC8" w:rsidRPr="00C560A2">
        <w:rPr>
          <w:color w:val="000000" w:themeColor="text1"/>
        </w:rPr>
        <w:t xml:space="preserve"> </w:t>
      </w:r>
      <w:r w:rsidR="00266E17" w:rsidRPr="00C560A2">
        <w:rPr>
          <w:color w:val="000000" w:themeColor="text1"/>
        </w:rPr>
        <w:t xml:space="preserve">has </w:t>
      </w:r>
      <w:r w:rsidR="002B4D76" w:rsidRPr="00C560A2">
        <w:rPr>
          <w:color w:val="000000" w:themeColor="text1"/>
        </w:rPr>
        <w:t xml:space="preserve">not been implemented and has </w:t>
      </w:r>
      <w:r w:rsidR="00266E17" w:rsidRPr="00C560A2">
        <w:rPr>
          <w:color w:val="000000" w:themeColor="text1"/>
        </w:rPr>
        <w:t>failed to instigate concrete results.</w:t>
      </w:r>
      <w:r w:rsidR="00491D27" w:rsidRPr="00C560A2">
        <w:rPr>
          <w:color w:val="000000" w:themeColor="text1"/>
        </w:rPr>
        <w:t xml:space="preserve"> </w:t>
      </w:r>
      <w:r w:rsidR="00266E17" w:rsidRPr="00723527">
        <w:rPr>
          <w:b/>
          <w:color w:val="000000" w:themeColor="text1"/>
        </w:rPr>
        <w:t>To date people with disabilities are recipients of passive disability benefits (over 150,000</w:t>
      </w:r>
      <w:r w:rsidR="00E67CFA" w:rsidRPr="00723527">
        <w:rPr>
          <w:b/>
          <w:color w:val="000000" w:themeColor="text1"/>
        </w:rPr>
        <w:t xml:space="preserve">), which is disproportionate to the numbers of those </w:t>
      </w:r>
      <w:r w:rsidR="00266E17" w:rsidRPr="00723527">
        <w:rPr>
          <w:b/>
          <w:color w:val="000000" w:themeColor="text1"/>
        </w:rPr>
        <w:t>actively seeking employment</w:t>
      </w:r>
      <w:r w:rsidR="00E67CFA" w:rsidRPr="00723527">
        <w:rPr>
          <w:b/>
          <w:color w:val="000000" w:themeColor="text1"/>
        </w:rPr>
        <w:t xml:space="preserve"> (less than 500</w:t>
      </w:r>
      <w:r w:rsidR="00266E17" w:rsidRPr="00723527">
        <w:rPr>
          <w:b/>
          <w:color w:val="000000" w:themeColor="text1"/>
        </w:rPr>
        <w:t>)</w:t>
      </w:r>
      <w:r w:rsidR="00266E17" w:rsidRPr="00C560A2">
        <w:rPr>
          <w:color w:val="000000" w:themeColor="text1"/>
        </w:rPr>
        <w:t xml:space="preserve">. </w:t>
      </w:r>
      <w:r w:rsidR="00FD258D" w:rsidRPr="00C560A2">
        <w:rPr>
          <w:color w:val="000000" w:themeColor="text1"/>
        </w:rPr>
        <w:t xml:space="preserve">The </w:t>
      </w:r>
      <w:r w:rsidR="00FD258D" w:rsidRPr="00C560A2">
        <w:rPr>
          <w:b/>
          <w:bCs/>
          <w:i/>
          <w:iCs/>
          <w:color w:val="000000" w:themeColor="text1"/>
        </w:rPr>
        <w:t>overall aim</w:t>
      </w:r>
      <w:r w:rsidR="00FD258D" w:rsidRPr="00C560A2">
        <w:rPr>
          <w:color w:val="000000" w:themeColor="text1"/>
        </w:rPr>
        <w:t xml:space="preserve"> is to</w:t>
      </w:r>
      <w:r w:rsidR="00077353" w:rsidRPr="00C560A2">
        <w:rPr>
          <w:color w:val="000000" w:themeColor="text1"/>
        </w:rPr>
        <w:t xml:space="preserve"> convene the private sector and </w:t>
      </w:r>
      <w:r w:rsidR="0071041E" w:rsidRPr="00C560A2">
        <w:rPr>
          <w:color w:val="000000" w:themeColor="text1"/>
        </w:rPr>
        <w:t>catalyze</w:t>
      </w:r>
      <w:r w:rsidR="00077353" w:rsidRPr="00C560A2">
        <w:rPr>
          <w:color w:val="000000" w:themeColor="text1"/>
        </w:rPr>
        <w:t xml:space="preserve"> their capital for social and developmental impact</w:t>
      </w:r>
      <w:r w:rsidRPr="00C560A2">
        <w:rPr>
          <w:color w:val="000000" w:themeColor="text1"/>
        </w:rPr>
        <w:t xml:space="preserve"> and to address this discrepancy</w:t>
      </w:r>
      <w:r w:rsidR="00097C1E" w:rsidRPr="00C560A2">
        <w:rPr>
          <w:color w:val="000000" w:themeColor="text1"/>
        </w:rPr>
        <w:t xml:space="preserve"> </w:t>
      </w:r>
      <w:r w:rsidR="00097C1E" w:rsidRPr="007A7BB2">
        <w:rPr>
          <w:b/>
          <w:i/>
          <w:color w:val="000000" w:themeColor="text1"/>
        </w:rPr>
        <w:t>through a</w:t>
      </w:r>
      <w:r w:rsidR="00311ECF" w:rsidRPr="007A7BB2">
        <w:rPr>
          <w:b/>
          <w:i/>
          <w:color w:val="000000" w:themeColor="text1"/>
        </w:rPr>
        <w:t xml:space="preserve"> social</w:t>
      </w:r>
      <w:r w:rsidR="00097C1E" w:rsidRPr="007A7BB2">
        <w:rPr>
          <w:b/>
          <w:i/>
          <w:color w:val="000000" w:themeColor="text1"/>
        </w:rPr>
        <w:t xml:space="preserve"> impact fund</w:t>
      </w:r>
      <w:r w:rsidR="00077353" w:rsidRPr="007A7BB2">
        <w:rPr>
          <w:color w:val="000000" w:themeColor="text1"/>
        </w:rPr>
        <w:t>.</w:t>
      </w:r>
      <w:r w:rsidR="00097C1E" w:rsidRPr="00C560A2">
        <w:rPr>
          <w:color w:val="000000" w:themeColor="text1"/>
        </w:rPr>
        <w:t xml:space="preserve"> </w:t>
      </w:r>
    </w:p>
    <w:p w14:paraId="209D6E4E" w14:textId="77777777" w:rsidR="00272597" w:rsidRPr="00C560A2" w:rsidRDefault="00272597" w:rsidP="00C560A2">
      <w:pPr>
        <w:pStyle w:val="NoSpacing"/>
        <w:jc w:val="both"/>
        <w:rPr>
          <w:color w:val="000000" w:themeColor="text1"/>
        </w:rPr>
      </w:pPr>
    </w:p>
    <w:p w14:paraId="529D655A" w14:textId="43DF6C28" w:rsidR="006B7504" w:rsidRPr="00C560A2" w:rsidRDefault="00097C1E" w:rsidP="00C560A2">
      <w:pPr>
        <w:pStyle w:val="NoSpacing"/>
        <w:jc w:val="both"/>
        <w:rPr>
          <w:color w:val="000000" w:themeColor="text1"/>
        </w:rPr>
      </w:pPr>
      <w:r w:rsidRPr="00C560A2">
        <w:rPr>
          <w:color w:val="000000" w:themeColor="text1"/>
        </w:rPr>
        <w:t>In Al</w:t>
      </w:r>
      <w:r w:rsidR="00B70EE3" w:rsidRPr="00C560A2">
        <w:rPr>
          <w:color w:val="000000" w:themeColor="text1"/>
        </w:rPr>
        <w:t>b</w:t>
      </w:r>
      <w:r w:rsidRPr="00C560A2">
        <w:rPr>
          <w:color w:val="000000" w:themeColor="text1"/>
        </w:rPr>
        <w:t xml:space="preserve">ania, private sector financing and government cost-sharing for issues of human and social rights are </w:t>
      </w:r>
      <w:r w:rsidR="003D10AE" w:rsidRPr="00C560A2">
        <w:rPr>
          <w:color w:val="000000" w:themeColor="text1"/>
        </w:rPr>
        <w:t xml:space="preserve">very </w:t>
      </w:r>
      <w:r w:rsidRPr="00C560A2">
        <w:rPr>
          <w:color w:val="000000" w:themeColor="text1"/>
        </w:rPr>
        <w:t>limited, even though the commitment to the agenda and will are present.</w:t>
      </w:r>
      <w:r w:rsidR="007246A7" w:rsidRPr="00C560A2">
        <w:rPr>
          <w:color w:val="000000" w:themeColor="text1"/>
        </w:rPr>
        <w:t xml:space="preserve"> This is especially so for the rights and services of PWD and Roma and Egyptian communities. The proposal will </w:t>
      </w:r>
      <w:r w:rsidR="00A029CA" w:rsidRPr="00C560A2">
        <w:rPr>
          <w:color w:val="000000" w:themeColor="text1"/>
        </w:rPr>
        <w:t>fill this gap</w:t>
      </w:r>
      <w:r w:rsidR="007246A7" w:rsidRPr="00C560A2">
        <w:rPr>
          <w:color w:val="000000" w:themeColor="text1"/>
        </w:rPr>
        <w:t xml:space="preserve"> and provide the practical means of how to direct the funds as well as pilot targeted programmes.</w:t>
      </w:r>
      <w:r w:rsidRPr="00C560A2">
        <w:rPr>
          <w:color w:val="000000" w:themeColor="text1"/>
        </w:rPr>
        <w:t xml:space="preserve"> </w:t>
      </w:r>
      <w:r w:rsidR="00272597" w:rsidRPr="00C560A2">
        <w:rPr>
          <w:color w:val="000000" w:themeColor="text1"/>
        </w:rPr>
        <w:t xml:space="preserve">The </w:t>
      </w:r>
      <w:r w:rsidR="007246A7" w:rsidRPr="00C560A2">
        <w:rPr>
          <w:b/>
          <w:i/>
          <w:color w:val="000000" w:themeColor="text1"/>
        </w:rPr>
        <w:t>specific</w:t>
      </w:r>
      <w:r w:rsidR="007246A7" w:rsidRPr="00C560A2">
        <w:rPr>
          <w:color w:val="000000" w:themeColor="text1"/>
        </w:rPr>
        <w:t xml:space="preserve"> </w:t>
      </w:r>
      <w:r w:rsidR="00272597" w:rsidRPr="00C560A2">
        <w:rPr>
          <w:b/>
          <w:bCs/>
          <w:i/>
          <w:iCs/>
          <w:color w:val="000000" w:themeColor="text1"/>
        </w:rPr>
        <w:t>objectives</w:t>
      </w:r>
      <w:r w:rsidR="00272597" w:rsidRPr="00C560A2">
        <w:rPr>
          <w:color w:val="000000" w:themeColor="text1"/>
        </w:rPr>
        <w:t xml:space="preserve"> of the proposal are multiple</w:t>
      </w:r>
      <w:r w:rsidR="00D84CC5" w:rsidRPr="00C560A2">
        <w:rPr>
          <w:color w:val="000000" w:themeColor="text1"/>
        </w:rPr>
        <w:t>, to</w:t>
      </w:r>
      <w:r w:rsidR="00272597" w:rsidRPr="00C560A2">
        <w:rPr>
          <w:color w:val="000000" w:themeColor="text1"/>
        </w:rPr>
        <w:t xml:space="preserve"> 1) </w:t>
      </w:r>
      <w:r w:rsidR="00D84CC5" w:rsidRPr="00C560A2">
        <w:rPr>
          <w:color w:val="000000" w:themeColor="text1"/>
        </w:rPr>
        <w:t>l</w:t>
      </w:r>
      <w:r w:rsidR="00272597" w:rsidRPr="00C560A2">
        <w:rPr>
          <w:color w:val="000000" w:themeColor="text1"/>
        </w:rPr>
        <w:t>everage the significantly larger capital, equity and assets of the private sector for a social cause</w:t>
      </w:r>
      <w:r w:rsidR="006B7504" w:rsidRPr="00C560A2">
        <w:rPr>
          <w:color w:val="000000" w:themeColor="text1"/>
        </w:rPr>
        <w:t xml:space="preserve"> with the ultimate aim </w:t>
      </w:r>
      <w:r w:rsidR="00B60904" w:rsidRPr="00C560A2">
        <w:rPr>
          <w:color w:val="000000" w:themeColor="text1"/>
        </w:rPr>
        <w:t xml:space="preserve">of </w:t>
      </w:r>
      <w:r w:rsidR="006B7504" w:rsidRPr="00C560A2">
        <w:rPr>
          <w:color w:val="000000" w:themeColor="text1"/>
        </w:rPr>
        <w:t xml:space="preserve">raising income of people with disabilities by providing them with opportunities/interventions to acquire productive skills and strive towards independent lives; 2) </w:t>
      </w:r>
      <w:r w:rsidR="00D84CC5" w:rsidRPr="00C560A2">
        <w:rPr>
          <w:color w:val="000000" w:themeColor="text1"/>
        </w:rPr>
        <w:t>o</w:t>
      </w:r>
      <w:r w:rsidR="006B7504" w:rsidRPr="00C560A2">
        <w:rPr>
          <w:color w:val="000000" w:themeColor="text1"/>
        </w:rPr>
        <w:t>perationalizing the Government law in favour of persons with disabilities and setting up the Fund and mechanism for private investments</w:t>
      </w:r>
      <w:r w:rsidR="0075609D" w:rsidRPr="00C560A2">
        <w:rPr>
          <w:color w:val="000000" w:themeColor="text1"/>
        </w:rPr>
        <w:t xml:space="preserve"> and government cost-sharing</w:t>
      </w:r>
      <w:r w:rsidR="006B7504" w:rsidRPr="00C560A2">
        <w:rPr>
          <w:color w:val="000000" w:themeColor="text1"/>
        </w:rPr>
        <w:t>,</w:t>
      </w:r>
      <w:r w:rsidR="00B60904" w:rsidRPr="00C560A2">
        <w:rPr>
          <w:color w:val="000000" w:themeColor="text1"/>
        </w:rPr>
        <w:t xml:space="preserve"> and eventually for</w:t>
      </w:r>
      <w:r w:rsidR="00D84CC5" w:rsidRPr="00C560A2">
        <w:rPr>
          <w:color w:val="000000" w:themeColor="text1"/>
        </w:rPr>
        <w:t xml:space="preserve"> </w:t>
      </w:r>
      <w:r w:rsidR="006B7504" w:rsidRPr="00C560A2">
        <w:rPr>
          <w:color w:val="000000" w:themeColor="text1"/>
        </w:rPr>
        <w:t>loans and levies for future blended financing;</w:t>
      </w:r>
      <w:r w:rsidR="00D84CC5" w:rsidRPr="00C560A2">
        <w:rPr>
          <w:color w:val="000000" w:themeColor="text1"/>
        </w:rPr>
        <w:t xml:space="preserve"> and</w:t>
      </w:r>
      <w:r w:rsidR="006B7504" w:rsidRPr="00C560A2">
        <w:rPr>
          <w:color w:val="000000" w:themeColor="text1"/>
        </w:rPr>
        <w:t xml:space="preserve"> 3) </w:t>
      </w:r>
      <w:r w:rsidR="00D84CC5" w:rsidRPr="00C560A2">
        <w:rPr>
          <w:color w:val="000000" w:themeColor="text1"/>
        </w:rPr>
        <w:t>p</w:t>
      </w:r>
      <w:r w:rsidR="006B7504" w:rsidRPr="00C560A2">
        <w:rPr>
          <w:color w:val="000000" w:themeColor="text1"/>
        </w:rPr>
        <w:t>romoting social impact investments and public private partnerships.</w:t>
      </w:r>
    </w:p>
    <w:p w14:paraId="7B4609D1" w14:textId="77777777" w:rsidR="0071041E" w:rsidRPr="00C560A2" w:rsidRDefault="0071041E" w:rsidP="00C560A2">
      <w:pPr>
        <w:pStyle w:val="NoSpacing"/>
        <w:jc w:val="both"/>
        <w:rPr>
          <w:color w:val="000000" w:themeColor="text1"/>
        </w:rPr>
      </w:pPr>
    </w:p>
    <w:p w14:paraId="48F39076" w14:textId="6D4509BA" w:rsidR="007E2607" w:rsidRPr="00C560A2" w:rsidRDefault="006B7504" w:rsidP="00C560A2">
      <w:pPr>
        <w:pStyle w:val="NoSpacing"/>
        <w:jc w:val="both"/>
        <w:rPr>
          <w:color w:val="000000" w:themeColor="text1"/>
        </w:rPr>
      </w:pPr>
      <w:r w:rsidRPr="00C560A2">
        <w:rPr>
          <w:color w:val="000000" w:themeColor="text1"/>
        </w:rPr>
        <w:t xml:space="preserve">The intervention </w:t>
      </w:r>
      <w:r w:rsidR="00491D27" w:rsidRPr="00C560A2">
        <w:rPr>
          <w:color w:val="000000" w:themeColor="text1"/>
        </w:rPr>
        <w:t xml:space="preserve">will seek to reach people not covered by mainstream interventions such as </w:t>
      </w:r>
      <w:r w:rsidR="007E2607" w:rsidRPr="00C560A2">
        <w:rPr>
          <w:color w:val="000000" w:themeColor="text1"/>
        </w:rPr>
        <w:t xml:space="preserve">the </w:t>
      </w:r>
      <w:r w:rsidR="00491D27" w:rsidRPr="00C560A2">
        <w:rPr>
          <w:color w:val="000000" w:themeColor="text1"/>
        </w:rPr>
        <w:t>active labour market programmes</w:t>
      </w:r>
      <w:r w:rsidR="007E2607" w:rsidRPr="00C560A2">
        <w:rPr>
          <w:color w:val="000000" w:themeColor="text1"/>
        </w:rPr>
        <w:t xml:space="preserve"> implemented by the National Employment Service</w:t>
      </w:r>
      <w:r w:rsidR="00491D27" w:rsidRPr="00C560A2">
        <w:rPr>
          <w:color w:val="000000" w:themeColor="text1"/>
        </w:rPr>
        <w:t xml:space="preserve">. </w:t>
      </w:r>
      <w:r w:rsidR="005122F6" w:rsidRPr="00C560A2">
        <w:rPr>
          <w:color w:val="000000" w:themeColor="text1"/>
        </w:rPr>
        <w:t>It builds on the Government’s own policies and systems, as well as years of UNDP leadership and programming</w:t>
      </w:r>
      <w:r w:rsidR="00935D6C" w:rsidRPr="00C560A2">
        <w:rPr>
          <w:color w:val="000000" w:themeColor="text1"/>
        </w:rPr>
        <w:t xml:space="preserve">. </w:t>
      </w:r>
      <w:r w:rsidRPr="00C560A2">
        <w:rPr>
          <w:color w:val="000000" w:themeColor="text1"/>
        </w:rPr>
        <w:t xml:space="preserve">It will </w:t>
      </w:r>
      <w:r w:rsidRPr="00C560A2">
        <w:rPr>
          <w:b/>
          <w:bCs/>
          <w:i/>
          <w:iCs/>
          <w:color w:val="000000" w:themeColor="text1"/>
        </w:rPr>
        <w:t>result</w:t>
      </w:r>
      <w:r w:rsidRPr="00C560A2">
        <w:rPr>
          <w:color w:val="000000" w:themeColor="text1"/>
        </w:rPr>
        <w:t xml:space="preserve"> in </w:t>
      </w:r>
      <w:r w:rsidR="00B60904" w:rsidRPr="00C560A2">
        <w:rPr>
          <w:color w:val="000000" w:themeColor="text1"/>
        </w:rPr>
        <w:t xml:space="preserve">a) </w:t>
      </w:r>
      <w:r w:rsidRPr="00C560A2">
        <w:rPr>
          <w:color w:val="000000" w:themeColor="text1"/>
        </w:rPr>
        <w:t xml:space="preserve">the set-up and operationalization of the </w:t>
      </w:r>
      <w:r w:rsidR="005E000A" w:rsidRPr="00C560A2">
        <w:rPr>
          <w:color w:val="000000" w:themeColor="text1"/>
        </w:rPr>
        <w:t>Employment and Skills Development Fund for Persons with Disabilities,</w:t>
      </w:r>
      <w:r w:rsidR="00B60904" w:rsidRPr="00C560A2">
        <w:rPr>
          <w:color w:val="000000" w:themeColor="text1"/>
        </w:rPr>
        <w:t xml:space="preserve"> b)</w:t>
      </w:r>
      <w:r w:rsidR="005E000A" w:rsidRPr="00C560A2">
        <w:rPr>
          <w:color w:val="000000" w:themeColor="text1"/>
        </w:rPr>
        <w:t xml:space="preserve"> the piloting of a mechanism for partnership between private companies, public sector and organisations for PWDs, and </w:t>
      </w:r>
      <w:r w:rsidR="00B60904" w:rsidRPr="00C560A2">
        <w:rPr>
          <w:color w:val="000000" w:themeColor="text1"/>
        </w:rPr>
        <w:t xml:space="preserve">c) </w:t>
      </w:r>
      <w:r w:rsidR="005E000A" w:rsidRPr="00C560A2">
        <w:rPr>
          <w:color w:val="000000" w:themeColor="text1"/>
        </w:rPr>
        <w:t>eventually provide evidence of financial viability for interventions of a larger scope and magnitude. Some key activities</w:t>
      </w:r>
      <w:r w:rsidR="00491D27" w:rsidRPr="00C560A2">
        <w:rPr>
          <w:color w:val="000000" w:themeColor="text1"/>
        </w:rPr>
        <w:t xml:space="preserve"> would </w:t>
      </w:r>
      <w:r w:rsidR="005E000A" w:rsidRPr="00C560A2">
        <w:rPr>
          <w:color w:val="000000" w:themeColor="text1"/>
        </w:rPr>
        <w:t>be</w:t>
      </w:r>
      <w:r w:rsidR="00491D27" w:rsidRPr="00C560A2">
        <w:rPr>
          <w:color w:val="000000" w:themeColor="text1"/>
        </w:rPr>
        <w:t xml:space="preserve">: </w:t>
      </w:r>
      <w:r w:rsidR="00D84CC5" w:rsidRPr="00C560A2">
        <w:rPr>
          <w:color w:val="000000" w:themeColor="text1"/>
        </w:rPr>
        <w:t>1) Stakeholder consultations</w:t>
      </w:r>
      <w:r w:rsidR="006617F5" w:rsidRPr="00C560A2">
        <w:rPr>
          <w:color w:val="000000" w:themeColor="text1"/>
        </w:rPr>
        <w:t>/negotiations (including the Ministry of Finance, IMF, private sector representative organizations, CSOs supporting people with disabilities, end beneficiaries (both in urban and rural settings)</w:t>
      </w:r>
      <w:r w:rsidR="00B60904" w:rsidRPr="00C560A2">
        <w:rPr>
          <w:color w:val="000000" w:themeColor="text1"/>
        </w:rPr>
        <w:t>, including the setting up of a platform for continued private sector engagement</w:t>
      </w:r>
      <w:r w:rsidR="006617F5" w:rsidRPr="00C560A2">
        <w:rPr>
          <w:color w:val="000000" w:themeColor="text1"/>
        </w:rPr>
        <w:t>; 2</w:t>
      </w:r>
      <w:r w:rsidR="00491D27" w:rsidRPr="00C560A2">
        <w:rPr>
          <w:color w:val="000000" w:themeColor="text1"/>
        </w:rPr>
        <w:t>) Designing the Fund</w:t>
      </w:r>
      <w:r w:rsidR="00B60904" w:rsidRPr="00C560A2">
        <w:rPr>
          <w:color w:val="000000" w:themeColor="text1"/>
        </w:rPr>
        <w:t>,</w:t>
      </w:r>
      <w:r w:rsidR="00491D27" w:rsidRPr="00C560A2">
        <w:rPr>
          <w:color w:val="000000" w:themeColor="text1"/>
        </w:rPr>
        <w:t xml:space="preserve"> including detailed operational and financial modaliti</w:t>
      </w:r>
      <w:r w:rsidR="004F1FAE" w:rsidRPr="00C560A2">
        <w:rPr>
          <w:color w:val="000000" w:themeColor="text1"/>
        </w:rPr>
        <w:t xml:space="preserve">es, roles of stakeholders, management costs and needed funding structure; </w:t>
      </w:r>
      <w:r w:rsidR="006617F5" w:rsidRPr="00C560A2">
        <w:rPr>
          <w:color w:val="000000" w:themeColor="text1"/>
        </w:rPr>
        <w:t>3</w:t>
      </w:r>
      <w:r w:rsidR="004F1FAE" w:rsidRPr="00C560A2">
        <w:rPr>
          <w:color w:val="000000" w:themeColor="text1"/>
        </w:rPr>
        <w:t>)</w:t>
      </w:r>
      <w:r w:rsidR="000D4701" w:rsidRPr="00C560A2">
        <w:rPr>
          <w:color w:val="000000" w:themeColor="text1"/>
        </w:rPr>
        <w:t xml:space="preserve"> </w:t>
      </w:r>
      <w:r w:rsidR="004F5917" w:rsidRPr="00C560A2">
        <w:rPr>
          <w:color w:val="000000" w:themeColor="text1"/>
        </w:rPr>
        <w:t xml:space="preserve">Private sector and </w:t>
      </w:r>
      <w:r w:rsidR="000D4701" w:rsidRPr="00C560A2">
        <w:rPr>
          <w:color w:val="000000" w:themeColor="text1"/>
        </w:rPr>
        <w:t xml:space="preserve">Target group analysis – data collection and analysis; </w:t>
      </w:r>
      <w:r w:rsidR="0024759A" w:rsidRPr="00C560A2">
        <w:rPr>
          <w:color w:val="000000" w:themeColor="text1"/>
        </w:rPr>
        <w:t xml:space="preserve">and, </w:t>
      </w:r>
      <w:r w:rsidR="000D4701" w:rsidRPr="00C560A2">
        <w:rPr>
          <w:color w:val="000000" w:themeColor="text1"/>
        </w:rPr>
        <w:t xml:space="preserve">4) </w:t>
      </w:r>
      <w:r w:rsidR="006617F5" w:rsidRPr="00C560A2">
        <w:rPr>
          <w:color w:val="000000" w:themeColor="text1"/>
        </w:rPr>
        <w:t>D</w:t>
      </w:r>
      <w:r w:rsidR="000D4701" w:rsidRPr="00C560A2">
        <w:rPr>
          <w:color w:val="000000" w:themeColor="text1"/>
        </w:rPr>
        <w:t xml:space="preserve">esign and implementation of the </w:t>
      </w:r>
      <w:r w:rsidR="00CA3328" w:rsidRPr="00C560A2">
        <w:rPr>
          <w:color w:val="000000" w:themeColor="text1"/>
        </w:rPr>
        <w:t>interventions</w:t>
      </w:r>
      <w:r w:rsidR="008179D8" w:rsidRPr="00C560A2">
        <w:rPr>
          <w:color w:val="000000" w:themeColor="text1"/>
        </w:rPr>
        <w:t>/funding windows</w:t>
      </w:r>
      <w:r w:rsidR="00CA3328" w:rsidRPr="00C560A2">
        <w:rPr>
          <w:color w:val="000000" w:themeColor="text1"/>
        </w:rPr>
        <w:t xml:space="preserve"> (e.g. skills training, support to start-ups </w:t>
      </w:r>
      <w:r w:rsidR="00A368A0" w:rsidRPr="00C560A2">
        <w:rPr>
          <w:color w:val="000000" w:themeColor="text1"/>
        </w:rPr>
        <w:t>and</w:t>
      </w:r>
      <w:r w:rsidR="00CA3328" w:rsidRPr="00C560A2">
        <w:rPr>
          <w:color w:val="000000" w:themeColor="text1"/>
        </w:rPr>
        <w:t xml:space="preserve"> social enterprises,</w:t>
      </w:r>
      <w:r w:rsidR="008179D8" w:rsidRPr="00C560A2">
        <w:rPr>
          <w:color w:val="000000" w:themeColor="text1"/>
        </w:rPr>
        <w:t xml:space="preserve"> improved accessibility,</w:t>
      </w:r>
      <w:r w:rsidR="00CA3328" w:rsidRPr="00C560A2">
        <w:rPr>
          <w:color w:val="000000" w:themeColor="text1"/>
        </w:rPr>
        <w:t xml:space="preserve"> subsidized employment, workplace adjustment, etc.) </w:t>
      </w:r>
      <w:r w:rsidR="000D4701" w:rsidRPr="00C560A2">
        <w:rPr>
          <w:color w:val="000000" w:themeColor="text1"/>
        </w:rPr>
        <w:t xml:space="preserve">with the </w:t>
      </w:r>
      <w:r w:rsidR="00E023F8" w:rsidRPr="00C560A2">
        <w:rPr>
          <w:color w:val="000000" w:themeColor="text1"/>
        </w:rPr>
        <w:t xml:space="preserve">government, </w:t>
      </w:r>
      <w:r w:rsidR="000D4701" w:rsidRPr="00C560A2">
        <w:rPr>
          <w:color w:val="000000" w:themeColor="text1"/>
        </w:rPr>
        <w:t>private sector</w:t>
      </w:r>
      <w:r w:rsidR="00A368A0" w:rsidRPr="00C560A2">
        <w:rPr>
          <w:color w:val="000000" w:themeColor="text1"/>
        </w:rPr>
        <w:t>, CSOs</w:t>
      </w:r>
      <w:r w:rsidR="00CA3328" w:rsidRPr="00C560A2">
        <w:rPr>
          <w:color w:val="000000" w:themeColor="text1"/>
        </w:rPr>
        <w:t xml:space="preserve"> and other relevant actors</w:t>
      </w:r>
      <w:r w:rsidR="000D4701" w:rsidRPr="00C560A2">
        <w:rPr>
          <w:color w:val="000000" w:themeColor="text1"/>
        </w:rPr>
        <w:t>.</w:t>
      </w:r>
      <w:r w:rsidR="006617F5" w:rsidRPr="00C560A2">
        <w:rPr>
          <w:color w:val="000000" w:themeColor="text1"/>
        </w:rPr>
        <w:t xml:space="preserve"> </w:t>
      </w:r>
    </w:p>
    <w:p w14:paraId="42F9CA52" w14:textId="5E7EAAAE" w:rsidR="00272597" w:rsidRPr="00C560A2" w:rsidRDefault="00272597" w:rsidP="00C560A2">
      <w:pPr>
        <w:pStyle w:val="NoSpacing"/>
        <w:jc w:val="both"/>
        <w:rPr>
          <w:color w:val="000000" w:themeColor="text1"/>
        </w:rPr>
      </w:pPr>
    </w:p>
    <w:p w14:paraId="2B0FABC2" w14:textId="47B3F36D" w:rsidR="00690B79" w:rsidRPr="00C560A2" w:rsidRDefault="00690B79" w:rsidP="00C560A2">
      <w:pPr>
        <w:pStyle w:val="NoSpacing"/>
        <w:jc w:val="both"/>
        <w:rPr>
          <w:color w:val="000000" w:themeColor="text1"/>
        </w:rPr>
      </w:pPr>
      <w:r w:rsidRPr="00C560A2">
        <w:rPr>
          <w:color w:val="000000" w:themeColor="text1"/>
        </w:rPr>
        <w:t>The role of the private sector in the proposed intervention will be two-fold. On one hand, the intervention will promote the collection of private sector contributions into the fund, and on the other hand enable the private sector to tap into the Fund. Through the engagement of private sector intermediary organizations (i.e. chambers of commerce) during the piloting phase, it is envisaged that private sector financing will be solicited alongside RBEC Impact Investment Facility funds. It is also aimed that end beneficiaries be engaged at all stages, starting from the initial consultations, to the design and the implementation of the intervention. Innovative approaches such as design thinking will be utilized in the design of interventions that fit the needs of the target group. The Platform will also allow for conversations on innovation and partnerships around social impact, development performance, alternative financing, etc.</w:t>
      </w:r>
    </w:p>
    <w:p w14:paraId="3C66B0C6" w14:textId="77777777" w:rsidR="00690B79" w:rsidRPr="00C560A2" w:rsidRDefault="00690B79" w:rsidP="00C560A2">
      <w:pPr>
        <w:pStyle w:val="NoSpacing"/>
        <w:jc w:val="both"/>
        <w:rPr>
          <w:color w:val="000000" w:themeColor="text1"/>
        </w:rPr>
      </w:pPr>
    </w:p>
    <w:p w14:paraId="03D38243" w14:textId="77777777" w:rsidR="00F842D5" w:rsidRPr="00C560A2" w:rsidRDefault="00F842D5" w:rsidP="00C560A2">
      <w:pPr>
        <w:pStyle w:val="NoSpacing"/>
        <w:jc w:val="center"/>
        <w:rPr>
          <w:color w:val="000000" w:themeColor="text1"/>
        </w:rPr>
      </w:pPr>
      <w:r w:rsidRPr="00C560A2">
        <w:rPr>
          <w:noProof/>
          <w:color w:val="000000" w:themeColor="text1"/>
          <w:lang w:val="en-GB" w:eastAsia="en-GB"/>
        </w:rPr>
        <w:lastRenderedPageBreak/>
        <w:drawing>
          <wp:inline distT="0" distB="0" distL="0" distR="0" wp14:anchorId="2422128D" wp14:editId="4A2E8164">
            <wp:extent cx="4133069" cy="237948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loyment-and-Skills-Development-Fund.gif"/>
                    <pic:cNvPicPr/>
                  </pic:nvPicPr>
                  <pic:blipFill rotWithShape="1">
                    <a:blip r:embed="rId8" cstate="print">
                      <a:extLst>
                        <a:ext uri="{28A0092B-C50C-407E-A947-70E740481C1C}">
                          <a14:useLocalDpi xmlns:a14="http://schemas.microsoft.com/office/drawing/2010/main" val="0"/>
                        </a:ext>
                      </a:extLst>
                    </a:blip>
                    <a:srcRect t="5791"/>
                    <a:stretch/>
                  </pic:blipFill>
                  <pic:spPr bwMode="auto">
                    <a:xfrm>
                      <a:off x="0" y="0"/>
                      <a:ext cx="4165739" cy="2398297"/>
                    </a:xfrm>
                    <a:prstGeom prst="rect">
                      <a:avLst/>
                    </a:prstGeom>
                    <a:ln>
                      <a:noFill/>
                    </a:ln>
                    <a:extLst>
                      <a:ext uri="{53640926-AAD7-44D8-BBD7-CCE9431645EC}">
                        <a14:shadowObscured xmlns:a14="http://schemas.microsoft.com/office/drawing/2010/main"/>
                      </a:ext>
                    </a:extLst>
                  </pic:spPr>
                </pic:pic>
              </a:graphicData>
            </a:graphic>
          </wp:inline>
        </w:drawing>
      </w:r>
    </w:p>
    <w:p w14:paraId="79017523" w14:textId="77777777" w:rsidR="00723527" w:rsidRDefault="00723527" w:rsidP="00C560A2">
      <w:pPr>
        <w:pStyle w:val="NoSpacing"/>
        <w:jc w:val="both"/>
        <w:rPr>
          <w:color w:val="000000" w:themeColor="text1"/>
        </w:rPr>
      </w:pPr>
    </w:p>
    <w:p w14:paraId="44FD869F" w14:textId="3BD517DE" w:rsidR="007E2607" w:rsidRPr="00C560A2" w:rsidRDefault="00E34962" w:rsidP="00C560A2">
      <w:pPr>
        <w:pStyle w:val="NoSpacing"/>
        <w:jc w:val="both"/>
        <w:rPr>
          <w:color w:val="000000" w:themeColor="text1"/>
        </w:rPr>
      </w:pPr>
      <w:r w:rsidRPr="00C560A2">
        <w:rPr>
          <w:color w:val="000000" w:themeColor="text1"/>
        </w:rPr>
        <w:t>Provided that UNDP’s experience spans across policy and implementation</w:t>
      </w:r>
      <w:r w:rsidR="00F842D5" w:rsidRPr="00C560A2">
        <w:rPr>
          <w:color w:val="000000" w:themeColor="text1"/>
        </w:rPr>
        <w:t xml:space="preserve">, UNDP will undertake the structural set-up of the Fund, as well as the piloting, with the ultimate objective that </w:t>
      </w:r>
      <w:r w:rsidR="0082176D" w:rsidRPr="00C560A2">
        <w:rPr>
          <w:color w:val="000000" w:themeColor="text1"/>
        </w:rPr>
        <w:t>private sector contributions and levies will be collected and managed</w:t>
      </w:r>
      <w:r w:rsidR="00674E9B" w:rsidRPr="00C560A2">
        <w:rPr>
          <w:color w:val="000000" w:themeColor="text1"/>
        </w:rPr>
        <w:t>.</w:t>
      </w:r>
      <w:r w:rsidR="0082176D" w:rsidRPr="00C560A2">
        <w:rPr>
          <w:color w:val="000000" w:themeColor="text1"/>
        </w:rPr>
        <w:t xml:space="preserve"> </w:t>
      </w:r>
      <w:r w:rsidR="00674E9B" w:rsidRPr="00C560A2">
        <w:rPr>
          <w:color w:val="000000" w:themeColor="text1"/>
        </w:rPr>
        <w:t>This i</w:t>
      </w:r>
      <w:r w:rsidR="0071041E" w:rsidRPr="00C560A2">
        <w:rPr>
          <w:color w:val="000000" w:themeColor="text1"/>
        </w:rPr>
        <w:t>nitial</w:t>
      </w:r>
      <w:r w:rsidR="00674E9B" w:rsidRPr="00C560A2">
        <w:rPr>
          <w:color w:val="000000" w:themeColor="text1"/>
        </w:rPr>
        <w:t xml:space="preserve"> setup is expected to evolve</w:t>
      </w:r>
      <w:r w:rsidR="00F842D5" w:rsidRPr="00C560A2">
        <w:rPr>
          <w:color w:val="000000" w:themeColor="text1"/>
        </w:rPr>
        <w:t xml:space="preserve"> </w:t>
      </w:r>
      <w:r w:rsidR="0071041E" w:rsidRPr="00C560A2">
        <w:rPr>
          <w:color w:val="000000" w:themeColor="text1"/>
        </w:rPr>
        <w:t xml:space="preserve">and eventually </w:t>
      </w:r>
      <w:r w:rsidR="00674E9B" w:rsidRPr="00C560A2">
        <w:rPr>
          <w:color w:val="000000" w:themeColor="text1"/>
        </w:rPr>
        <w:t xml:space="preserve">be </w:t>
      </w:r>
      <w:r w:rsidR="00660FC6" w:rsidRPr="00C560A2">
        <w:rPr>
          <w:color w:val="000000" w:themeColor="text1"/>
        </w:rPr>
        <w:t>scal</w:t>
      </w:r>
      <w:r w:rsidR="00674E9B" w:rsidRPr="00C560A2">
        <w:rPr>
          <w:color w:val="000000" w:themeColor="text1"/>
        </w:rPr>
        <w:t>ed</w:t>
      </w:r>
      <w:r w:rsidR="00660FC6" w:rsidRPr="00C560A2">
        <w:rPr>
          <w:color w:val="000000" w:themeColor="text1"/>
        </w:rPr>
        <w:t xml:space="preserve"> up </w:t>
      </w:r>
      <w:r w:rsidR="00674E9B" w:rsidRPr="00C560A2">
        <w:rPr>
          <w:color w:val="000000" w:themeColor="text1"/>
        </w:rPr>
        <w:t>so the Fund has</w:t>
      </w:r>
      <w:r w:rsidR="00660FC6" w:rsidRPr="00C560A2">
        <w:rPr>
          <w:color w:val="000000" w:themeColor="text1"/>
        </w:rPr>
        <w:t xml:space="preserve"> blended financing of </w:t>
      </w:r>
      <w:r w:rsidR="00674E9B" w:rsidRPr="00C560A2">
        <w:rPr>
          <w:color w:val="000000" w:themeColor="text1"/>
        </w:rPr>
        <w:t xml:space="preserve">government cost-sharing, </w:t>
      </w:r>
      <w:r w:rsidR="00660FC6" w:rsidRPr="00C560A2">
        <w:rPr>
          <w:color w:val="000000" w:themeColor="text1"/>
        </w:rPr>
        <w:t>private sector, IFIs as well as other alternative financing mechanisms such as reward crowdfunding</w:t>
      </w:r>
      <w:r w:rsidR="00F842D5" w:rsidRPr="00C560A2">
        <w:rPr>
          <w:color w:val="000000" w:themeColor="text1"/>
        </w:rPr>
        <w:t xml:space="preserve">. </w:t>
      </w:r>
    </w:p>
    <w:p w14:paraId="59B56A68" w14:textId="03BF22EF" w:rsidR="00935D6C" w:rsidRPr="00C560A2" w:rsidRDefault="00935D6C" w:rsidP="00C560A2">
      <w:pPr>
        <w:pStyle w:val="NoSpacing"/>
        <w:jc w:val="both"/>
        <w:rPr>
          <w:color w:val="000000" w:themeColor="text1"/>
        </w:rPr>
      </w:pPr>
    </w:p>
    <w:p w14:paraId="7674929C" w14:textId="2173FE71" w:rsidR="00935D6C" w:rsidRPr="00C560A2" w:rsidRDefault="00935D6C" w:rsidP="00C560A2">
      <w:pPr>
        <w:spacing w:after="0" w:line="240" w:lineRule="auto"/>
        <w:jc w:val="both"/>
        <w:rPr>
          <w:color w:val="000000" w:themeColor="text1"/>
        </w:rPr>
      </w:pPr>
      <w:r w:rsidRPr="00C560A2">
        <w:rPr>
          <w:color w:val="000000" w:themeColor="text1"/>
        </w:rPr>
        <w:t xml:space="preserve">The initiative builds on UNDP </w:t>
      </w:r>
      <w:r w:rsidR="0041501C" w:rsidRPr="00C560A2">
        <w:rPr>
          <w:b/>
          <w:i/>
          <w:color w:val="000000" w:themeColor="text1"/>
        </w:rPr>
        <w:t xml:space="preserve">partnerships, </w:t>
      </w:r>
      <w:r w:rsidRPr="00C560A2">
        <w:rPr>
          <w:b/>
          <w:i/>
          <w:color w:val="000000" w:themeColor="text1"/>
        </w:rPr>
        <w:t>past work and experience</w:t>
      </w:r>
      <w:r w:rsidRPr="00C560A2">
        <w:rPr>
          <w:color w:val="000000" w:themeColor="text1"/>
        </w:rPr>
        <w:t xml:space="preserve">, including in employment and skills development, social inclusion and private sector engagement. Over the past 9 years, UNDP Albania, has implemented several skills development/employment related interventions and it has built a strategic vision that recognizes the importance of creating employment opportunities as a means to addressing both poverty reduction and inequalities and exclusion. UNDP continues to have significant contributions towards improving the governance and transparency of government funds dedicated to employment promotion, territorial reform and public administration reform in the country. Specific programmes </w:t>
      </w:r>
      <w:r w:rsidR="0010591D" w:rsidRPr="00C560A2">
        <w:rPr>
          <w:color w:val="000000" w:themeColor="text1"/>
        </w:rPr>
        <w:t xml:space="preserve">currently up and running </w:t>
      </w:r>
      <w:r w:rsidRPr="00C560A2">
        <w:rPr>
          <w:color w:val="000000" w:themeColor="text1"/>
        </w:rPr>
        <w:t>include: Skills</w:t>
      </w:r>
      <w:r w:rsidR="0010591D" w:rsidRPr="00C560A2">
        <w:rPr>
          <w:color w:val="000000" w:themeColor="text1"/>
        </w:rPr>
        <w:t xml:space="preserve"> </w:t>
      </w:r>
      <w:r w:rsidRPr="00C560A2">
        <w:rPr>
          <w:color w:val="000000" w:themeColor="text1"/>
        </w:rPr>
        <w:t>Development</w:t>
      </w:r>
      <w:r w:rsidR="0010591D" w:rsidRPr="00C560A2">
        <w:rPr>
          <w:color w:val="000000" w:themeColor="text1"/>
        </w:rPr>
        <w:t xml:space="preserve"> for </w:t>
      </w:r>
      <w:r w:rsidR="009678E2" w:rsidRPr="00C560A2">
        <w:rPr>
          <w:color w:val="000000" w:themeColor="text1"/>
        </w:rPr>
        <w:t>Employment</w:t>
      </w:r>
      <w:r w:rsidRPr="00C560A2">
        <w:rPr>
          <w:color w:val="000000" w:themeColor="text1"/>
        </w:rPr>
        <w:t>, Economic &amp; social Empowerment of Roma &amp; Egyptians (ESERE), Social Inclusion for PWD and Roma &amp; Egyptians, and “Leave No One Behind” (LNB).</w:t>
      </w:r>
    </w:p>
    <w:p w14:paraId="1BBEF6AA" w14:textId="77777777" w:rsidR="00935D6C" w:rsidRPr="00C560A2" w:rsidRDefault="00935D6C" w:rsidP="00C560A2">
      <w:pPr>
        <w:spacing w:after="0" w:line="240" w:lineRule="auto"/>
        <w:jc w:val="both"/>
        <w:rPr>
          <w:color w:val="000000" w:themeColor="text1"/>
        </w:rPr>
      </w:pPr>
    </w:p>
    <w:p w14:paraId="56ABCB6B" w14:textId="79F4E90C" w:rsidR="00935D6C" w:rsidRPr="00C560A2" w:rsidRDefault="00935D6C" w:rsidP="00C560A2">
      <w:pPr>
        <w:spacing w:after="0" w:line="240" w:lineRule="auto"/>
        <w:jc w:val="both"/>
        <w:rPr>
          <w:color w:val="000000" w:themeColor="text1"/>
        </w:rPr>
      </w:pPr>
      <w:r w:rsidRPr="00C560A2">
        <w:rPr>
          <w:color w:val="000000" w:themeColor="text1"/>
        </w:rPr>
        <w:t xml:space="preserve">UNDP is already working with the private sector on finding alternative financing mechanisms in support of the social agenda, and youth startups. Joint work in support of the 2030 agenda is already agreed as two consultations with the private sector on SDGs will take place in December. An assessment of the private sector readiness to engage in equity crowdfunding will be presented. Additional ways to galvanize the support of the private sector are currently being discussed. All these actions have already created a spirit of cooperation that is expected to be intensified offer concrete results in the short run. </w:t>
      </w:r>
    </w:p>
    <w:p w14:paraId="4D22529C" w14:textId="77777777" w:rsidR="007E2607" w:rsidRPr="00C560A2" w:rsidRDefault="007E2607" w:rsidP="00C560A2">
      <w:pPr>
        <w:pStyle w:val="NoSpacing"/>
        <w:jc w:val="both"/>
        <w:rPr>
          <w:color w:val="000000" w:themeColor="text1"/>
        </w:rPr>
      </w:pPr>
    </w:p>
    <w:p w14:paraId="38C80423" w14:textId="77777777" w:rsidR="00750620" w:rsidRPr="00C560A2" w:rsidRDefault="002642EA" w:rsidP="00C560A2">
      <w:pPr>
        <w:pStyle w:val="NoSpacing"/>
        <w:jc w:val="both"/>
        <w:rPr>
          <w:color w:val="000000" w:themeColor="text1"/>
        </w:rPr>
      </w:pPr>
      <w:r w:rsidRPr="00C560A2">
        <w:rPr>
          <w:color w:val="000000" w:themeColor="text1"/>
        </w:rPr>
        <w:t>Direct contribution is made</w:t>
      </w:r>
      <w:r w:rsidR="00750620" w:rsidRPr="00C560A2">
        <w:rPr>
          <w:color w:val="000000" w:themeColor="text1"/>
        </w:rPr>
        <w:t xml:space="preserve"> to the achievement of SDG 8 and SDG 10 by providing decent employment opportunities for people with disabilities and promoting their economic inclusion. In addition, it contributes to SDG 4 and SDG 11.</w:t>
      </w:r>
    </w:p>
    <w:p w14:paraId="6C5387E8" w14:textId="77777777" w:rsidR="00750620" w:rsidRPr="00C560A2" w:rsidRDefault="00750620" w:rsidP="00C560A2">
      <w:pPr>
        <w:pStyle w:val="NoSpacing"/>
        <w:jc w:val="both"/>
        <w:rPr>
          <w:color w:val="000000" w:themeColor="text1"/>
        </w:rPr>
      </w:pPr>
    </w:p>
    <w:p w14:paraId="5B91BD46" w14:textId="77777777" w:rsidR="00583E64" w:rsidRPr="00C560A2" w:rsidRDefault="00583E64" w:rsidP="00C560A2">
      <w:pPr>
        <w:pStyle w:val="NoSpacing"/>
        <w:jc w:val="both"/>
        <w:rPr>
          <w:color w:val="000000" w:themeColor="text1"/>
        </w:rPr>
      </w:pPr>
      <w:r w:rsidRPr="00C560A2">
        <w:rPr>
          <w:color w:val="000000" w:themeColor="text1"/>
        </w:rPr>
        <w:t xml:space="preserve">Beyond this pilot targeting people with disabilities, the ultimate aim is to support the Government of Albania in establishing an extra-budgetary </w:t>
      </w:r>
      <w:r w:rsidR="00674E9B" w:rsidRPr="00C560A2">
        <w:rPr>
          <w:color w:val="000000" w:themeColor="text1"/>
        </w:rPr>
        <w:t xml:space="preserve">Employment </w:t>
      </w:r>
      <w:r w:rsidRPr="00C560A2">
        <w:rPr>
          <w:color w:val="000000" w:themeColor="text1"/>
        </w:rPr>
        <w:t xml:space="preserve">and Skills Development Fund that beyond addressing the employment of people with disabilities, could support efforts to raise the productivity, competitiveness, and incomes of enterprises and individuals by providing them with needed skills. UNDP is well positioned to pursue the establishment of this fund, as one of the few international organizations supporting the employment and </w:t>
      </w:r>
      <w:r w:rsidRPr="00C560A2">
        <w:rPr>
          <w:color w:val="000000" w:themeColor="text1"/>
        </w:rPr>
        <w:lastRenderedPageBreak/>
        <w:t xml:space="preserve">skills development agenda at the policy </w:t>
      </w:r>
      <w:r w:rsidR="00F860A2" w:rsidRPr="00C560A2">
        <w:rPr>
          <w:color w:val="000000" w:themeColor="text1"/>
        </w:rPr>
        <w:t xml:space="preserve">and local level, </w:t>
      </w:r>
      <w:r w:rsidR="00F5544E" w:rsidRPr="00C560A2">
        <w:rPr>
          <w:color w:val="000000" w:themeColor="text1"/>
        </w:rPr>
        <w:t>and has experience in Fund establishment and management</w:t>
      </w:r>
      <w:r w:rsidRPr="00C560A2">
        <w:rPr>
          <w:color w:val="000000" w:themeColor="text1"/>
        </w:rPr>
        <w:t xml:space="preserve">. </w:t>
      </w:r>
    </w:p>
    <w:p w14:paraId="01171926" w14:textId="77777777" w:rsidR="00697FBA" w:rsidRPr="00C560A2" w:rsidRDefault="00697FBA" w:rsidP="00C560A2">
      <w:pPr>
        <w:pStyle w:val="NoSpacing"/>
        <w:jc w:val="both"/>
        <w:rPr>
          <w:color w:val="000000" w:themeColor="text1"/>
        </w:rPr>
      </w:pPr>
    </w:p>
    <w:p w14:paraId="6E2C7DCD" w14:textId="77777777" w:rsidR="00A143AA" w:rsidRDefault="01415C72" w:rsidP="00C560A2">
      <w:pPr>
        <w:pStyle w:val="ListParagraph"/>
        <w:numPr>
          <w:ilvl w:val="0"/>
          <w:numId w:val="14"/>
        </w:numPr>
        <w:spacing w:after="0" w:line="240" w:lineRule="auto"/>
        <w:rPr>
          <w:b/>
          <w:bCs/>
          <w:color w:val="000000" w:themeColor="text1"/>
        </w:rPr>
      </w:pPr>
      <w:r w:rsidRPr="00C560A2">
        <w:rPr>
          <w:b/>
          <w:bCs/>
          <w:color w:val="000000" w:themeColor="text1"/>
        </w:rPr>
        <w:t>Effectiveness and risk management</w:t>
      </w:r>
    </w:p>
    <w:p w14:paraId="6A0A901A" w14:textId="77777777" w:rsidR="00C560A2" w:rsidRPr="00C560A2" w:rsidRDefault="00C560A2" w:rsidP="00C560A2">
      <w:pPr>
        <w:pStyle w:val="ListParagraph"/>
        <w:spacing w:after="0" w:line="240" w:lineRule="auto"/>
        <w:ind w:left="360"/>
        <w:rPr>
          <w:b/>
          <w:bCs/>
          <w:color w:val="000000" w:themeColor="text1"/>
        </w:rPr>
      </w:pPr>
    </w:p>
    <w:p w14:paraId="3BE307C0" w14:textId="77777777" w:rsidR="0072518E" w:rsidRPr="00C560A2" w:rsidRDefault="0072518E" w:rsidP="00C560A2">
      <w:pPr>
        <w:pStyle w:val="NoSpacing"/>
        <w:jc w:val="both"/>
        <w:rPr>
          <w:color w:val="000000" w:themeColor="text1"/>
        </w:rPr>
      </w:pPr>
      <w:r w:rsidRPr="00C560A2">
        <w:rPr>
          <w:color w:val="000000" w:themeColor="text1"/>
        </w:rPr>
        <w:t xml:space="preserve">Labour market data suggest that the economic growth experienced in Albania during the last two and a half decades has not been translated into significant labour market improvements. In 2017, labour force participation rates remain below European averages, with women participation rates significantly lower than men’s (66.8% overall, 57.7% for women and 75.7% for men). Youth participation rates are considerably lower than for the rest of the population (45.7% overall, with the gender gap at over 15%) and data indicate that since 2007 Albanian youth face increased difficulties in the labour market compared to other adults. The youth unemployment rate in the second quarter of 2017 declined to 26.4%, its lowest level since 2012 (with young women faring better than young men – 24.7% and 27.4% respectively). Registered unemployment has also experienced a very sharp decline (39%), from a high of over 152,000 in Q3 of 2015 to just over 92,000 in Q2 of 2017. Among the registered unemployed jobseekers </w:t>
      </w:r>
      <w:r w:rsidRPr="00CC2CE7">
        <w:rPr>
          <w:b/>
          <w:color w:val="000000" w:themeColor="text1"/>
        </w:rPr>
        <w:t>482 are persons with disabilities</w:t>
      </w:r>
      <w:r w:rsidRPr="00C560A2">
        <w:rPr>
          <w:color w:val="000000" w:themeColor="text1"/>
        </w:rPr>
        <w:t xml:space="preserve">, less than a quarter of those registered in 2014. Arguably, the decline can be attributed both to administrative changes in the registration of unemployed jobseekers and to the economic upturn. Nonetheless, for people with disabilities, the decline can be attributed </w:t>
      </w:r>
      <w:r w:rsidR="00397916" w:rsidRPr="00C560A2">
        <w:rPr>
          <w:color w:val="000000" w:themeColor="text1"/>
        </w:rPr>
        <w:t xml:space="preserve">additionally </w:t>
      </w:r>
      <w:r w:rsidRPr="00C560A2">
        <w:rPr>
          <w:color w:val="000000" w:themeColor="text1"/>
        </w:rPr>
        <w:t>to burdensome administrative procedures</w:t>
      </w:r>
      <w:r w:rsidR="002A7239" w:rsidRPr="00C560A2">
        <w:rPr>
          <w:color w:val="000000" w:themeColor="text1"/>
        </w:rPr>
        <w:t>, and the lack of trust</w:t>
      </w:r>
      <w:r w:rsidRPr="00C560A2">
        <w:rPr>
          <w:color w:val="000000" w:themeColor="text1"/>
        </w:rPr>
        <w:t xml:space="preserve">, as </w:t>
      </w:r>
      <w:r w:rsidR="002A7239" w:rsidRPr="00C560A2">
        <w:rPr>
          <w:color w:val="000000" w:themeColor="text1"/>
        </w:rPr>
        <w:t xml:space="preserve">only </w:t>
      </w:r>
      <w:r w:rsidRPr="00C560A2">
        <w:rPr>
          <w:color w:val="000000" w:themeColor="text1"/>
        </w:rPr>
        <w:t xml:space="preserve">26 and 33 people with disabilities were employed through intermediation by the National Employment Service </w:t>
      </w:r>
      <w:r w:rsidR="003E14D2" w:rsidRPr="00C560A2">
        <w:rPr>
          <w:color w:val="000000" w:themeColor="text1"/>
        </w:rPr>
        <w:t xml:space="preserve">in 2015 and 2016 respectively. </w:t>
      </w:r>
      <w:r w:rsidR="002201E5" w:rsidRPr="00C560A2">
        <w:rPr>
          <w:color w:val="000000" w:themeColor="text1"/>
        </w:rPr>
        <w:t xml:space="preserve">One active </w:t>
      </w:r>
      <w:r w:rsidR="003E14D2" w:rsidRPr="00C560A2">
        <w:rPr>
          <w:color w:val="000000" w:themeColor="text1"/>
        </w:rPr>
        <w:t>labour market measures implemented by NES</w:t>
      </w:r>
      <w:r w:rsidR="002201E5" w:rsidRPr="00C560A2">
        <w:rPr>
          <w:color w:val="000000" w:themeColor="text1"/>
        </w:rPr>
        <w:t xml:space="preserve"> targets people with disability directly; however, the number of beneficiaries in </w:t>
      </w:r>
      <w:r w:rsidR="002201E5" w:rsidRPr="00CC2CE7">
        <w:rPr>
          <w:b/>
          <w:color w:val="000000" w:themeColor="text1"/>
        </w:rPr>
        <w:t>2016 remained meagre with o</w:t>
      </w:r>
      <w:r w:rsidR="003E14D2" w:rsidRPr="00CC2CE7">
        <w:rPr>
          <w:b/>
          <w:color w:val="000000" w:themeColor="text1"/>
        </w:rPr>
        <w:t xml:space="preserve">nly </w:t>
      </w:r>
      <w:r w:rsidR="002201E5" w:rsidRPr="00CC2CE7">
        <w:rPr>
          <w:b/>
          <w:color w:val="000000" w:themeColor="text1"/>
        </w:rPr>
        <w:t>47 people benefiting, and only 1% of the overall ALMM budget going to PwD</w:t>
      </w:r>
      <w:r w:rsidR="002201E5" w:rsidRPr="00C560A2">
        <w:rPr>
          <w:color w:val="000000" w:themeColor="text1"/>
        </w:rPr>
        <w:t xml:space="preserve">. </w:t>
      </w:r>
    </w:p>
    <w:p w14:paraId="0FAD33E2" w14:textId="77777777" w:rsidR="007E2607" w:rsidRPr="00C560A2" w:rsidRDefault="007E2607" w:rsidP="00C560A2">
      <w:pPr>
        <w:pStyle w:val="NoSpacing"/>
        <w:jc w:val="both"/>
        <w:rPr>
          <w:color w:val="000000" w:themeColor="text1"/>
        </w:rPr>
      </w:pPr>
    </w:p>
    <w:p w14:paraId="02AC247F" w14:textId="5514F8FA" w:rsidR="002201E5" w:rsidRPr="00C560A2" w:rsidRDefault="007E2607" w:rsidP="00C560A2">
      <w:pPr>
        <w:pStyle w:val="NoSpacing"/>
        <w:jc w:val="both"/>
        <w:rPr>
          <w:color w:val="000000" w:themeColor="text1"/>
        </w:rPr>
      </w:pPr>
      <w:r w:rsidRPr="00C560A2">
        <w:rPr>
          <w:color w:val="000000" w:themeColor="text1"/>
        </w:rPr>
        <w:t xml:space="preserve">The Law “On inclusion of and accessibility for persons with disabilities” recognizes the right to independent living, including access to employment. The Law “On employment promotion” in 1995 introduced quota/levies for the employment of people with disabilities by public and private employers. Every company or public institution with over 24 employees must employ a person with disabilities for every 25 employees. However, levies in the law against employers who fail to meet these quotas are not enforced, largely because the envisaged National Employment Fund was never established </w:t>
      </w:r>
      <w:r w:rsidR="002A7239" w:rsidRPr="00C560A2">
        <w:rPr>
          <w:color w:val="000000" w:themeColor="text1"/>
        </w:rPr>
        <w:t>nor</w:t>
      </w:r>
      <w:r w:rsidRPr="00C560A2">
        <w:rPr>
          <w:color w:val="000000" w:themeColor="text1"/>
        </w:rPr>
        <w:t xml:space="preserve"> operationalized. </w:t>
      </w:r>
      <w:r w:rsidR="00266E17" w:rsidRPr="00C560A2">
        <w:rPr>
          <w:color w:val="000000" w:themeColor="text1"/>
        </w:rPr>
        <w:t xml:space="preserve">In addition, the private sector exhibited low levels of awareness, maturity and responsiveness. </w:t>
      </w:r>
      <w:r w:rsidR="002201E5" w:rsidRPr="00C560A2">
        <w:rPr>
          <w:color w:val="000000" w:themeColor="text1"/>
        </w:rPr>
        <w:t xml:space="preserve">Estimates of forgone contributions that could subsequently be used for employment promotion, skills upgradation of people with disabilities and reasonable workplace adjustment amount to USD 17.5 – 21 million annually (considering only private sector contributions). An additional USD 10 – 17 million could be contributed by the </w:t>
      </w:r>
      <w:proofErr w:type="gramStart"/>
      <w:r w:rsidR="002201E5" w:rsidRPr="00C560A2">
        <w:rPr>
          <w:color w:val="000000" w:themeColor="text1"/>
        </w:rPr>
        <w:t>public sector</w:t>
      </w:r>
      <w:proofErr w:type="gramEnd"/>
      <w:r w:rsidR="00CC2CE7">
        <w:rPr>
          <w:color w:val="000000" w:themeColor="text1"/>
        </w:rPr>
        <w:t xml:space="preserve"> entities</w:t>
      </w:r>
      <w:r w:rsidR="002201E5" w:rsidRPr="00C560A2">
        <w:rPr>
          <w:color w:val="000000" w:themeColor="text1"/>
        </w:rPr>
        <w:t xml:space="preserve">. </w:t>
      </w:r>
    </w:p>
    <w:p w14:paraId="2100C2E0" w14:textId="77777777" w:rsidR="002201E5" w:rsidRPr="00C560A2" w:rsidRDefault="002201E5" w:rsidP="00C560A2">
      <w:pPr>
        <w:pStyle w:val="NoSpacing"/>
        <w:jc w:val="both"/>
        <w:rPr>
          <w:color w:val="000000" w:themeColor="text1"/>
        </w:rPr>
      </w:pPr>
    </w:p>
    <w:p w14:paraId="21DA164D" w14:textId="5E71F036" w:rsidR="00CB3E8F" w:rsidRPr="00C560A2" w:rsidRDefault="007E2607" w:rsidP="00C560A2">
      <w:pPr>
        <w:pStyle w:val="NoSpacing"/>
        <w:jc w:val="both"/>
        <w:rPr>
          <w:color w:val="000000" w:themeColor="text1"/>
        </w:rPr>
      </w:pPr>
      <w:r w:rsidRPr="00C560A2">
        <w:rPr>
          <w:color w:val="000000" w:themeColor="text1"/>
        </w:rPr>
        <w:t>The Government of Albania approved the National Action Plan on People with Disabilities 2016-2020 with</w:t>
      </w:r>
      <w:r w:rsidR="002A7239" w:rsidRPr="00C560A2">
        <w:rPr>
          <w:color w:val="000000" w:themeColor="text1"/>
        </w:rPr>
        <w:t xml:space="preserve"> the support of UNDP, and it</w:t>
      </w:r>
      <w:r w:rsidRPr="00C560A2">
        <w:rPr>
          <w:color w:val="000000" w:themeColor="text1"/>
        </w:rPr>
        <w:t xml:space="preserve"> aim</w:t>
      </w:r>
      <w:r w:rsidR="002A7239" w:rsidRPr="00C560A2">
        <w:rPr>
          <w:color w:val="000000" w:themeColor="text1"/>
        </w:rPr>
        <w:t>s</w:t>
      </w:r>
      <w:r w:rsidRPr="00C560A2">
        <w:rPr>
          <w:color w:val="000000" w:themeColor="text1"/>
        </w:rPr>
        <w:t xml:space="preserve"> to promote the inclusion of persons with disabilities in the Albanian society, prevent discrimination, and eliminate any barriers to accessing public services and the fulfillment of their rights. The new government programme 2017-2021, places emphasis on reducing unemployment to single digit numbers, and increasing employment of women and other vulnerable groups.</w:t>
      </w:r>
      <w:r w:rsidR="00AB76C1" w:rsidRPr="00C560A2">
        <w:rPr>
          <w:color w:val="000000" w:themeColor="text1"/>
        </w:rPr>
        <w:t xml:space="preserve"> </w:t>
      </w:r>
    </w:p>
    <w:p w14:paraId="54192161" w14:textId="77777777" w:rsidR="00CB3E8F" w:rsidRPr="00C560A2" w:rsidRDefault="00CB3E8F" w:rsidP="00C560A2">
      <w:pPr>
        <w:pStyle w:val="NoSpacing"/>
        <w:jc w:val="both"/>
        <w:rPr>
          <w:color w:val="000000" w:themeColor="text1"/>
        </w:rPr>
      </w:pPr>
    </w:p>
    <w:p w14:paraId="08F841F5" w14:textId="1D236CB9" w:rsidR="00361FE2" w:rsidRPr="00C560A2" w:rsidRDefault="00CB3E8F" w:rsidP="00C560A2">
      <w:pPr>
        <w:spacing w:after="0" w:line="240" w:lineRule="auto"/>
        <w:jc w:val="both"/>
        <w:rPr>
          <w:color w:val="000000" w:themeColor="text1"/>
        </w:rPr>
      </w:pPr>
      <w:r w:rsidRPr="00C560A2">
        <w:rPr>
          <w:color w:val="000000" w:themeColor="text1"/>
        </w:rPr>
        <w:t xml:space="preserve">The law on employment promotion is currently being revised and prepared for approval by the Council of Ministers. The law withholds the principle that enterprises have the obligation to hire one PWD for every 25 employed persons, otherwise they will be subject to penalties. Following the approval of the law, in early 2018, a series of instructions will be developed for its implementation. The employment Fund that was supposed to accommodate the penalty payment, was never established admittedly due to its </w:t>
      </w:r>
      <w:r w:rsidR="0010591D" w:rsidRPr="00C560A2">
        <w:rPr>
          <w:color w:val="000000" w:themeColor="text1"/>
        </w:rPr>
        <w:t xml:space="preserve">complicated </w:t>
      </w:r>
      <w:r w:rsidRPr="00C560A2">
        <w:rPr>
          <w:color w:val="000000" w:themeColor="text1"/>
        </w:rPr>
        <w:t xml:space="preserve">extra-budgetary character. </w:t>
      </w:r>
    </w:p>
    <w:p w14:paraId="4889B1BA" w14:textId="77777777" w:rsidR="00361FE2" w:rsidRPr="00C560A2" w:rsidRDefault="00361FE2" w:rsidP="00C560A2">
      <w:pPr>
        <w:spacing w:after="0" w:line="240" w:lineRule="auto"/>
        <w:jc w:val="both"/>
        <w:rPr>
          <w:color w:val="000000" w:themeColor="text1"/>
        </w:rPr>
      </w:pPr>
    </w:p>
    <w:p w14:paraId="6838B084" w14:textId="77777777" w:rsidR="00CC2CE7" w:rsidRDefault="00CC2CE7" w:rsidP="00C560A2">
      <w:pPr>
        <w:spacing w:after="0" w:line="240" w:lineRule="auto"/>
        <w:jc w:val="both"/>
        <w:rPr>
          <w:color w:val="000000" w:themeColor="text1"/>
        </w:rPr>
      </w:pPr>
    </w:p>
    <w:p w14:paraId="469654C6" w14:textId="035B7F8B" w:rsidR="00CB3E8F" w:rsidRPr="00C560A2" w:rsidRDefault="00CB3E8F" w:rsidP="00C560A2">
      <w:pPr>
        <w:spacing w:after="0" w:line="240" w:lineRule="auto"/>
        <w:jc w:val="both"/>
        <w:rPr>
          <w:color w:val="000000" w:themeColor="text1"/>
        </w:rPr>
      </w:pPr>
      <w:r w:rsidRPr="00C560A2">
        <w:rPr>
          <w:color w:val="000000" w:themeColor="text1"/>
        </w:rPr>
        <w:lastRenderedPageBreak/>
        <w:t xml:space="preserve">It is agreed </w:t>
      </w:r>
      <w:r w:rsidR="00F0669E" w:rsidRPr="00C560A2">
        <w:rPr>
          <w:color w:val="000000" w:themeColor="text1"/>
        </w:rPr>
        <w:t>with</w:t>
      </w:r>
      <w:r w:rsidR="0010591D" w:rsidRPr="00C560A2">
        <w:rPr>
          <w:color w:val="000000" w:themeColor="text1"/>
        </w:rPr>
        <w:t xml:space="preserve"> both deputy Ministers of Finance and Economy – in charge of </w:t>
      </w:r>
      <w:r w:rsidR="00F0669E" w:rsidRPr="00C560A2">
        <w:rPr>
          <w:color w:val="000000" w:themeColor="text1"/>
        </w:rPr>
        <w:t xml:space="preserve">budget and employment </w:t>
      </w:r>
      <w:r w:rsidRPr="00C560A2">
        <w:rPr>
          <w:color w:val="000000" w:themeColor="text1"/>
        </w:rPr>
        <w:t>that with the support of this proposed intervention, a thorough investigation needs to take place about the concrete issues behind this non-compliance so far. The analysis will look at the legal and management elements of the fund in order to learn from the past and come up with a functional mechanism that will have the buy in of the private sector. As the purpose of this intervention is to ensure that levies that will be collected will go to the benefit of PwD, in the absence of reliable administrative records, an enforcement and monitoring mechanism will be established to account for the employment of people with disability.</w:t>
      </w:r>
      <w:r w:rsidR="00FB58E7" w:rsidRPr="00C560A2">
        <w:rPr>
          <w:color w:val="000000" w:themeColor="text1"/>
        </w:rPr>
        <w:t xml:space="preserve"> Discussions with the Chamber of Tirana for Commerce and Industries (the largest in Albania) </w:t>
      </w:r>
      <w:r w:rsidR="00CC2CE7">
        <w:rPr>
          <w:color w:val="000000" w:themeColor="text1"/>
        </w:rPr>
        <w:t>are</w:t>
      </w:r>
      <w:r w:rsidR="00FB58E7" w:rsidRPr="00C560A2">
        <w:rPr>
          <w:color w:val="000000" w:themeColor="text1"/>
        </w:rPr>
        <w:t xml:space="preserve"> also advanced and they see both approaches as acceptable (whether through budget or extra-budgetary). Similarly, the deputy minister of health and social protection sees this as an important step to address the serious gap of access of PWD to the job market. </w:t>
      </w:r>
    </w:p>
    <w:p w14:paraId="151F3DBD" w14:textId="77777777" w:rsidR="00583E64" w:rsidRPr="00C560A2" w:rsidRDefault="00583E64" w:rsidP="00C560A2">
      <w:pPr>
        <w:pStyle w:val="NoSpacing"/>
        <w:jc w:val="both"/>
        <w:rPr>
          <w:color w:val="000000" w:themeColor="text1"/>
        </w:rPr>
      </w:pPr>
    </w:p>
    <w:p w14:paraId="3A909417" w14:textId="0EDC86B2" w:rsidR="00EF1A1F" w:rsidRDefault="00FB58E7" w:rsidP="00C560A2">
      <w:pPr>
        <w:spacing w:after="0" w:line="240" w:lineRule="auto"/>
        <w:jc w:val="both"/>
        <w:rPr>
          <w:b/>
          <w:bCs/>
          <w:i/>
          <w:color w:val="000000" w:themeColor="text1"/>
        </w:rPr>
      </w:pPr>
      <w:r w:rsidRPr="00C560A2">
        <w:rPr>
          <w:bCs/>
          <w:color w:val="000000" w:themeColor="text1"/>
        </w:rPr>
        <w:t xml:space="preserve">UNDP is seen as the lead partner with above ministries in the areas of the social inclusion of PWD, employment measures for targeted groups, and skills for development and VET. The private sector also sees UNDP work as central in these areas. </w:t>
      </w:r>
      <w:r w:rsidR="00EF1A1F" w:rsidRPr="00C560A2">
        <w:rPr>
          <w:bCs/>
          <w:color w:val="000000" w:themeColor="text1"/>
        </w:rPr>
        <w:t xml:space="preserve">It was highlighted that some companies were already had some initiatives but that this would provide more awareness, provide a framework for those who wanted to contribute but not implement, and encourage new companies to take part. </w:t>
      </w:r>
      <w:r w:rsidR="00EF1A1F" w:rsidRPr="00C560A2">
        <w:rPr>
          <w:b/>
          <w:bCs/>
          <w:i/>
          <w:color w:val="000000" w:themeColor="text1"/>
        </w:rPr>
        <w:t xml:space="preserve">There </w:t>
      </w:r>
      <w:r w:rsidR="00943A09" w:rsidRPr="00C560A2">
        <w:rPr>
          <w:b/>
          <w:bCs/>
          <w:i/>
          <w:color w:val="000000" w:themeColor="text1"/>
        </w:rPr>
        <w:t xml:space="preserve">have been consultations with </w:t>
      </w:r>
      <w:r w:rsidR="00EF1A1F" w:rsidRPr="00C560A2">
        <w:rPr>
          <w:b/>
          <w:bCs/>
          <w:i/>
          <w:color w:val="000000" w:themeColor="text1"/>
        </w:rPr>
        <w:t>all partners</w:t>
      </w:r>
      <w:r w:rsidR="00943A09" w:rsidRPr="00C560A2">
        <w:rPr>
          <w:b/>
          <w:bCs/>
          <w:i/>
          <w:color w:val="000000" w:themeColor="text1"/>
        </w:rPr>
        <w:t xml:space="preserve"> and we have their buy-in</w:t>
      </w:r>
      <w:r w:rsidR="00EF1A1F" w:rsidRPr="00C560A2">
        <w:rPr>
          <w:b/>
          <w:bCs/>
          <w:i/>
          <w:color w:val="000000" w:themeColor="text1"/>
        </w:rPr>
        <w:t>.</w:t>
      </w:r>
    </w:p>
    <w:p w14:paraId="56AB5058" w14:textId="77777777" w:rsidR="00C560A2" w:rsidRPr="00C560A2" w:rsidRDefault="00C560A2" w:rsidP="00C560A2">
      <w:pPr>
        <w:spacing w:after="0" w:line="240" w:lineRule="auto"/>
        <w:jc w:val="both"/>
        <w:rPr>
          <w:b/>
          <w:bCs/>
          <w:i/>
          <w:color w:val="000000" w:themeColor="text1"/>
        </w:rPr>
      </w:pPr>
    </w:p>
    <w:p w14:paraId="6A90277E" w14:textId="6B3A40B9" w:rsidR="006617F5" w:rsidRDefault="006617F5" w:rsidP="00C560A2">
      <w:pPr>
        <w:spacing w:after="0" w:line="240" w:lineRule="auto"/>
        <w:jc w:val="both"/>
        <w:rPr>
          <w:bCs/>
          <w:color w:val="000000" w:themeColor="text1"/>
        </w:rPr>
      </w:pPr>
      <w:r w:rsidRPr="00C560A2">
        <w:rPr>
          <w:bCs/>
          <w:color w:val="000000" w:themeColor="text1"/>
        </w:rPr>
        <w:t xml:space="preserve">During the preparation of this proposal </w:t>
      </w:r>
      <w:r w:rsidR="0034508E" w:rsidRPr="00C560A2">
        <w:rPr>
          <w:bCs/>
          <w:color w:val="000000" w:themeColor="text1"/>
        </w:rPr>
        <w:t xml:space="preserve">two main risks </w:t>
      </w:r>
      <w:r w:rsidRPr="00C560A2">
        <w:rPr>
          <w:bCs/>
          <w:color w:val="000000" w:themeColor="text1"/>
        </w:rPr>
        <w:t xml:space="preserve">were identified that could have negative effects on its success. </w:t>
      </w:r>
    </w:p>
    <w:p w14:paraId="0536317D" w14:textId="77777777" w:rsidR="00C560A2" w:rsidRPr="00C560A2" w:rsidRDefault="00C560A2" w:rsidP="00C560A2">
      <w:pPr>
        <w:spacing w:after="0" w:line="240" w:lineRule="auto"/>
        <w:jc w:val="both"/>
        <w:rPr>
          <w:bCs/>
          <w:color w:val="000000" w:themeColor="text1"/>
        </w:rPr>
      </w:pPr>
    </w:p>
    <w:p w14:paraId="3747F094" w14:textId="77777777" w:rsidR="009347C7" w:rsidRDefault="009347C7" w:rsidP="00C560A2">
      <w:pPr>
        <w:spacing w:after="0" w:line="240" w:lineRule="auto"/>
        <w:jc w:val="both"/>
        <w:rPr>
          <w:bCs/>
          <w:color w:val="000000" w:themeColor="text1"/>
        </w:rPr>
      </w:pPr>
      <w:r w:rsidRPr="00C560A2">
        <w:rPr>
          <w:b/>
          <w:bCs/>
          <w:color w:val="000000" w:themeColor="text1"/>
        </w:rPr>
        <w:t>Risk 1:</w:t>
      </w:r>
      <w:r w:rsidRPr="00C560A2">
        <w:rPr>
          <w:bCs/>
          <w:color w:val="000000" w:themeColor="text1"/>
        </w:rPr>
        <w:t xml:space="preserve"> </w:t>
      </w:r>
      <w:r w:rsidR="0072518E" w:rsidRPr="00C560A2">
        <w:rPr>
          <w:bCs/>
          <w:color w:val="000000" w:themeColor="text1"/>
        </w:rPr>
        <w:t>A tight fiscal framework might</w:t>
      </w:r>
      <w:r w:rsidR="006E4A62" w:rsidRPr="00C560A2">
        <w:rPr>
          <w:bCs/>
          <w:color w:val="000000" w:themeColor="text1"/>
        </w:rPr>
        <w:t xml:space="preserve"> inhibit</w:t>
      </w:r>
      <w:r w:rsidRPr="00C560A2">
        <w:rPr>
          <w:bCs/>
          <w:color w:val="000000" w:themeColor="text1"/>
        </w:rPr>
        <w:t xml:space="preserve"> the Ministry of Finance</w:t>
      </w:r>
      <w:r w:rsidR="006E4A62" w:rsidRPr="00C560A2">
        <w:rPr>
          <w:bCs/>
          <w:color w:val="000000" w:themeColor="text1"/>
        </w:rPr>
        <w:t xml:space="preserve"> from the establishment of the Fund</w:t>
      </w:r>
      <w:r w:rsidR="0051382D" w:rsidRPr="00C560A2">
        <w:rPr>
          <w:bCs/>
          <w:color w:val="000000" w:themeColor="text1"/>
        </w:rPr>
        <w:t xml:space="preserve">. </w:t>
      </w:r>
    </w:p>
    <w:p w14:paraId="46489A84" w14:textId="77777777" w:rsidR="00CC2CE7" w:rsidRPr="00C560A2" w:rsidRDefault="00CC2CE7" w:rsidP="00C560A2">
      <w:pPr>
        <w:spacing w:after="0" w:line="240" w:lineRule="auto"/>
        <w:jc w:val="both"/>
        <w:rPr>
          <w:bCs/>
          <w:color w:val="000000" w:themeColor="text1"/>
        </w:rPr>
      </w:pPr>
    </w:p>
    <w:p w14:paraId="5DE53581" w14:textId="1FFD4F87" w:rsidR="0072518E" w:rsidRDefault="0072518E" w:rsidP="00C560A2">
      <w:pPr>
        <w:spacing w:after="0" w:line="240" w:lineRule="auto"/>
        <w:jc w:val="both"/>
        <w:rPr>
          <w:bCs/>
          <w:color w:val="000000" w:themeColor="text1"/>
        </w:rPr>
      </w:pPr>
      <w:r w:rsidRPr="00C560A2">
        <w:rPr>
          <w:bCs/>
          <w:i/>
          <w:color w:val="000000" w:themeColor="text1"/>
        </w:rPr>
        <w:t>Mitigation:</w:t>
      </w:r>
      <w:r w:rsidRPr="00C560A2">
        <w:rPr>
          <w:bCs/>
          <w:color w:val="000000" w:themeColor="text1"/>
        </w:rPr>
        <w:t xml:space="preserve"> The untapped private and </w:t>
      </w:r>
      <w:r w:rsidR="002528AA" w:rsidRPr="00C560A2">
        <w:rPr>
          <w:bCs/>
          <w:color w:val="000000" w:themeColor="text1"/>
        </w:rPr>
        <w:t>public-sector</w:t>
      </w:r>
      <w:r w:rsidRPr="00C560A2">
        <w:rPr>
          <w:bCs/>
          <w:color w:val="000000" w:themeColor="text1"/>
        </w:rPr>
        <w:t xml:space="preserve"> contributions (amounting to 27 – 38 million USD annually) might serve as a persuasive argument in the negotiations with the Ministry of Finance and IMF.</w:t>
      </w:r>
      <w:r w:rsidR="00F842D5" w:rsidRPr="00C560A2">
        <w:rPr>
          <w:bCs/>
          <w:color w:val="000000" w:themeColor="text1"/>
        </w:rPr>
        <w:t xml:space="preserve"> In addition, the fact that employment and VET are under the purview of the Ministry of Finance, negotiations with the latter might be easier to undertake.</w:t>
      </w:r>
    </w:p>
    <w:p w14:paraId="3D2818B5" w14:textId="77777777" w:rsidR="00CC2CE7" w:rsidRPr="00C560A2" w:rsidRDefault="00CC2CE7" w:rsidP="00C560A2">
      <w:pPr>
        <w:spacing w:after="0" w:line="240" w:lineRule="auto"/>
        <w:jc w:val="both"/>
        <w:rPr>
          <w:bCs/>
          <w:color w:val="000000" w:themeColor="text1"/>
        </w:rPr>
      </w:pPr>
    </w:p>
    <w:p w14:paraId="3D428A9A" w14:textId="77777777" w:rsidR="0051382D" w:rsidRDefault="0051382D" w:rsidP="00C560A2">
      <w:pPr>
        <w:spacing w:after="0" w:line="240" w:lineRule="auto"/>
        <w:jc w:val="both"/>
        <w:rPr>
          <w:bCs/>
          <w:color w:val="000000" w:themeColor="text1"/>
        </w:rPr>
      </w:pPr>
      <w:r w:rsidRPr="00C560A2">
        <w:rPr>
          <w:b/>
          <w:bCs/>
          <w:color w:val="000000" w:themeColor="text1"/>
        </w:rPr>
        <w:t xml:space="preserve">Risk </w:t>
      </w:r>
      <w:r w:rsidR="0072518E" w:rsidRPr="00C560A2">
        <w:rPr>
          <w:b/>
          <w:bCs/>
          <w:color w:val="000000" w:themeColor="text1"/>
        </w:rPr>
        <w:t>2</w:t>
      </w:r>
      <w:r w:rsidRPr="00C560A2">
        <w:rPr>
          <w:b/>
          <w:bCs/>
          <w:color w:val="000000" w:themeColor="text1"/>
        </w:rPr>
        <w:t>:</w:t>
      </w:r>
      <w:r w:rsidRPr="00C560A2">
        <w:rPr>
          <w:bCs/>
          <w:color w:val="000000" w:themeColor="text1"/>
        </w:rPr>
        <w:t xml:space="preserve"> Coordination across multiple line Ministries could be very difficult particularly as employment and skills development on one hand and social inclusion of people with disabilities are no longer</w:t>
      </w:r>
      <w:r w:rsidR="00B85B3A" w:rsidRPr="00C560A2">
        <w:rPr>
          <w:bCs/>
          <w:color w:val="000000" w:themeColor="text1"/>
        </w:rPr>
        <w:t xml:space="preserve"> remain</w:t>
      </w:r>
      <w:r w:rsidRPr="00C560A2">
        <w:rPr>
          <w:bCs/>
          <w:color w:val="000000" w:themeColor="text1"/>
        </w:rPr>
        <w:t xml:space="preserve"> in the portfolio of the same Ministry. </w:t>
      </w:r>
    </w:p>
    <w:p w14:paraId="6A5C8DB8" w14:textId="77777777" w:rsidR="00CC2CE7" w:rsidRPr="00C560A2" w:rsidRDefault="00CC2CE7" w:rsidP="00C560A2">
      <w:pPr>
        <w:spacing w:after="0" w:line="240" w:lineRule="auto"/>
        <w:jc w:val="both"/>
        <w:rPr>
          <w:bCs/>
          <w:color w:val="000000" w:themeColor="text1"/>
        </w:rPr>
      </w:pPr>
    </w:p>
    <w:p w14:paraId="3CCC0FA3" w14:textId="77777777" w:rsidR="00A143AA" w:rsidRPr="00C560A2" w:rsidRDefault="0072518E" w:rsidP="00C560A2">
      <w:pPr>
        <w:spacing w:after="0" w:line="240" w:lineRule="auto"/>
        <w:jc w:val="both"/>
        <w:rPr>
          <w:bCs/>
          <w:color w:val="000000" w:themeColor="text1"/>
        </w:rPr>
      </w:pPr>
      <w:r w:rsidRPr="00C560A2">
        <w:rPr>
          <w:bCs/>
          <w:i/>
          <w:color w:val="000000" w:themeColor="text1"/>
        </w:rPr>
        <w:t>Mitigation:</w:t>
      </w:r>
      <w:r w:rsidRPr="00C560A2">
        <w:rPr>
          <w:bCs/>
          <w:color w:val="000000" w:themeColor="text1"/>
        </w:rPr>
        <w:t xml:space="preserve"> Provide</w:t>
      </w:r>
      <w:r w:rsidR="002201E5" w:rsidRPr="00C560A2">
        <w:rPr>
          <w:bCs/>
          <w:color w:val="000000" w:themeColor="text1"/>
        </w:rPr>
        <w:t xml:space="preserve">d that UNDP Albania </w:t>
      </w:r>
      <w:r w:rsidR="00B85B3A" w:rsidRPr="00C560A2">
        <w:rPr>
          <w:bCs/>
          <w:color w:val="000000" w:themeColor="text1"/>
        </w:rPr>
        <w:t xml:space="preserve">continues to </w:t>
      </w:r>
      <w:r w:rsidR="002201E5" w:rsidRPr="00C560A2">
        <w:rPr>
          <w:bCs/>
          <w:color w:val="000000" w:themeColor="text1"/>
        </w:rPr>
        <w:t xml:space="preserve">work </w:t>
      </w:r>
      <w:r w:rsidR="00B85B3A" w:rsidRPr="00C560A2">
        <w:rPr>
          <w:bCs/>
          <w:color w:val="000000" w:themeColor="text1"/>
        </w:rPr>
        <w:t>closely with the Ministry of Finance and Economy and the Ministry of Health and Social Protection</w:t>
      </w:r>
      <w:r w:rsidR="002201E5" w:rsidRPr="00C560A2">
        <w:rPr>
          <w:bCs/>
          <w:color w:val="000000" w:themeColor="text1"/>
        </w:rPr>
        <w:t>, all efforts will be made to rely on the strong partnerships built with stakeholders at all levels.</w:t>
      </w:r>
      <w:r w:rsidR="00F842D5" w:rsidRPr="00C560A2">
        <w:rPr>
          <w:bCs/>
          <w:color w:val="000000" w:themeColor="text1"/>
        </w:rPr>
        <w:t xml:space="preserve"> </w:t>
      </w:r>
    </w:p>
    <w:p w14:paraId="7B80A3F2" w14:textId="77777777" w:rsidR="00B85B3A" w:rsidRPr="00C560A2" w:rsidRDefault="00B85B3A" w:rsidP="00C560A2">
      <w:pPr>
        <w:spacing w:after="0" w:line="240" w:lineRule="auto"/>
        <w:jc w:val="both"/>
        <w:rPr>
          <w:color w:val="000000" w:themeColor="text1"/>
        </w:rPr>
      </w:pPr>
    </w:p>
    <w:p w14:paraId="05A841EF" w14:textId="77777777" w:rsidR="0018086F" w:rsidRPr="00C560A2" w:rsidRDefault="0018086F" w:rsidP="00C560A2">
      <w:pPr>
        <w:spacing w:after="0" w:line="240" w:lineRule="auto"/>
        <w:jc w:val="both"/>
        <w:rPr>
          <w:color w:val="000000" w:themeColor="text1"/>
        </w:rPr>
      </w:pPr>
      <w:r w:rsidRPr="00C560A2">
        <w:rPr>
          <w:color w:val="000000" w:themeColor="text1"/>
        </w:rPr>
        <w:t>   </w:t>
      </w:r>
    </w:p>
    <w:p w14:paraId="22F6122B" w14:textId="77777777" w:rsidR="001F7043" w:rsidRPr="00C560A2" w:rsidRDefault="01415C72" w:rsidP="00C560A2">
      <w:pPr>
        <w:pStyle w:val="ListParagraph"/>
        <w:numPr>
          <w:ilvl w:val="0"/>
          <w:numId w:val="14"/>
        </w:numPr>
        <w:spacing w:after="0" w:line="240" w:lineRule="auto"/>
        <w:rPr>
          <w:b/>
          <w:bCs/>
          <w:color w:val="000000" w:themeColor="text1"/>
        </w:rPr>
      </w:pPr>
      <w:r w:rsidRPr="00C560A2">
        <w:rPr>
          <w:b/>
          <w:bCs/>
          <w:color w:val="000000" w:themeColor="text1"/>
        </w:rPr>
        <w:t xml:space="preserve">Budget </w:t>
      </w:r>
    </w:p>
    <w:p w14:paraId="403574B8" w14:textId="77777777" w:rsidR="00C560A2" w:rsidRDefault="00C560A2" w:rsidP="00C560A2">
      <w:pPr>
        <w:spacing w:after="0" w:line="240" w:lineRule="auto"/>
        <w:rPr>
          <w:bCs/>
          <w:color w:val="000000" w:themeColor="text1"/>
        </w:rPr>
      </w:pPr>
    </w:p>
    <w:p w14:paraId="5523B2C4" w14:textId="77777777" w:rsidR="002201E5" w:rsidRDefault="00F842D5" w:rsidP="00C560A2">
      <w:pPr>
        <w:spacing w:after="0" w:line="240" w:lineRule="auto"/>
        <w:rPr>
          <w:bCs/>
          <w:color w:val="000000" w:themeColor="text1"/>
        </w:rPr>
      </w:pPr>
      <w:r w:rsidRPr="00C560A2">
        <w:rPr>
          <w:bCs/>
          <w:color w:val="000000" w:themeColor="text1"/>
        </w:rPr>
        <w:t>The overall budget requested for this intervention is USD 300,000, $15</w:t>
      </w:r>
      <w:r w:rsidR="00883571" w:rsidRPr="00C560A2">
        <w:rPr>
          <w:bCs/>
          <w:color w:val="000000" w:themeColor="text1"/>
        </w:rPr>
        <w:t>0,000 in programmatic resources</w:t>
      </w:r>
      <w:r w:rsidR="00351481" w:rsidRPr="00C560A2">
        <w:rPr>
          <w:bCs/>
          <w:color w:val="000000" w:themeColor="text1"/>
        </w:rPr>
        <w:t xml:space="preserve"> and $150,000 for management and</w:t>
      </w:r>
      <w:r w:rsidRPr="00C560A2">
        <w:rPr>
          <w:bCs/>
          <w:color w:val="000000" w:themeColor="text1"/>
        </w:rPr>
        <w:t xml:space="preserve"> operational costs.</w:t>
      </w:r>
    </w:p>
    <w:p w14:paraId="0B154302" w14:textId="77777777" w:rsidR="00C560A2" w:rsidRDefault="00C560A2" w:rsidP="00C560A2">
      <w:pPr>
        <w:spacing w:after="0" w:line="240" w:lineRule="auto"/>
        <w:rPr>
          <w:bCs/>
          <w:color w:val="000000" w:themeColor="text1"/>
        </w:rPr>
      </w:pPr>
    </w:p>
    <w:p w14:paraId="49B858DA" w14:textId="77777777" w:rsidR="00C560A2" w:rsidRPr="00C560A2" w:rsidRDefault="00C560A2" w:rsidP="00C560A2">
      <w:pPr>
        <w:spacing w:after="0" w:line="240" w:lineRule="auto"/>
        <w:rPr>
          <w:color w:val="000000" w:themeColor="text1"/>
        </w:rPr>
      </w:pPr>
    </w:p>
    <w:tbl>
      <w:tblPr>
        <w:tblStyle w:val="TableGrid"/>
        <w:tblW w:w="9684" w:type="dxa"/>
        <w:tblInd w:w="-5" w:type="dxa"/>
        <w:tblLook w:val="04A0" w:firstRow="1" w:lastRow="0" w:firstColumn="1" w:lastColumn="0" w:noHBand="0" w:noVBand="1"/>
      </w:tblPr>
      <w:tblGrid>
        <w:gridCol w:w="436"/>
        <w:gridCol w:w="2779"/>
        <w:gridCol w:w="2301"/>
        <w:gridCol w:w="1510"/>
        <w:gridCol w:w="1443"/>
        <w:gridCol w:w="1215"/>
      </w:tblGrid>
      <w:tr w:rsidR="00EB29EC" w:rsidRPr="00EB29EC" w14:paraId="25B1F751" w14:textId="77777777" w:rsidTr="00EB29EC">
        <w:tc>
          <w:tcPr>
            <w:tcW w:w="436" w:type="dxa"/>
          </w:tcPr>
          <w:p w14:paraId="433FC125" w14:textId="77777777" w:rsidR="00F44C9B" w:rsidRPr="00EB29EC" w:rsidRDefault="00F44C9B" w:rsidP="00C560A2">
            <w:pPr>
              <w:pStyle w:val="ListParagraph"/>
              <w:spacing w:after="0" w:line="240" w:lineRule="auto"/>
              <w:ind w:left="0"/>
              <w:rPr>
                <w:b/>
                <w:bCs/>
                <w:color w:val="000000" w:themeColor="text1"/>
                <w:sz w:val="20"/>
                <w:szCs w:val="20"/>
              </w:rPr>
            </w:pPr>
          </w:p>
        </w:tc>
        <w:tc>
          <w:tcPr>
            <w:tcW w:w="2779" w:type="dxa"/>
          </w:tcPr>
          <w:p w14:paraId="7FE18905" w14:textId="77777777" w:rsidR="00F44C9B" w:rsidRPr="00EB29EC" w:rsidRDefault="00F44C9B" w:rsidP="00C560A2">
            <w:pPr>
              <w:pStyle w:val="ListParagraph"/>
              <w:spacing w:after="0" w:line="240" w:lineRule="auto"/>
              <w:ind w:left="0"/>
              <w:rPr>
                <w:b/>
                <w:bCs/>
                <w:color w:val="000000" w:themeColor="text1"/>
                <w:sz w:val="20"/>
                <w:szCs w:val="20"/>
              </w:rPr>
            </w:pPr>
            <w:r w:rsidRPr="00EB29EC">
              <w:rPr>
                <w:b/>
                <w:bCs/>
                <w:color w:val="000000" w:themeColor="text1"/>
                <w:sz w:val="20"/>
                <w:szCs w:val="20"/>
              </w:rPr>
              <w:t>Activity</w:t>
            </w:r>
          </w:p>
        </w:tc>
        <w:tc>
          <w:tcPr>
            <w:tcW w:w="2301" w:type="dxa"/>
          </w:tcPr>
          <w:p w14:paraId="0A528A31" w14:textId="77777777" w:rsidR="00F44C9B" w:rsidRPr="00EB29EC" w:rsidRDefault="00F44C9B" w:rsidP="00C560A2">
            <w:pPr>
              <w:pStyle w:val="ListParagraph"/>
              <w:spacing w:after="0" w:line="240" w:lineRule="auto"/>
              <w:ind w:left="0"/>
              <w:rPr>
                <w:b/>
                <w:bCs/>
                <w:color w:val="000000" w:themeColor="text1"/>
                <w:sz w:val="20"/>
                <w:szCs w:val="20"/>
              </w:rPr>
            </w:pPr>
            <w:r w:rsidRPr="00EB29EC">
              <w:rPr>
                <w:b/>
                <w:bCs/>
                <w:color w:val="000000" w:themeColor="text1"/>
                <w:sz w:val="20"/>
                <w:szCs w:val="20"/>
              </w:rPr>
              <w:t>Budget</w:t>
            </w:r>
          </w:p>
        </w:tc>
        <w:tc>
          <w:tcPr>
            <w:tcW w:w="1510" w:type="dxa"/>
          </w:tcPr>
          <w:p w14:paraId="1B8C3991" w14:textId="77777777" w:rsidR="00F44C9B" w:rsidRPr="00EB29EC" w:rsidRDefault="00F44C9B" w:rsidP="00C560A2">
            <w:pPr>
              <w:pStyle w:val="ListParagraph"/>
              <w:spacing w:after="0" w:line="240" w:lineRule="auto"/>
              <w:ind w:left="0"/>
              <w:rPr>
                <w:b/>
                <w:bCs/>
                <w:color w:val="000000" w:themeColor="text1"/>
                <w:sz w:val="20"/>
                <w:szCs w:val="20"/>
              </w:rPr>
            </w:pPr>
            <w:r w:rsidRPr="00EB29EC">
              <w:rPr>
                <w:b/>
                <w:bCs/>
                <w:color w:val="000000" w:themeColor="text1"/>
                <w:sz w:val="20"/>
                <w:szCs w:val="20"/>
              </w:rPr>
              <w:t>Programmatic</w:t>
            </w:r>
          </w:p>
        </w:tc>
        <w:tc>
          <w:tcPr>
            <w:tcW w:w="1443" w:type="dxa"/>
          </w:tcPr>
          <w:p w14:paraId="6D893941" w14:textId="77777777" w:rsidR="00F44C9B" w:rsidRPr="00EB29EC" w:rsidRDefault="00F44C9B" w:rsidP="00C560A2">
            <w:pPr>
              <w:pStyle w:val="ListParagraph"/>
              <w:spacing w:after="0" w:line="240" w:lineRule="auto"/>
              <w:ind w:left="0"/>
              <w:rPr>
                <w:b/>
                <w:bCs/>
                <w:color w:val="000000" w:themeColor="text1"/>
                <w:sz w:val="20"/>
                <w:szCs w:val="20"/>
              </w:rPr>
            </w:pPr>
            <w:r w:rsidRPr="00EB29EC">
              <w:rPr>
                <w:b/>
                <w:bCs/>
                <w:color w:val="000000" w:themeColor="text1"/>
                <w:sz w:val="20"/>
                <w:szCs w:val="20"/>
              </w:rPr>
              <w:t>Management</w:t>
            </w:r>
          </w:p>
        </w:tc>
        <w:tc>
          <w:tcPr>
            <w:tcW w:w="1215" w:type="dxa"/>
          </w:tcPr>
          <w:p w14:paraId="44665AB0" w14:textId="77777777" w:rsidR="00F44C9B" w:rsidRPr="00EB29EC" w:rsidRDefault="00F44C9B" w:rsidP="00C560A2">
            <w:pPr>
              <w:pStyle w:val="ListParagraph"/>
              <w:spacing w:after="0" w:line="240" w:lineRule="auto"/>
              <w:ind w:left="0"/>
              <w:rPr>
                <w:b/>
                <w:bCs/>
                <w:color w:val="000000" w:themeColor="text1"/>
                <w:sz w:val="20"/>
                <w:szCs w:val="20"/>
              </w:rPr>
            </w:pPr>
            <w:r w:rsidRPr="00EB29EC">
              <w:rPr>
                <w:b/>
                <w:bCs/>
                <w:color w:val="000000" w:themeColor="text1"/>
                <w:sz w:val="20"/>
                <w:szCs w:val="20"/>
              </w:rPr>
              <w:t>Timeframe</w:t>
            </w:r>
          </w:p>
        </w:tc>
      </w:tr>
      <w:tr w:rsidR="00EB29EC" w:rsidRPr="00EB29EC" w14:paraId="468886A1" w14:textId="77777777" w:rsidTr="00EB29EC">
        <w:trPr>
          <w:trHeight w:val="479"/>
        </w:trPr>
        <w:tc>
          <w:tcPr>
            <w:tcW w:w="436" w:type="dxa"/>
            <w:vMerge w:val="restart"/>
          </w:tcPr>
          <w:p w14:paraId="3769AF0D" w14:textId="77777777" w:rsidR="00F44C9B" w:rsidRPr="00EB29EC" w:rsidRDefault="00F44C9B" w:rsidP="00C560A2">
            <w:pPr>
              <w:pStyle w:val="ListParagraph"/>
              <w:spacing w:after="0" w:line="240" w:lineRule="auto"/>
              <w:ind w:left="0"/>
              <w:rPr>
                <w:bCs/>
                <w:color w:val="000000" w:themeColor="text1"/>
                <w:sz w:val="20"/>
                <w:szCs w:val="20"/>
              </w:rPr>
            </w:pPr>
            <w:r w:rsidRPr="00EB29EC">
              <w:rPr>
                <w:bCs/>
                <w:color w:val="000000" w:themeColor="text1"/>
                <w:sz w:val="20"/>
                <w:szCs w:val="20"/>
              </w:rPr>
              <w:t>1.</w:t>
            </w:r>
          </w:p>
        </w:tc>
        <w:tc>
          <w:tcPr>
            <w:tcW w:w="2779" w:type="dxa"/>
            <w:vMerge w:val="restart"/>
          </w:tcPr>
          <w:p w14:paraId="6C6D4A48" w14:textId="77777777" w:rsidR="00F44C9B" w:rsidRPr="00EB29EC" w:rsidRDefault="00F44C9B" w:rsidP="00C560A2">
            <w:pPr>
              <w:pStyle w:val="ListParagraph"/>
              <w:spacing w:after="0" w:line="240" w:lineRule="auto"/>
              <w:ind w:left="0"/>
              <w:rPr>
                <w:bCs/>
                <w:i/>
                <w:color w:val="000000" w:themeColor="text1"/>
                <w:sz w:val="20"/>
                <w:szCs w:val="20"/>
              </w:rPr>
            </w:pPr>
            <w:r w:rsidRPr="00EB29EC">
              <w:rPr>
                <w:bCs/>
                <w:i/>
                <w:color w:val="000000" w:themeColor="text1"/>
                <w:sz w:val="20"/>
                <w:szCs w:val="20"/>
              </w:rPr>
              <w:t>Inception Phase</w:t>
            </w:r>
          </w:p>
          <w:p w14:paraId="37C78DB7" w14:textId="77777777" w:rsidR="00F44C9B" w:rsidRPr="00EB29EC" w:rsidRDefault="00F44C9B" w:rsidP="00C560A2">
            <w:pPr>
              <w:pStyle w:val="ListParagraph"/>
              <w:numPr>
                <w:ilvl w:val="0"/>
                <w:numId w:val="19"/>
              </w:numPr>
              <w:spacing w:after="0" w:line="240" w:lineRule="auto"/>
              <w:ind w:left="250" w:hanging="250"/>
              <w:rPr>
                <w:bCs/>
                <w:color w:val="000000" w:themeColor="text1"/>
                <w:sz w:val="20"/>
                <w:szCs w:val="20"/>
              </w:rPr>
            </w:pPr>
            <w:r w:rsidRPr="00EB29EC">
              <w:rPr>
                <w:bCs/>
                <w:color w:val="000000" w:themeColor="text1"/>
                <w:sz w:val="20"/>
                <w:szCs w:val="20"/>
              </w:rPr>
              <w:t>Data collection and analysis</w:t>
            </w:r>
          </w:p>
          <w:p w14:paraId="7D946C22" w14:textId="77777777" w:rsidR="00F44C9B" w:rsidRPr="00EB29EC" w:rsidRDefault="00F44C9B" w:rsidP="00C560A2">
            <w:pPr>
              <w:pStyle w:val="ListParagraph"/>
              <w:numPr>
                <w:ilvl w:val="0"/>
                <w:numId w:val="19"/>
              </w:numPr>
              <w:spacing w:after="0" w:line="240" w:lineRule="auto"/>
              <w:ind w:left="250" w:hanging="250"/>
              <w:rPr>
                <w:bCs/>
                <w:color w:val="000000" w:themeColor="text1"/>
                <w:sz w:val="20"/>
                <w:szCs w:val="20"/>
              </w:rPr>
            </w:pPr>
            <w:r w:rsidRPr="00EB29EC">
              <w:rPr>
                <w:bCs/>
                <w:color w:val="000000" w:themeColor="text1"/>
                <w:sz w:val="20"/>
                <w:szCs w:val="20"/>
              </w:rPr>
              <w:lastRenderedPageBreak/>
              <w:t>Conceptualization and design of the structure of the fund</w:t>
            </w:r>
          </w:p>
          <w:p w14:paraId="42055F92" w14:textId="77777777" w:rsidR="00F44C9B" w:rsidRPr="00EB29EC" w:rsidRDefault="00F44C9B" w:rsidP="00C560A2">
            <w:pPr>
              <w:pStyle w:val="ListParagraph"/>
              <w:numPr>
                <w:ilvl w:val="0"/>
                <w:numId w:val="19"/>
              </w:numPr>
              <w:spacing w:after="0" w:line="240" w:lineRule="auto"/>
              <w:ind w:left="250" w:hanging="250"/>
              <w:rPr>
                <w:bCs/>
                <w:color w:val="000000" w:themeColor="text1"/>
                <w:sz w:val="20"/>
                <w:szCs w:val="20"/>
              </w:rPr>
            </w:pPr>
            <w:r w:rsidRPr="00EB29EC">
              <w:rPr>
                <w:bCs/>
                <w:color w:val="000000" w:themeColor="text1"/>
                <w:sz w:val="20"/>
                <w:szCs w:val="20"/>
              </w:rPr>
              <w:t>Consultations and validation</w:t>
            </w:r>
          </w:p>
        </w:tc>
        <w:tc>
          <w:tcPr>
            <w:tcW w:w="2301" w:type="dxa"/>
          </w:tcPr>
          <w:p w14:paraId="63302A65" w14:textId="77777777" w:rsidR="00F44C9B" w:rsidRPr="00EB29EC" w:rsidRDefault="00F44C9B" w:rsidP="00C560A2">
            <w:pPr>
              <w:pStyle w:val="ListParagraph"/>
              <w:spacing w:after="0" w:line="240" w:lineRule="auto"/>
              <w:ind w:left="0"/>
              <w:rPr>
                <w:bCs/>
                <w:color w:val="000000" w:themeColor="text1"/>
                <w:sz w:val="20"/>
                <w:szCs w:val="20"/>
              </w:rPr>
            </w:pPr>
            <w:r w:rsidRPr="00EB29EC">
              <w:rPr>
                <w:bCs/>
                <w:color w:val="000000" w:themeColor="text1"/>
                <w:sz w:val="20"/>
                <w:szCs w:val="20"/>
              </w:rPr>
              <w:lastRenderedPageBreak/>
              <w:t xml:space="preserve">National Expertise (IC and Institutional) </w:t>
            </w:r>
          </w:p>
        </w:tc>
        <w:tc>
          <w:tcPr>
            <w:tcW w:w="1510" w:type="dxa"/>
          </w:tcPr>
          <w:p w14:paraId="49D75409" w14:textId="77777777" w:rsidR="00F44C9B" w:rsidRPr="00EB29EC" w:rsidRDefault="00F44C9B" w:rsidP="00C560A2">
            <w:pPr>
              <w:pStyle w:val="ListParagraph"/>
              <w:spacing w:after="0" w:line="240" w:lineRule="auto"/>
              <w:ind w:left="0"/>
              <w:jc w:val="right"/>
              <w:rPr>
                <w:bCs/>
                <w:color w:val="000000" w:themeColor="text1"/>
                <w:sz w:val="20"/>
                <w:szCs w:val="20"/>
              </w:rPr>
            </w:pPr>
          </w:p>
        </w:tc>
        <w:tc>
          <w:tcPr>
            <w:tcW w:w="1443" w:type="dxa"/>
          </w:tcPr>
          <w:p w14:paraId="64BFB3F6" w14:textId="77777777" w:rsidR="00641087" w:rsidRPr="00EB29EC" w:rsidRDefault="00641087" w:rsidP="00C560A2">
            <w:pPr>
              <w:pStyle w:val="ListParagraph"/>
              <w:spacing w:after="0" w:line="240" w:lineRule="auto"/>
              <w:ind w:left="0"/>
              <w:jc w:val="right"/>
              <w:rPr>
                <w:bCs/>
                <w:color w:val="000000" w:themeColor="text1"/>
                <w:sz w:val="20"/>
                <w:szCs w:val="20"/>
              </w:rPr>
            </w:pPr>
            <w:r w:rsidRPr="00EB29EC">
              <w:rPr>
                <w:bCs/>
                <w:color w:val="000000" w:themeColor="text1"/>
                <w:sz w:val="20"/>
                <w:szCs w:val="20"/>
              </w:rPr>
              <w:t xml:space="preserve">$ </w:t>
            </w:r>
            <w:r w:rsidR="006F2108" w:rsidRPr="00EB29EC">
              <w:rPr>
                <w:bCs/>
                <w:color w:val="000000" w:themeColor="text1"/>
                <w:sz w:val="20"/>
                <w:szCs w:val="20"/>
              </w:rPr>
              <w:t>2</w:t>
            </w:r>
            <w:r w:rsidRPr="00EB29EC">
              <w:rPr>
                <w:bCs/>
                <w:color w:val="000000" w:themeColor="text1"/>
                <w:sz w:val="20"/>
                <w:szCs w:val="20"/>
              </w:rPr>
              <w:t>0,000</w:t>
            </w:r>
          </w:p>
          <w:p w14:paraId="2967C447" w14:textId="77777777" w:rsidR="00F44C9B" w:rsidRPr="00EB29EC" w:rsidRDefault="00F44C9B" w:rsidP="00C560A2">
            <w:pPr>
              <w:pStyle w:val="ListParagraph"/>
              <w:spacing w:after="0" w:line="240" w:lineRule="auto"/>
              <w:ind w:left="0"/>
              <w:rPr>
                <w:bCs/>
                <w:color w:val="000000" w:themeColor="text1"/>
                <w:sz w:val="20"/>
                <w:szCs w:val="20"/>
              </w:rPr>
            </w:pPr>
          </w:p>
        </w:tc>
        <w:tc>
          <w:tcPr>
            <w:tcW w:w="1215" w:type="dxa"/>
            <w:vMerge w:val="restart"/>
          </w:tcPr>
          <w:p w14:paraId="0CE19E74" w14:textId="53E0C363" w:rsidR="00F44C9B" w:rsidRPr="00EB29EC" w:rsidRDefault="00F44C9B" w:rsidP="00C560A2">
            <w:pPr>
              <w:pStyle w:val="ListParagraph"/>
              <w:spacing w:after="0" w:line="240" w:lineRule="auto"/>
              <w:ind w:left="0"/>
              <w:rPr>
                <w:bCs/>
                <w:color w:val="000000" w:themeColor="text1"/>
                <w:sz w:val="20"/>
                <w:szCs w:val="20"/>
              </w:rPr>
            </w:pPr>
            <w:r w:rsidRPr="00EB29EC">
              <w:rPr>
                <w:bCs/>
                <w:color w:val="000000" w:themeColor="text1"/>
                <w:sz w:val="20"/>
                <w:szCs w:val="20"/>
              </w:rPr>
              <w:t xml:space="preserve">By </w:t>
            </w:r>
            <w:r w:rsidR="0010591D" w:rsidRPr="00EB29EC">
              <w:rPr>
                <w:bCs/>
                <w:color w:val="000000" w:themeColor="text1"/>
                <w:sz w:val="20"/>
                <w:szCs w:val="20"/>
              </w:rPr>
              <w:t xml:space="preserve">March </w:t>
            </w:r>
            <w:r w:rsidRPr="00EB29EC">
              <w:rPr>
                <w:bCs/>
                <w:color w:val="000000" w:themeColor="text1"/>
                <w:sz w:val="20"/>
                <w:szCs w:val="20"/>
              </w:rPr>
              <w:t>2018</w:t>
            </w:r>
          </w:p>
        </w:tc>
      </w:tr>
      <w:tr w:rsidR="00EB29EC" w:rsidRPr="00EB29EC" w14:paraId="0D2D0343" w14:textId="77777777" w:rsidTr="00EB29EC">
        <w:trPr>
          <w:trHeight w:val="479"/>
        </w:trPr>
        <w:tc>
          <w:tcPr>
            <w:tcW w:w="436" w:type="dxa"/>
            <w:vMerge/>
          </w:tcPr>
          <w:p w14:paraId="7EA1BB0E" w14:textId="77777777" w:rsidR="00641087" w:rsidRPr="00EB29EC" w:rsidRDefault="00641087" w:rsidP="00C560A2">
            <w:pPr>
              <w:pStyle w:val="ListParagraph"/>
              <w:spacing w:after="0" w:line="240" w:lineRule="auto"/>
              <w:ind w:left="0"/>
              <w:rPr>
                <w:bCs/>
                <w:color w:val="000000" w:themeColor="text1"/>
                <w:sz w:val="20"/>
                <w:szCs w:val="20"/>
              </w:rPr>
            </w:pPr>
          </w:p>
        </w:tc>
        <w:tc>
          <w:tcPr>
            <w:tcW w:w="2779" w:type="dxa"/>
            <w:vMerge/>
          </w:tcPr>
          <w:p w14:paraId="1D920FDC" w14:textId="77777777" w:rsidR="00641087" w:rsidRPr="00EB29EC" w:rsidRDefault="00641087" w:rsidP="00C560A2">
            <w:pPr>
              <w:pStyle w:val="ListParagraph"/>
              <w:spacing w:after="0" w:line="240" w:lineRule="auto"/>
              <w:ind w:left="0"/>
              <w:rPr>
                <w:bCs/>
                <w:i/>
                <w:color w:val="000000" w:themeColor="text1"/>
                <w:sz w:val="20"/>
                <w:szCs w:val="20"/>
              </w:rPr>
            </w:pPr>
          </w:p>
        </w:tc>
        <w:tc>
          <w:tcPr>
            <w:tcW w:w="2301" w:type="dxa"/>
          </w:tcPr>
          <w:p w14:paraId="0777237F" w14:textId="77777777" w:rsidR="00641087" w:rsidRPr="00EB29EC" w:rsidRDefault="00641087" w:rsidP="00C560A2">
            <w:pPr>
              <w:pStyle w:val="ListParagraph"/>
              <w:spacing w:after="0" w:line="240" w:lineRule="auto"/>
              <w:ind w:left="0"/>
              <w:rPr>
                <w:bCs/>
                <w:color w:val="000000" w:themeColor="text1"/>
                <w:sz w:val="20"/>
                <w:szCs w:val="20"/>
              </w:rPr>
            </w:pPr>
            <w:r w:rsidRPr="00EB29EC">
              <w:rPr>
                <w:bCs/>
                <w:color w:val="000000" w:themeColor="text1"/>
                <w:sz w:val="20"/>
                <w:szCs w:val="20"/>
              </w:rPr>
              <w:t>International Expertise</w:t>
            </w:r>
          </w:p>
        </w:tc>
        <w:tc>
          <w:tcPr>
            <w:tcW w:w="1510" w:type="dxa"/>
          </w:tcPr>
          <w:p w14:paraId="009977F0" w14:textId="77777777" w:rsidR="00641087" w:rsidRPr="00EB29EC" w:rsidRDefault="00641087" w:rsidP="00C560A2">
            <w:pPr>
              <w:pStyle w:val="ListParagraph"/>
              <w:spacing w:after="0" w:line="240" w:lineRule="auto"/>
              <w:ind w:left="0"/>
              <w:jc w:val="right"/>
              <w:rPr>
                <w:bCs/>
                <w:color w:val="000000" w:themeColor="text1"/>
                <w:sz w:val="20"/>
                <w:szCs w:val="20"/>
              </w:rPr>
            </w:pPr>
          </w:p>
        </w:tc>
        <w:tc>
          <w:tcPr>
            <w:tcW w:w="1443" w:type="dxa"/>
          </w:tcPr>
          <w:p w14:paraId="1A9AD987" w14:textId="77777777" w:rsidR="006F2108" w:rsidRPr="00EB29EC" w:rsidRDefault="006F2108" w:rsidP="00C560A2">
            <w:pPr>
              <w:pStyle w:val="ListParagraph"/>
              <w:spacing w:after="0" w:line="240" w:lineRule="auto"/>
              <w:ind w:left="0"/>
              <w:jc w:val="right"/>
              <w:rPr>
                <w:bCs/>
                <w:color w:val="000000" w:themeColor="text1"/>
                <w:sz w:val="20"/>
                <w:szCs w:val="20"/>
              </w:rPr>
            </w:pPr>
            <w:r w:rsidRPr="00EB29EC">
              <w:rPr>
                <w:bCs/>
                <w:color w:val="000000" w:themeColor="text1"/>
                <w:sz w:val="20"/>
                <w:szCs w:val="20"/>
              </w:rPr>
              <w:t>$ 20,000</w:t>
            </w:r>
          </w:p>
          <w:p w14:paraId="4197D162" w14:textId="77777777" w:rsidR="00641087" w:rsidRPr="00EB29EC" w:rsidRDefault="00641087" w:rsidP="00C560A2">
            <w:pPr>
              <w:pStyle w:val="ListParagraph"/>
              <w:spacing w:after="0" w:line="240" w:lineRule="auto"/>
              <w:ind w:left="0"/>
              <w:rPr>
                <w:bCs/>
                <w:color w:val="000000" w:themeColor="text1"/>
                <w:sz w:val="20"/>
                <w:szCs w:val="20"/>
              </w:rPr>
            </w:pPr>
          </w:p>
        </w:tc>
        <w:tc>
          <w:tcPr>
            <w:tcW w:w="1215" w:type="dxa"/>
            <w:vMerge/>
          </w:tcPr>
          <w:p w14:paraId="78486A90" w14:textId="77777777" w:rsidR="00641087" w:rsidRPr="00EB29EC" w:rsidRDefault="00641087" w:rsidP="00C560A2">
            <w:pPr>
              <w:pStyle w:val="ListParagraph"/>
              <w:spacing w:after="0" w:line="240" w:lineRule="auto"/>
              <w:ind w:left="0"/>
              <w:rPr>
                <w:bCs/>
                <w:color w:val="000000" w:themeColor="text1"/>
                <w:sz w:val="20"/>
                <w:szCs w:val="20"/>
              </w:rPr>
            </w:pPr>
          </w:p>
        </w:tc>
      </w:tr>
      <w:tr w:rsidR="00EB29EC" w:rsidRPr="00EB29EC" w14:paraId="5A02A94E" w14:textId="77777777" w:rsidTr="00EB29EC">
        <w:trPr>
          <w:trHeight w:val="281"/>
        </w:trPr>
        <w:tc>
          <w:tcPr>
            <w:tcW w:w="436" w:type="dxa"/>
            <w:vMerge/>
          </w:tcPr>
          <w:p w14:paraId="12E2D904" w14:textId="77777777" w:rsidR="00F44C9B" w:rsidRPr="00EB29EC" w:rsidRDefault="00F44C9B" w:rsidP="00C560A2">
            <w:pPr>
              <w:pStyle w:val="ListParagraph"/>
              <w:spacing w:after="0" w:line="240" w:lineRule="auto"/>
              <w:ind w:left="0"/>
              <w:rPr>
                <w:bCs/>
                <w:color w:val="000000" w:themeColor="text1"/>
                <w:sz w:val="20"/>
                <w:szCs w:val="20"/>
              </w:rPr>
            </w:pPr>
          </w:p>
        </w:tc>
        <w:tc>
          <w:tcPr>
            <w:tcW w:w="2779" w:type="dxa"/>
            <w:vMerge/>
          </w:tcPr>
          <w:p w14:paraId="23AC205C" w14:textId="77777777" w:rsidR="00F44C9B" w:rsidRPr="00EB29EC" w:rsidRDefault="00F44C9B" w:rsidP="00C560A2">
            <w:pPr>
              <w:pStyle w:val="ListParagraph"/>
              <w:spacing w:after="0" w:line="240" w:lineRule="auto"/>
              <w:ind w:left="0"/>
              <w:rPr>
                <w:bCs/>
                <w:i/>
                <w:color w:val="000000" w:themeColor="text1"/>
                <w:sz w:val="20"/>
                <w:szCs w:val="20"/>
              </w:rPr>
            </w:pPr>
          </w:p>
        </w:tc>
        <w:tc>
          <w:tcPr>
            <w:tcW w:w="2301" w:type="dxa"/>
          </w:tcPr>
          <w:p w14:paraId="1D621BDA" w14:textId="77777777" w:rsidR="00F44C9B" w:rsidRPr="00EB29EC" w:rsidRDefault="00641087" w:rsidP="00C560A2">
            <w:pPr>
              <w:pStyle w:val="ListParagraph"/>
              <w:spacing w:after="0" w:line="240" w:lineRule="auto"/>
              <w:ind w:left="0"/>
              <w:rPr>
                <w:bCs/>
                <w:color w:val="000000" w:themeColor="text1"/>
                <w:sz w:val="20"/>
                <w:szCs w:val="20"/>
              </w:rPr>
            </w:pPr>
            <w:r w:rsidRPr="00EB29EC">
              <w:rPr>
                <w:bCs/>
                <w:color w:val="000000" w:themeColor="text1"/>
                <w:sz w:val="20"/>
                <w:szCs w:val="20"/>
              </w:rPr>
              <w:t xml:space="preserve">Technical Assistance / data collection and analysis </w:t>
            </w:r>
            <w:r w:rsidR="00F44C9B" w:rsidRPr="00EB29EC">
              <w:rPr>
                <w:bCs/>
                <w:color w:val="000000" w:themeColor="text1"/>
                <w:sz w:val="20"/>
                <w:szCs w:val="20"/>
              </w:rPr>
              <w:t xml:space="preserve"> </w:t>
            </w:r>
          </w:p>
        </w:tc>
        <w:tc>
          <w:tcPr>
            <w:tcW w:w="1510" w:type="dxa"/>
          </w:tcPr>
          <w:p w14:paraId="57D33709" w14:textId="77777777" w:rsidR="00F44C9B" w:rsidRPr="00EB29EC" w:rsidRDefault="00641087" w:rsidP="00C560A2">
            <w:pPr>
              <w:pStyle w:val="ListParagraph"/>
              <w:spacing w:after="0" w:line="240" w:lineRule="auto"/>
              <w:ind w:left="0"/>
              <w:jc w:val="right"/>
              <w:rPr>
                <w:bCs/>
                <w:color w:val="000000" w:themeColor="text1"/>
                <w:sz w:val="20"/>
                <w:szCs w:val="20"/>
              </w:rPr>
            </w:pPr>
            <w:r w:rsidRPr="00EB29EC">
              <w:rPr>
                <w:bCs/>
                <w:color w:val="000000" w:themeColor="text1"/>
                <w:sz w:val="20"/>
                <w:szCs w:val="20"/>
              </w:rPr>
              <w:t>$ 4</w:t>
            </w:r>
            <w:r w:rsidR="00F44C9B" w:rsidRPr="00EB29EC">
              <w:rPr>
                <w:bCs/>
                <w:color w:val="000000" w:themeColor="text1"/>
                <w:sz w:val="20"/>
                <w:szCs w:val="20"/>
              </w:rPr>
              <w:t>0,000</w:t>
            </w:r>
          </w:p>
        </w:tc>
        <w:tc>
          <w:tcPr>
            <w:tcW w:w="1443" w:type="dxa"/>
          </w:tcPr>
          <w:p w14:paraId="5CF340FD" w14:textId="77777777" w:rsidR="00F44C9B" w:rsidRPr="00EB29EC" w:rsidRDefault="00F44C9B" w:rsidP="00C560A2">
            <w:pPr>
              <w:pStyle w:val="ListParagraph"/>
              <w:spacing w:after="0" w:line="240" w:lineRule="auto"/>
              <w:ind w:left="0"/>
              <w:jc w:val="right"/>
              <w:rPr>
                <w:bCs/>
                <w:color w:val="000000" w:themeColor="text1"/>
                <w:sz w:val="20"/>
                <w:szCs w:val="20"/>
              </w:rPr>
            </w:pPr>
          </w:p>
        </w:tc>
        <w:tc>
          <w:tcPr>
            <w:tcW w:w="1215" w:type="dxa"/>
            <w:vMerge/>
          </w:tcPr>
          <w:p w14:paraId="7B111940" w14:textId="77777777" w:rsidR="00F44C9B" w:rsidRPr="00EB29EC" w:rsidRDefault="00F44C9B" w:rsidP="00C560A2">
            <w:pPr>
              <w:pStyle w:val="ListParagraph"/>
              <w:spacing w:after="0" w:line="240" w:lineRule="auto"/>
              <w:ind w:left="0"/>
              <w:rPr>
                <w:bCs/>
                <w:color w:val="000000" w:themeColor="text1"/>
                <w:sz w:val="20"/>
                <w:szCs w:val="20"/>
              </w:rPr>
            </w:pPr>
          </w:p>
        </w:tc>
      </w:tr>
      <w:tr w:rsidR="00EB29EC" w:rsidRPr="00EB29EC" w14:paraId="07E2804F" w14:textId="77777777" w:rsidTr="00EB29EC">
        <w:trPr>
          <w:trHeight w:val="263"/>
        </w:trPr>
        <w:tc>
          <w:tcPr>
            <w:tcW w:w="436" w:type="dxa"/>
            <w:vMerge/>
          </w:tcPr>
          <w:p w14:paraId="3325F552" w14:textId="77777777" w:rsidR="00F44C9B" w:rsidRPr="00EB29EC" w:rsidRDefault="00F44C9B" w:rsidP="00C560A2">
            <w:pPr>
              <w:pStyle w:val="ListParagraph"/>
              <w:spacing w:after="0" w:line="240" w:lineRule="auto"/>
              <w:ind w:left="0"/>
              <w:rPr>
                <w:bCs/>
                <w:color w:val="000000" w:themeColor="text1"/>
                <w:sz w:val="20"/>
                <w:szCs w:val="20"/>
              </w:rPr>
            </w:pPr>
          </w:p>
        </w:tc>
        <w:tc>
          <w:tcPr>
            <w:tcW w:w="2779" w:type="dxa"/>
            <w:vMerge/>
          </w:tcPr>
          <w:p w14:paraId="5241186A" w14:textId="77777777" w:rsidR="00F44C9B" w:rsidRPr="00EB29EC" w:rsidRDefault="00F44C9B" w:rsidP="00C560A2">
            <w:pPr>
              <w:pStyle w:val="ListParagraph"/>
              <w:spacing w:after="0" w:line="240" w:lineRule="auto"/>
              <w:ind w:left="0"/>
              <w:rPr>
                <w:bCs/>
                <w:i/>
                <w:color w:val="000000" w:themeColor="text1"/>
                <w:sz w:val="20"/>
                <w:szCs w:val="20"/>
              </w:rPr>
            </w:pPr>
          </w:p>
        </w:tc>
        <w:tc>
          <w:tcPr>
            <w:tcW w:w="2301" w:type="dxa"/>
          </w:tcPr>
          <w:p w14:paraId="26527B3E" w14:textId="77777777" w:rsidR="00F44C9B" w:rsidRPr="00EB29EC" w:rsidRDefault="00F44C9B" w:rsidP="00C560A2">
            <w:pPr>
              <w:pStyle w:val="ListParagraph"/>
              <w:spacing w:after="0" w:line="240" w:lineRule="auto"/>
              <w:ind w:left="0"/>
              <w:rPr>
                <w:bCs/>
                <w:color w:val="000000" w:themeColor="text1"/>
                <w:sz w:val="20"/>
                <w:szCs w:val="20"/>
              </w:rPr>
            </w:pPr>
            <w:r w:rsidRPr="00EB29EC">
              <w:rPr>
                <w:bCs/>
                <w:color w:val="000000" w:themeColor="text1"/>
                <w:sz w:val="20"/>
                <w:szCs w:val="20"/>
              </w:rPr>
              <w:t>Consultation related costs (workshops, etc.)</w:t>
            </w:r>
          </w:p>
        </w:tc>
        <w:tc>
          <w:tcPr>
            <w:tcW w:w="1510" w:type="dxa"/>
          </w:tcPr>
          <w:p w14:paraId="454EC01B" w14:textId="77777777" w:rsidR="00F44C9B" w:rsidRPr="00EB29EC" w:rsidRDefault="00F44C9B" w:rsidP="00C560A2">
            <w:pPr>
              <w:pStyle w:val="ListParagraph"/>
              <w:spacing w:after="0" w:line="240" w:lineRule="auto"/>
              <w:ind w:left="0"/>
              <w:jc w:val="right"/>
              <w:rPr>
                <w:bCs/>
                <w:color w:val="000000" w:themeColor="text1"/>
                <w:sz w:val="20"/>
                <w:szCs w:val="20"/>
              </w:rPr>
            </w:pPr>
            <w:r w:rsidRPr="00EB29EC">
              <w:rPr>
                <w:bCs/>
                <w:color w:val="000000" w:themeColor="text1"/>
                <w:sz w:val="20"/>
                <w:szCs w:val="20"/>
              </w:rPr>
              <w:t>$ 10,000</w:t>
            </w:r>
          </w:p>
        </w:tc>
        <w:tc>
          <w:tcPr>
            <w:tcW w:w="1443" w:type="dxa"/>
          </w:tcPr>
          <w:p w14:paraId="792CA9B1" w14:textId="77777777" w:rsidR="00F44C9B" w:rsidRPr="00EB29EC" w:rsidRDefault="00F44C9B" w:rsidP="00C560A2">
            <w:pPr>
              <w:pStyle w:val="ListParagraph"/>
              <w:spacing w:after="0" w:line="240" w:lineRule="auto"/>
              <w:ind w:left="0"/>
              <w:jc w:val="right"/>
              <w:rPr>
                <w:bCs/>
                <w:color w:val="000000" w:themeColor="text1"/>
                <w:sz w:val="20"/>
                <w:szCs w:val="20"/>
              </w:rPr>
            </w:pPr>
          </w:p>
        </w:tc>
        <w:tc>
          <w:tcPr>
            <w:tcW w:w="1215" w:type="dxa"/>
            <w:vMerge/>
          </w:tcPr>
          <w:p w14:paraId="4176DBFE" w14:textId="77777777" w:rsidR="00F44C9B" w:rsidRPr="00EB29EC" w:rsidRDefault="00F44C9B" w:rsidP="00C560A2">
            <w:pPr>
              <w:pStyle w:val="ListParagraph"/>
              <w:spacing w:after="0" w:line="240" w:lineRule="auto"/>
              <w:ind w:left="0"/>
              <w:rPr>
                <w:bCs/>
                <w:color w:val="000000" w:themeColor="text1"/>
                <w:sz w:val="20"/>
                <w:szCs w:val="20"/>
              </w:rPr>
            </w:pPr>
          </w:p>
        </w:tc>
      </w:tr>
      <w:tr w:rsidR="00EB29EC" w:rsidRPr="00EB29EC" w14:paraId="7AB5E4D5" w14:textId="77777777" w:rsidTr="00EB29EC">
        <w:trPr>
          <w:trHeight w:val="263"/>
        </w:trPr>
        <w:tc>
          <w:tcPr>
            <w:tcW w:w="436" w:type="dxa"/>
            <w:vMerge/>
          </w:tcPr>
          <w:p w14:paraId="176112CB" w14:textId="77777777" w:rsidR="00F44C9B" w:rsidRPr="00EB29EC" w:rsidRDefault="00F44C9B" w:rsidP="00C560A2">
            <w:pPr>
              <w:pStyle w:val="ListParagraph"/>
              <w:spacing w:after="0" w:line="240" w:lineRule="auto"/>
              <w:ind w:left="0"/>
              <w:rPr>
                <w:bCs/>
                <w:color w:val="000000" w:themeColor="text1"/>
                <w:sz w:val="20"/>
                <w:szCs w:val="20"/>
              </w:rPr>
            </w:pPr>
          </w:p>
        </w:tc>
        <w:tc>
          <w:tcPr>
            <w:tcW w:w="2779" w:type="dxa"/>
            <w:vMerge/>
          </w:tcPr>
          <w:p w14:paraId="021AC327" w14:textId="77777777" w:rsidR="00F44C9B" w:rsidRPr="00EB29EC" w:rsidRDefault="00F44C9B" w:rsidP="00C560A2">
            <w:pPr>
              <w:pStyle w:val="ListParagraph"/>
              <w:spacing w:after="0" w:line="240" w:lineRule="auto"/>
              <w:ind w:left="0"/>
              <w:rPr>
                <w:bCs/>
                <w:i/>
                <w:color w:val="000000" w:themeColor="text1"/>
                <w:sz w:val="20"/>
                <w:szCs w:val="20"/>
              </w:rPr>
            </w:pPr>
          </w:p>
        </w:tc>
        <w:tc>
          <w:tcPr>
            <w:tcW w:w="2301" w:type="dxa"/>
          </w:tcPr>
          <w:p w14:paraId="57BD54A2" w14:textId="77777777" w:rsidR="00F44C9B" w:rsidRPr="00EB29EC" w:rsidRDefault="00F44C9B" w:rsidP="00C560A2">
            <w:pPr>
              <w:pStyle w:val="ListParagraph"/>
              <w:spacing w:after="0" w:line="240" w:lineRule="auto"/>
              <w:ind w:left="0"/>
              <w:rPr>
                <w:bCs/>
                <w:color w:val="000000" w:themeColor="text1"/>
                <w:sz w:val="20"/>
                <w:szCs w:val="20"/>
              </w:rPr>
            </w:pPr>
            <w:r w:rsidRPr="00EB29EC">
              <w:rPr>
                <w:bCs/>
                <w:color w:val="000000" w:themeColor="text1"/>
                <w:sz w:val="20"/>
                <w:szCs w:val="20"/>
              </w:rPr>
              <w:t>Project staff</w:t>
            </w:r>
          </w:p>
        </w:tc>
        <w:tc>
          <w:tcPr>
            <w:tcW w:w="1510" w:type="dxa"/>
          </w:tcPr>
          <w:p w14:paraId="15649DCD" w14:textId="77777777" w:rsidR="00F44C9B" w:rsidRPr="00EB29EC" w:rsidRDefault="00F44C9B" w:rsidP="00C560A2">
            <w:pPr>
              <w:pStyle w:val="ListParagraph"/>
              <w:spacing w:after="0" w:line="240" w:lineRule="auto"/>
              <w:ind w:left="0"/>
              <w:jc w:val="right"/>
              <w:rPr>
                <w:bCs/>
                <w:color w:val="000000" w:themeColor="text1"/>
                <w:sz w:val="20"/>
                <w:szCs w:val="20"/>
              </w:rPr>
            </w:pPr>
          </w:p>
        </w:tc>
        <w:tc>
          <w:tcPr>
            <w:tcW w:w="1443" w:type="dxa"/>
          </w:tcPr>
          <w:p w14:paraId="50068EDF" w14:textId="77777777" w:rsidR="00F44C9B" w:rsidRPr="00EB29EC" w:rsidRDefault="00F44C9B" w:rsidP="00C560A2">
            <w:pPr>
              <w:pStyle w:val="ListParagraph"/>
              <w:spacing w:after="0" w:line="240" w:lineRule="auto"/>
              <w:ind w:left="0"/>
              <w:jc w:val="right"/>
              <w:rPr>
                <w:bCs/>
                <w:color w:val="000000" w:themeColor="text1"/>
                <w:sz w:val="20"/>
                <w:szCs w:val="20"/>
              </w:rPr>
            </w:pPr>
            <w:r w:rsidRPr="00EB29EC">
              <w:rPr>
                <w:bCs/>
                <w:color w:val="000000" w:themeColor="text1"/>
                <w:sz w:val="20"/>
                <w:szCs w:val="20"/>
              </w:rPr>
              <w:t>$ 10,500</w:t>
            </w:r>
          </w:p>
        </w:tc>
        <w:tc>
          <w:tcPr>
            <w:tcW w:w="1215" w:type="dxa"/>
          </w:tcPr>
          <w:p w14:paraId="26A3F334" w14:textId="77777777" w:rsidR="00F44C9B" w:rsidRPr="00EB29EC" w:rsidRDefault="00F44C9B" w:rsidP="00C560A2">
            <w:pPr>
              <w:pStyle w:val="ListParagraph"/>
              <w:spacing w:after="0" w:line="240" w:lineRule="auto"/>
              <w:ind w:left="0"/>
              <w:rPr>
                <w:bCs/>
                <w:color w:val="000000" w:themeColor="text1"/>
                <w:sz w:val="20"/>
                <w:szCs w:val="20"/>
              </w:rPr>
            </w:pPr>
          </w:p>
        </w:tc>
      </w:tr>
      <w:tr w:rsidR="00EB29EC" w:rsidRPr="00EB29EC" w14:paraId="6054552B" w14:textId="77777777" w:rsidTr="00EB29EC">
        <w:trPr>
          <w:trHeight w:val="272"/>
        </w:trPr>
        <w:tc>
          <w:tcPr>
            <w:tcW w:w="436" w:type="dxa"/>
            <w:vMerge w:val="restart"/>
          </w:tcPr>
          <w:p w14:paraId="2F18C281" w14:textId="77777777" w:rsidR="00F44C9B" w:rsidRPr="00EB29EC" w:rsidRDefault="00F44C9B" w:rsidP="00C560A2">
            <w:pPr>
              <w:pStyle w:val="ListParagraph"/>
              <w:spacing w:after="0" w:line="240" w:lineRule="auto"/>
              <w:ind w:left="0" w:right="-320"/>
              <w:rPr>
                <w:bCs/>
                <w:color w:val="000000" w:themeColor="text1"/>
                <w:sz w:val="20"/>
                <w:szCs w:val="20"/>
              </w:rPr>
            </w:pPr>
            <w:r w:rsidRPr="00EB29EC">
              <w:rPr>
                <w:bCs/>
                <w:color w:val="000000" w:themeColor="text1"/>
                <w:sz w:val="20"/>
                <w:szCs w:val="20"/>
              </w:rPr>
              <w:t>2.</w:t>
            </w:r>
          </w:p>
        </w:tc>
        <w:tc>
          <w:tcPr>
            <w:tcW w:w="2779" w:type="dxa"/>
            <w:vMerge w:val="restart"/>
          </w:tcPr>
          <w:p w14:paraId="63EAA3E8" w14:textId="77777777" w:rsidR="00F44C9B" w:rsidRPr="00EB29EC" w:rsidRDefault="00F44C9B" w:rsidP="00C560A2">
            <w:pPr>
              <w:pStyle w:val="ListParagraph"/>
              <w:spacing w:after="0" w:line="240" w:lineRule="auto"/>
              <w:ind w:left="0"/>
              <w:rPr>
                <w:bCs/>
                <w:i/>
                <w:color w:val="000000" w:themeColor="text1"/>
                <w:sz w:val="20"/>
                <w:szCs w:val="20"/>
              </w:rPr>
            </w:pPr>
            <w:r w:rsidRPr="00EB29EC">
              <w:rPr>
                <w:bCs/>
                <w:i/>
                <w:color w:val="000000" w:themeColor="text1"/>
                <w:sz w:val="20"/>
                <w:szCs w:val="20"/>
              </w:rPr>
              <w:t>Operationalization of the Fund</w:t>
            </w:r>
          </w:p>
          <w:p w14:paraId="3B9EDB57" w14:textId="77777777" w:rsidR="00F44C9B" w:rsidRPr="00EB29EC" w:rsidRDefault="00F44C9B" w:rsidP="00C560A2">
            <w:pPr>
              <w:pStyle w:val="ListParagraph"/>
              <w:numPr>
                <w:ilvl w:val="0"/>
                <w:numId w:val="19"/>
              </w:numPr>
              <w:spacing w:after="0" w:line="240" w:lineRule="auto"/>
              <w:ind w:left="250" w:hanging="250"/>
              <w:rPr>
                <w:bCs/>
                <w:color w:val="000000" w:themeColor="text1"/>
                <w:sz w:val="20"/>
                <w:szCs w:val="20"/>
              </w:rPr>
            </w:pPr>
            <w:r w:rsidRPr="00EB29EC">
              <w:rPr>
                <w:bCs/>
                <w:color w:val="000000" w:themeColor="text1"/>
                <w:sz w:val="20"/>
                <w:szCs w:val="20"/>
              </w:rPr>
              <w:t>Design of the interventions</w:t>
            </w:r>
          </w:p>
          <w:p w14:paraId="58516D33" w14:textId="77777777" w:rsidR="00F44C9B" w:rsidRPr="00EB29EC" w:rsidRDefault="00F44C9B" w:rsidP="00C560A2">
            <w:pPr>
              <w:pStyle w:val="ListParagraph"/>
              <w:numPr>
                <w:ilvl w:val="0"/>
                <w:numId w:val="19"/>
              </w:numPr>
              <w:spacing w:after="0" w:line="240" w:lineRule="auto"/>
              <w:ind w:left="250" w:hanging="250"/>
              <w:rPr>
                <w:bCs/>
                <w:color w:val="000000" w:themeColor="text1"/>
                <w:sz w:val="20"/>
                <w:szCs w:val="20"/>
              </w:rPr>
            </w:pPr>
            <w:r w:rsidRPr="00EB29EC">
              <w:rPr>
                <w:bCs/>
                <w:color w:val="000000" w:themeColor="text1"/>
                <w:sz w:val="20"/>
                <w:szCs w:val="20"/>
              </w:rPr>
              <w:t>Implementation of the funding windows</w:t>
            </w:r>
          </w:p>
        </w:tc>
        <w:tc>
          <w:tcPr>
            <w:tcW w:w="2301" w:type="dxa"/>
          </w:tcPr>
          <w:p w14:paraId="46D71A23" w14:textId="77777777" w:rsidR="00F44C9B" w:rsidRPr="00EB29EC" w:rsidRDefault="00F44C9B" w:rsidP="00C560A2">
            <w:pPr>
              <w:pStyle w:val="ListParagraph"/>
              <w:spacing w:after="0" w:line="240" w:lineRule="auto"/>
              <w:ind w:left="0"/>
              <w:rPr>
                <w:bCs/>
                <w:color w:val="000000" w:themeColor="text1"/>
                <w:sz w:val="20"/>
                <w:szCs w:val="20"/>
              </w:rPr>
            </w:pPr>
            <w:r w:rsidRPr="00EB29EC">
              <w:rPr>
                <w:bCs/>
                <w:color w:val="000000" w:themeColor="text1"/>
                <w:sz w:val="20"/>
                <w:szCs w:val="20"/>
              </w:rPr>
              <w:t>National expertise (IC and Institutional)</w:t>
            </w:r>
          </w:p>
        </w:tc>
        <w:tc>
          <w:tcPr>
            <w:tcW w:w="1510" w:type="dxa"/>
          </w:tcPr>
          <w:p w14:paraId="45129E09" w14:textId="77777777" w:rsidR="00F44C9B" w:rsidRPr="00EB29EC" w:rsidRDefault="00F44C9B" w:rsidP="00C560A2">
            <w:pPr>
              <w:pStyle w:val="ListParagraph"/>
              <w:spacing w:after="0" w:line="240" w:lineRule="auto"/>
              <w:ind w:left="0"/>
              <w:jc w:val="right"/>
              <w:rPr>
                <w:bCs/>
                <w:color w:val="000000" w:themeColor="text1"/>
                <w:sz w:val="20"/>
                <w:szCs w:val="20"/>
              </w:rPr>
            </w:pPr>
          </w:p>
        </w:tc>
        <w:tc>
          <w:tcPr>
            <w:tcW w:w="1443" w:type="dxa"/>
          </w:tcPr>
          <w:p w14:paraId="764599A1" w14:textId="77777777" w:rsidR="00F44C9B" w:rsidRPr="00EB29EC" w:rsidRDefault="00F44C9B" w:rsidP="00C560A2">
            <w:pPr>
              <w:pStyle w:val="ListParagraph"/>
              <w:spacing w:after="0" w:line="240" w:lineRule="auto"/>
              <w:ind w:left="0"/>
              <w:jc w:val="right"/>
              <w:rPr>
                <w:bCs/>
                <w:color w:val="000000" w:themeColor="text1"/>
                <w:sz w:val="20"/>
                <w:szCs w:val="20"/>
              </w:rPr>
            </w:pPr>
            <w:r w:rsidRPr="00EB29EC">
              <w:rPr>
                <w:bCs/>
                <w:color w:val="000000" w:themeColor="text1"/>
                <w:sz w:val="20"/>
                <w:szCs w:val="20"/>
              </w:rPr>
              <w:t>$ 35,000</w:t>
            </w:r>
          </w:p>
        </w:tc>
        <w:tc>
          <w:tcPr>
            <w:tcW w:w="1215" w:type="dxa"/>
            <w:vMerge w:val="restart"/>
          </w:tcPr>
          <w:p w14:paraId="6723B7F0" w14:textId="77777777" w:rsidR="00F44C9B" w:rsidRPr="00EB29EC" w:rsidRDefault="00F44C9B" w:rsidP="00C560A2">
            <w:pPr>
              <w:pStyle w:val="ListParagraph"/>
              <w:spacing w:after="0" w:line="240" w:lineRule="auto"/>
              <w:ind w:left="0"/>
              <w:rPr>
                <w:bCs/>
                <w:color w:val="000000" w:themeColor="text1"/>
                <w:sz w:val="20"/>
                <w:szCs w:val="20"/>
              </w:rPr>
            </w:pPr>
            <w:r w:rsidRPr="00EB29EC">
              <w:rPr>
                <w:bCs/>
                <w:color w:val="000000" w:themeColor="text1"/>
                <w:sz w:val="20"/>
                <w:szCs w:val="20"/>
              </w:rPr>
              <w:t>By end of December 2018</w:t>
            </w:r>
          </w:p>
        </w:tc>
      </w:tr>
      <w:tr w:rsidR="00EB29EC" w:rsidRPr="00EB29EC" w14:paraId="2C48FB9A" w14:textId="77777777" w:rsidTr="00EB29EC">
        <w:tc>
          <w:tcPr>
            <w:tcW w:w="436" w:type="dxa"/>
            <w:vMerge/>
          </w:tcPr>
          <w:p w14:paraId="1E542A70" w14:textId="77777777" w:rsidR="00F44C9B" w:rsidRPr="00EB29EC" w:rsidRDefault="00F44C9B" w:rsidP="00C560A2">
            <w:pPr>
              <w:pStyle w:val="ListParagraph"/>
              <w:spacing w:after="0" w:line="240" w:lineRule="auto"/>
              <w:ind w:left="0" w:right="-320"/>
              <w:rPr>
                <w:bCs/>
                <w:color w:val="000000" w:themeColor="text1"/>
                <w:sz w:val="20"/>
                <w:szCs w:val="20"/>
              </w:rPr>
            </w:pPr>
          </w:p>
        </w:tc>
        <w:tc>
          <w:tcPr>
            <w:tcW w:w="2779" w:type="dxa"/>
            <w:vMerge/>
          </w:tcPr>
          <w:p w14:paraId="1DECE009" w14:textId="77777777" w:rsidR="00F44C9B" w:rsidRPr="00EB29EC" w:rsidRDefault="00F44C9B" w:rsidP="00C560A2">
            <w:pPr>
              <w:pStyle w:val="ListParagraph"/>
              <w:spacing w:after="0" w:line="240" w:lineRule="auto"/>
              <w:ind w:left="0"/>
              <w:rPr>
                <w:bCs/>
                <w:i/>
                <w:color w:val="000000" w:themeColor="text1"/>
                <w:sz w:val="20"/>
                <w:szCs w:val="20"/>
              </w:rPr>
            </w:pPr>
          </w:p>
        </w:tc>
        <w:tc>
          <w:tcPr>
            <w:tcW w:w="2301" w:type="dxa"/>
          </w:tcPr>
          <w:p w14:paraId="235B687A" w14:textId="77777777" w:rsidR="00F44C9B" w:rsidRPr="00EB29EC" w:rsidRDefault="00F44C9B" w:rsidP="00C560A2">
            <w:pPr>
              <w:pStyle w:val="ListParagraph"/>
              <w:spacing w:after="0" w:line="240" w:lineRule="auto"/>
              <w:ind w:left="0"/>
              <w:rPr>
                <w:bCs/>
                <w:color w:val="000000" w:themeColor="text1"/>
                <w:sz w:val="20"/>
                <w:szCs w:val="20"/>
              </w:rPr>
            </w:pPr>
            <w:r w:rsidRPr="00EB29EC">
              <w:rPr>
                <w:bCs/>
                <w:color w:val="000000" w:themeColor="text1"/>
                <w:sz w:val="20"/>
                <w:szCs w:val="20"/>
              </w:rPr>
              <w:t>International Expertise</w:t>
            </w:r>
          </w:p>
        </w:tc>
        <w:tc>
          <w:tcPr>
            <w:tcW w:w="1510" w:type="dxa"/>
          </w:tcPr>
          <w:p w14:paraId="04C3D46F" w14:textId="77777777" w:rsidR="00F44C9B" w:rsidRPr="00EB29EC" w:rsidRDefault="00F44C9B" w:rsidP="00C560A2">
            <w:pPr>
              <w:pStyle w:val="ListParagraph"/>
              <w:spacing w:after="0" w:line="240" w:lineRule="auto"/>
              <w:ind w:left="0"/>
              <w:jc w:val="right"/>
              <w:rPr>
                <w:bCs/>
                <w:i/>
                <w:color w:val="000000" w:themeColor="text1"/>
                <w:sz w:val="20"/>
                <w:szCs w:val="20"/>
              </w:rPr>
            </w:pPr>
          </w:p>
        </w:tc>
        <w:tc>
          <w:tcPr>
            <w:tcW w:w="1443" w:type="dxa"/>
          </w:tcPr>
          <w:p w14:paraId="67B95E12" w14:textId="77777777" w:rsidR="00F44C9B" w:rsidRPr="00EB29EC" w:rsidRDefault="00F44C9B" w:rsidP="00C560A2">
            <w:pPr>
              <w:pStyle w:val="ListParagraph"/>
              <w:spacing w:after="0" w:line="240" w:lineRule="auto"/>
              <w:ind w:left="0"/>
              <w:jc w:val="right"/>
              <w:rPr>
                <w:bCs/>
                <w:color w:val="000000" w:themeColor="text1"/>
                <w:sz w:val="20"/>
                <w:szCs w:val="20"/>
              </w:rPr>
            </w:pPr>
            <w:r w:rsidRPr="00EB29EC">
              <w:rPr>
                <w:bCs/>
                <w:color w:val="000000" w:themeColor="text1"/>
                <w:sz w:val="20"/>
                <w:szCs w:val="20"/>
              </w:rPr>
              <w:t>$ 15,000</w:t>
            </w:r>
          </w:p>
        </w:tc>
        <w:tc>
          <w:tcPr>
            <w:tcW w:w="1215" w:type="dxa"/>
            <w:vMerge/>
          </w:tcPr>
          <w:p w14:paraId="4D5AB7C6" w14:textId="77777777" w:rsidR="00F44C9B" w:rsidRPr="00EB29EC" w:rsidRDefault="00F44C9B" w:rsidP="00C560A2">
            <w:pPr>
              <w:pStyle w:val="ListParagraph"/>
              <w:spacing w:after="0" w:line="240" w:lineRule="auto"/>
              <w:ind w:left="0"/>
              <w:rPr>
                <w:bCs/>
                <w:color w:val="000000" w:themeColor="text1"/>
                <w:sz w:val="20"/>
                <w:szCs w:val="20"/>
              </w:rPr>
            </w:pPr>
          </w:p>
        </w:tc>
      </w:tr>
      <w:tr w:rsidR="00EB29EC" w:rsidRPr="00EB29EC" w14:paraId="37706CE0" w14:textId="77777777" w:rsidTr="00EB29EC">
        <w:tc>
          <w:tcPr>
            <w:tcW w:w="436" w:type="dxa"/>
            <w:vMerge/>
          </w:tcPr>
          <w:p w14:paraId="06E9002A" w14:textId="77777777" w:rsidR="00F44C9B" w:rsidRPr="00EB29EC" w:rsidRDefault="00F44C9B" w:rsidP="00C560A2">
            <w:pPr>
              <w:pStyle w:val="ListParagraph"/>
              <w:spacing w:after="0" w:line="240" w:lineRule="auto"/>
              <w:ind w:left="0" w:right="-320"/>
              <w:rPr>
                <w:bCs/>
                <w:color w:val="000000" w:themeColor="text1"/>
                <w:sz w:val="20"/>
                <w:szCs w:val="20"/>
              </w:rPr>
            </w:pPr>
          </w:p>
        </w:tc>
        <w:tc>
          <w:tcPr>
            <w:tcW w:w="2779" w:type="dxa"/>
            <w:vMerge/>
          </w:tcPr>
          <w:p w14:paraId="33B80E18" w14:textId="77777777" w:rsidR="00F44C9B" w:rsidRPr="00EB29EC" w:rsidRDefault="00F44C9B" w:rsidP="00C560A2">
            <w:pPr>
              <w:pStyle w:val="ListParagraph"/>
              <w:spacing w:after="0" w:line="240" w:lineRule="auto"/>
              <w:ind w:left="0"/>
              <w:rPr>
                <w:bCs/>
                <w:i/>
                <w:color w:val="000000" w:themeColor="text1"/>
                <w:sz w:val="20"/>
                <w:szCs w:val="20"/>
              </w:rPr>
            </w:pPr>
          </w:p>
        </w:tc>
        <w:tc>
          <w:tcPr>
            <w:tcW w:w="2301" w:type="dxa"/>
          </w:tcPr>
          <w:p w14:paraId="37018975" w14:textId="77777777" w:rsidR="00F44C9B" w:rsidRPr="00EB29EC" w:rsidRDefault="00F44C9B" w:rsidP="00C560A2">
            <w:pPr>
              <w:pStyle w:val="ListParagraph"/>
              <w:spacing w:after="0" w:line="240" w:lineRule="auto"/>
              <w:ind w:left="0"/>
              <w:rPr>
                <w:bCs/>
                <w:color w:val="000000" w:themeColor="text1"/>
                <w:sz w:val="20"/>
                <w:szCs w:val="20"/>
              </w:rPr>
            </w:pPr>
            <w:r w:rsidRPr="00EB29EC">
              <w:rPr>
                <w:bCs/>
                <w:color w:val="000000" w:themeColor="text1"/>
                <w:sz w:val="20"/>
                <w:szCs w:val="20"/>
              </w:rPr>
              <w:t>Capacity development / training</w:t>
            </w:r>
          </w:p>
        </w:tc>
        <w:tc>
          <w:tcPr>
            <w:tcW w:w="1510" w:type="dxa"/>
          </w:tcPr>
          <w:p w14:paraId="51032612" w14:textId="77777777" w:rsidR="00F44C9B" w:rsidRPr="00EB29EC" w:rsidRDefault="00F44C9B" w:rsidP="00C560A2">
            <w:pPr>
              <w:pStyle w:val="ListParagraph"/>
              <w:spacing w:after="0" w:line="240" w:lineRule="auto"/>
              <w:ind w:left="0"/>
              <w:jc w:val="right"/>
              <w:rPr>
                <w:bCs/>
                <w:i/>
                <w:color w:val="000000" w:themeColor="text1"/>
                <w:sz w:val="20"/>
                <w:szCs w:val="20"/>
              </w:rPr>
            </w:pPr>
            <w:r w:rsidRPr="00EB29EC">
              <w:rPr>
                <w:bCs/>
                <w:color w:val="000000" w:themeColor="text1"/>
                <w:sz w:val="20"/>
                <w:szCs w:val="20"/>
              </w:rPr>
              <w:t>$ 10,000</w:t>
            </w:r>
          </w:p>
        </w:tc>
        <w:tc>
          <w:tcPr>
            <w:tcW w:w="1443" w:type="dxa"/>
          </w:tcPr>
          <w:p w14:paraId="00D84ED8" w14:textId="77777777" w:rsidR="00F44C9B" w:rsidRPr="00EB29EC" w:rsidRDefault="00F44C9B" w:rsidP="00C560A2">
            <w:pPr>
              <w:pStyle w:val="ListParagraph"/>
              <w:spacing w:after="0" w:line="240" w:lineRule="auto"/>
              <w:ind w:left="0"/>
              <w:jc w:val="right"/>
              <w:rPr>
                <w:bCs/>
                <w:color w:val="000000" w:themeColor="text1"/>
                <w:sz w:val="20"/>
                <w:szCs w:val="20"/>
              </w:rPr>
            </w:pPr>
          </w:p>
        </w:tc>
        <w:tc>
          <w:tcPr>
            <w:tcW w:w="1215" w:type="dxa"/>
            <w:vMerge/>
          </w:tcPr>
          <w:p w14:paraId="055560D5" w14:textId="77777777" w:rsidR="00F44C9B" w:rsidRPr="00EB29EC" w:rsidRDefault="00F44C9B" w:rsidP="00C560A2">
            <w:pPr>
              <w:pStyle w:val="ListParagraph"/>
              <w:spacing w:after="0" w:line="240" w:lineRule="auto"/>
              <w:ind w:left="0"/>
              <w:rPr>
                <w:bCs/>
                <w:color w:val="000000" w:themeColor="text1"/>
                <w:sz w:val="20"/>
                <w:szCs w:val="20"/>
              </w:rPr>
            </w:pPr>
          </w:p>
        </w:tc>
      </w:tr>
      <w:tr w:rsidR="00EB29EC" w:rsidRPr="00EB29EC" w14:paraId="14EB1503" w14:textId="77777777" w:rsidTr="00EB29EC">
        <w:tc>
          <w:tcPr>
            <w:tcW w:w="436" w:type="dxa"/>
            <w:vMerge/>
          </w:tcPr>
          <w:p w14:paraId="6F0D93C3" w14:textId="77777777" w:rsidR="00F44C9B" w:rsidRPr="00EB29EC" w:rsidRDefault="00F44C9B" w:rsidP="00C560A2">
            <w:pPr>
              <w:pStyle w:val="ListParagraph"/>
              <w:spacing w:after="0" w:line="240" w:lineRule="auto"/>
              <w:ind w:left="0" w:right="-320"/>
              <w:rPr>
                <w:bCs/>
                <w:color w:val="000000" w:themeColor="text1"/>
                <w:sz w:val="20"/>
                <w:szCs w:val="20"/>
              </w:rPr>
            </w:pPr>
          </w:p>
        </w:tc>
        <w:tc>
          <w:tcPr>
            <w:tcW w:w="2779" w:type="dxa"/>
            <w:vMerge/>
          </w:tcPr>
          <w:p w14:paraId="76EA9E3E" w14:textId="77777777" w:rsidR="00F44C9B" w:rsidRPr="00EB29EC" w:rsidRDefault="00F44C9B" w:rsidP="00C560A2">
            <w:pPr>
              <w:pStyle w:val="ListParagraph"/>
              <w:spacing w:after="0" w:line="240" w:lineRule="auto"/>
              <w:ind w:left="0"/>
              <w:rPr>
                <w:bCs/>
                <w:i/>
                <w:color w:val="000000" w:themeColor="text1"/>
                <w:sz w:val="20"/>
                <w:szCs w:val="20"/>
              </w:rPr>
            </w:pPr>
          </w:p>
        </w:tc>
        <w:tc>
          <w:tcPr>
            <w:tcW w:w="2301" w:type="dxa"/>
          </w:tcPr>
          <w:p w14:paraId="21C59AD9" w14:textId="77777777" w:rsidR="00F44C9B" w:rsidRPr="00EB29EC" w:rsidRDefault="00F44C9B" w:rsidP="00C560A2">
            <w:pPr>
              <w:pStyle w:val="ListParagraph"/>
              <w:spacing w:after="0" w:line="240" w:lineRule="auto"/>
              <w:ind w:left="0"/>
              <w:rPr>
                <w:bCs/>
                <w:color w:val="000000" w:themeColor="text1"/>
                <w:sz w:val="20"/>
                <w:szCs w:val="20"/>
              </w:rPr>
            </w:pPr>
            <w:r w:rsidRPr="00EB29EC">
              <w:rPr>
                <w:bCs/>
                <w:color w:val="000000" w:themeColor="text1"/>
                <w:sz w:val="20"/>
                <w:szCs w:val="20"/>
              </w:rPr>
              <w:t>Funds for piloting and direct implementation</w:t>
            </w:r>
          </w:p>
        </w:tc>
        <w:tc>
          <w:tcPr>
            <w:tcW w:w="1510" w:type="dxa"/>
          </w:tcPr>
          <w:p w14:paraId="34D24715" w14:textId="77777777" w:rsidR="00F44C9B" w:rsidRPr="00EB29EC" w:rsidRDefault="00F44C9B" w:rsidP="00C560A2">
            <w:pPr>
              <w:pStyle w:val="ListParagraph"/>
              <w:spacing w:after="0" w:line="240" w:lineRule="auto"/>
              <w:ind w:left="0"/>
              <w:jc w:val="right"/>
              <w:rPr>
                <w:bCs/>
                <w:i/>
                <w:color w:val="000000" w:themeColor="text1"/>
                <w:sz w:val="20"/>
                <w:szCs w:val="20"/>
              </w:rPr>
            </w:pPr>
            <w:r w:rsidRPr="00EB29EC">
              <w:rPr>
                <w:bCs/>
                <w:color w:val="000000" w:themeColor="text1"/>
                <w:sz w:val="20"/>
                <w:szCs w:val="20"/>
              </w:rPr>
              <w:t>$ 90,000</w:t>
            </w:r>
          </w:p>
        </w:tc>
        <w:tc>
          <w:tcPr>
            <w:tcW w:w="1443" w:type="dxa"/>
          </w:tcPr>
          <w:p w14:paraId="01FDB8B7" w14:textId="77777777" w:rsidR="00F44C9B" w:rsidRPr="00EB29EC" w:rsidRDefault="00F44C9B" w:rsidP="00C560A2">
            <w:pPr>
              <w:pStyle w:val="ListParagraph"/>
              <w:spacing w:after="0" w:line="240" w:lineRule="auto"/>
              <w:ind w:left="0"/>
              <w:jc w:val="right"/>
              <w:rPr>
                <w:bCs/>
                <w:color w:val="000000" w:themeColor="text1"/>
                <w:sz w:val="20"/>
                <w:szCs w:val="20"/>
              </w:rPr>
            </w:pPr>
          </w:p>
        </w:tc>
        <w:tc>
          <w:tcPr>
            <w:tcW w:w="1215" w:type="dxa"/>
            <w:vMerge/>
          </w:tcPr>
          <w:p w14:paraId="7DA3EDEA" w14:textId="77777777" w:rsidR="00F44C9B" w:rsidRPr="00EB29EC" w:rsidRDefault="00F44C9B" w:rsidP="00C560A2">
            <w:pPr>
              <w:pStyle w:val="ListParagraph"/>
              <w:spacing w:after="0" w:line="240" w:lineRule="auto"/>
              <w:ind w:left="0"/>
              <w:rPr>
                <w:bCs/>
                <w:color w:val="000000" w:themeColor="text1"/>
                <w:sz w:val="20"/>
                <w:szCs w:val="20"/>
              </w:rPr>
            </w:pPr>
          </w:p>
        </w:tc>
      </w:tr>
      <w:tr w:rsidR="00EB29EC" w:rsidRPr="00EB29EC" w14:paraId="7EE4542B" w14:textId="77777777" w:rsidTr="00EB29EC">
        <w:tc>
          <w:tcPr>
            <w:tcW w:w="436" w:type="dxa"/>
            <w:vMerge/>
          </w:tcPr>
          <w:p w14:paraId="1991C6F8" w14:textId="77777777" w:rsidR="00F44C9B" w:rsidRPr="00EB29EC" w:rsidRDefault="00F44C9B" w:rsidP="00C560A2">
            <w:pPr>
              <w:pStyle w:val="ListParagraph"/>
              <w:spacing w:after="0" w:line="240" w:lineRule="auto"/>
              <w:ind w:left="0" w:right="-320"/>
              <w:rPr>
                <w:bCs/>
                <w:color w:val="000000" w:themeColor="text1"/>
                <w:sz w:val="20"/>
                <w:szCs w:val="20"/>
              </w:rPr>
            </w:pPr>
          </w:p>
        </w:tc>
        <w:tc>
          <w:tcPr>
            <w:tcW w:w="2779" w:type="dxa"/>
            <w:vMerge/>
          </w:tcPr>
          <w:p w14:paraId="088AD863" w14:textId="77777777" w:rsidR="00F44C9B" w:rsidRPr="00EB29EC" w:rsidRDefault="00F44C9B" w:rsidP="00C560A2">
            <w:pPr>
              <w:pStyle w:val="ListParagraph"/>
              <w:spacing w:after="0" w:line="240" w:lineRule="auto"/>
              <w:ind w:left="0"/>
              <w:rPr>
                <w:bCs/>
                <w:i/>
                <w:color w:val="000000" w:themeColor="text1"/>
                <w:sz w:val="20"/>
                <w:szCs w:val="20"/>
              </w:rPr>
            </w:pPr>
          </w:p>
        </w:tc>
        <w:tc>
          <w:tcPr>
            <w:tcW w:w="2301" w:type="dxa"/>
          </w:tcPr>
          <w:p w14:paraId="519BFB98" w14:textId="77777777" w:rsidR="00F44C9B" w:rsidRPr="00EB29EC" w:rsidRDefault="00F44C9B" w:rsidP="00C560A2">
            <w:pPr>
              <w:pStyle w:val="ListParagraph"/>
              <w:spacing w:after="0" w:line="240" w:lineRule="auto"/>
              <w:ind w:left="0"/>
              <w:rPr>
                <w:bCs/>
                <w:color w:val="000000" w:themeColor="text1"/>
                <w:sz w:val="20"/>
                <w:szCs w:val="20"/>
              </w:rPr>
            </w:pPr>
            <w:r w:rsidRPr="00EB29EC">
              <w:rPr>
                <w:bCs/>
                <w:color w:val="000000" w:themeColor="text1"/>
                <w:sz w:val="20"/>
                <w:szCs w:val="20"/>
              </w:rPr>
              <w:t>Project staff</w:t>
            </w:r>
          </w:p>
        </w:tc>
        <w:tc>
          <w:tcPr>
            <w:tcW w:w="1510" w:type="dxa"/>
          </w:tcPr>
          <w:p w14:paraId="680FE7CF" w14:textId="77777777" w:rsidR="00F44C9B" w:rsidRPr="00EB29EC" w:rsidRDefault="00F44C9B" w:rsidP="00C560A2">
            <w:pPr>
              <w:pStyle w:val="ListParagraph"/>
              <w:spacing w:after="0" w:line="240" w:lineRule="auto"/>
              <w:ind w:left="0"/>
              <w:jc w:val="right"/>
              <w:rPr>
                <w:bCs/>
                <w:i/>
                <w:color w:val="000000" w:themeColor="text1"/>
                <w:sz w:val="20"/>
                <w:szCs w:val="20"/>
              </w:rPr>
            </w:pPr>
          </w:p>
        </w:tc>
        <w:tc>
          <w:tcPr>
            <w:tcW w:w="1443" w:type="dxa"/>
          </w:tcPr>
          <w:p w14:paraId="453CD820" w14:textId="77777777" w:rsidR="00F44C9B" w:rsidRPr="00EB29EC" w:rsidRDefault="00F44C9B" w:rsidP="00C560A2">
            <w:pPr>
              <w:pStyle w:val="ListParagraph"/>
              <w:spacing w:after="0" w:line="240" w:lineRule="auto"/>
              <w:ind w:left="0"/>
              <w:jc w:val="right"/>
              <w:rPr>
                <w:bCs/>
                <w:color w:val="000000" w:themeColor="text1"/>
                <w:sz w:val="20"/>
                <w:szCs w:val="20"/>
              </w:rPr>
            </w:pPr>
            <w:r w:rsidRPr="00EB29EC">
              <w:rPr>
                <w:bCs/>
                <w:color w:val="000000" w:themeColor="text1"/>
                <w:sz w:val="20"/>
                <w:szCs w:val="20"/>
              </w:rPr>
              <w:t>$38,500</w:t>
            </w:r>
          </w:p>
        </w:tc>
        <w:tc>
          <w:tcPr>
            <w:tcW w:w="1215" w:type="dxa"/>
            <w:vMerge/>
          </w:tcPr>
          <w:p w14:paraId="4A3C1AFE" w14:textId="77777777" w:rsidR="00F44C9B" w:rsidRPr="00EB29EC" w:rsidRDefault="00F44C9B" w:rsidP="00C560A2">
            <w:pPr>
              <w:pStyle w:val="ListParagraph"/>
              <w:spacing w:after="0" w:line="240" w:lineRule="auto"/>
              <w:ind w:left="0"/>
              <w:rPr>
                <w:bCs/>
                <w:color w:val="000000" w:themeColor="text1"/>
                <w:sz w:val="20"/>
                <w:szCs w:val="20"/>
              </w:rPr>
            </w:pPr>
          </w:p>
        </w:tc>
      </w:tr>
      <w:tr w:rsidR="00EB29EC" w:rsidRPr="00EB29EC" w14:paraId="5A1B14EF" w14:textId="77777777" w:rsidTr="00EB29EC">
        <w:trPr>
          <w:trHeight w:val="245"/>
        </w:trPr>
        <w:tc>
          <w:tcPr>
            <w:tcW w:w="436" w:type="dxa"/>
          </w:tcPr>
          <w:p w14:paraId="187DE3EB" w14:textId="77777777" w:rsidR="00F44C9B" w:rsidRPr="00EB29EC" w:rsidRDefault="00F44C9B" w:rsidP="00C560A2">
            <w:pPr>
              <w:pStyle w:val="ListParagraph"/>
              <w:spacing w:after="0" w:line="240" w:lineRule="auto"/>
              <w:ind w:left="-20"/>
              <w:rPr>
                <w:bCs/>
                <w:color w:val="000000" w:themeColor="text1"/>
                <w:sz w:val="20"/>
                <w:szCs w:val="20"/>
              </w:rPr>
            </w:pPr>
            <w:r w:rsidRPr="00EB29EC">
              <w:rPr>
                <w:bCs/>
                <w:color w:val="000000" w:themeColor="text1"/>
                <w:sz w:val="20"/>
                <w:szCs w:val="20"/>
              </w:rPr>
              <w:t>3.</w:t>
            </w:r>
          </w:p>
        </w:tc>
        <w:tc>
          <w:tcPr>
            <w:tcW w:w="2779" w:type="dxa"/>
          </w:tcPr>
          <w:p w14:paraId="309D703C" w14:textId="77777777" w:rsidR="00F44C9B" w:rsidRPr="00EB29EC" w:rsidRDefault="00F44C9B" w:rsidP="00C560A2">
            <w:pPr>
              <w:pStyle w:val="ListParagraph"/>
              <w:spacing w:after="0" w:line="240" w:lineRule="auto"/>
              <w:ind w:left="0"/>
              <w:rPr>
                <w:bCs/>
                <w:color w:val="000000" w:themeColor="text1"/>
                <w:sz w:val="20"/>
                <w:szCs w:val="20"/>
              </w:rPr>
            </w:pPr>
            <w:r w:rsidRPr="00EB29EC">
              <w:rPr>
                <w:bCs/>
                <w:color w:val="000000" w:themeColor="text1"/>
                <w:sz w:val="20"/>
                <w:szCs w:val="20"/>
              </w:rPr>
              <w:t>Operational costs</w:t>
            </w:r>
          </w:p>
        </w:tc>
        <w:tc>
          <w:tcPr>
            <w:tcW w:w="2301" w:type="dxa"/>
          </w:tcPr>
          <w:p w14:paraId="22E77AAD" w14:textId="77777777" w:rsidR="00F44C9B" w:rsidRPr="00EB29EC" w:rsidRDefault="00F44C9B" w:rsidP="00C560A2">
            <w:pPr>
              <w:pStyle w:val="ListParagraph"/>
              <w:spacing w:after="0" w:line="240" w:lineRule="auto"/>
              <w:ind w:left="0"/>
              <w:rPr>
                <w:bCs/>
                <w:color w:val="000000" w:themeColor="text1"/>
                <w:sz w:val="20"/>
                <w:szCs w:val="20"/>
              </w:rPr>
            </w:pPr>
            <w:r w:rsidRPr="00EB29EC">
              <w:rPr>
                <w:bCs/>
                <w:color w:val="000000" w:themeColor="text1"/>
                <w:sz w:val="20"/>
                <w:szCs w:val="20"/>
              </w:rPr>
              <w:t>Other operational costs</w:t>
            </w:r>
          </w:p>
        </w:tc>
        <w:tc>
          <w:tcPr>
            <w:tcW w:w="1510" w:type="dxa"/>
          </w:tcPr>
          <w:p w14:paraId="255A0043" w14:textId="77777777" w:rsidR="00F44C9B" w:rsidRPr="00EB29EC" w:rsidRDefault="00F44C9B" w:rsidP="00C560A2">
            <w:pPr>
              <w:pStyle w:val="ListParagraph"/>
              <w:spacing w:after="0" w:line="240" w:lineRule="auto"/>
              <w:ind w:left="0"/>
              <w:jc w:val="right"/>
              <w:rPr>
                <w:bCs/>
                <w:color w:val="000000" w:themeColor="text1"/>
                <w:sz w:val="20"/>
                <w:szCs w:val="20"/>
              </w:rPr>
            </w:pPr>
          </w:p>
        </w:tc>
        <w:tc>
          <w:tcPr>
            <w:tcW w:w="1443" w:type="dxa"/>
          </w:tcPr>
          <w:p w14:paraId="08C8D3C6" w14:textId="77777777" w:rsidR="00F44C9B" w:rsidRPr="00EB29EC" w:rsidRDefault="00F44C9B" w:rsidP="00C560A2">
            <w:pPr>
              <w:pStyle w:val="ListParagraph"/>
              <w:spacing w:after="0" w:line="240" w:lineRule="auto"/>
              <w:ind w:left="0"/>
              <w:jc w:val="right"/>
              <w:rPr>
                <w:bCs/>
                <w:color w:val="000000" w:themeColor="text1"/>
                <w:sz w:val="20"/>
                <w:szCs w:val="20"/>
              </w:rPr>
            </w:pPr>
            <w:r w:rsidRPr="00EB29EC">
              <w:rPr>
                <w:bCs/>
                <w:color w:val="000000" w:themeColor="text1"/>
                <w:sz w:val="20"/>
                <w:szCs w:val="20"/>
              </w:rPr>
              <w:t>$11,000</w:t>
            </w:r>
          </w:p>
        </w:tc>
        <w:tc>
          <w:tcPr>
            <w:tcW w:w="1215" w:type="dxa"/>
          </w:tcPr>
          <w:p w14:paraId="1B7106B5" w14:textId="77777777" w:rsidR="00F44C9B" w:rsidRPr="00EB29EC" w:rsidRDefault="00F44C9B" w:rsidP="00C560A2">
            <w:pPr>
              <w:pStyle w:val="ListParagraph"/>
              <w:spacing w:after="0" w:line="240" w:lineRule="auto"/>
              <w:ind w:left="0"/>
              <w:rPr>
                <w:bCs/>
                <w:color w:val="000000" w:themeColor="text1"/>
                <w:sz w:val="20"/>
                <w:szCs w:val="20"/>
              </w:rPr>
            </w:pPr>
          </w:p>
        </w:tc>
      </w:tr>
      <w:tr w:rsidR="00EB29EC" w:rsidRPr="00EB29EC" w14:paraId="41232306" w14:textId="77777777" w:rsidTr="00EB29EC">
        <w:tc>
          <w:tcPr>
            <w:tcW w:w="436" w:type="dxa"/>
          </w:tcPr>
          <w:p w14:paraId="5BFF0417" w14:textId="77777777" w:rsidR="00F44C9B" w:rsidRPr="00EB29EC" w:rsidRDefault="00F44C9B" w:rsidP="00C560A2">
            <w:pPr>
              <w:pStyle w:val="ListParagraph"/>
              <w:spacing w:after="0" w:line="240" w:lineRule="auto"/>
              <w:ind w:left="0"/>
              <w:rPr>
                <w:b/>
                <w:bCs/>
                <w:color w:val="000000" w:themeColor="text1"/>
                <w:sz w:val="20"/>
                <w:szCs w:val="20"/>
              </w:rPr>
            </w:pPr>
          </w:p>
        </w:tc>
        <w:tc>
          <w:tcPr>
            <w:tcW w:w="2779" w:type="dxa"/>
          </w:tcPr>
          <w:p w14:paraId="614CDC71" w14:textId="77777777" w:rsidR="00F44C9B" w:rsidRPr="00EB29EC" w:rsidRDefault="00F44C9B" w:rsidP="00C560A2">
            <w:pPr>
              <w:pStyle w:val="ListParagraph"/>
              <w:spacing w:after="0" w:line="240" w:lineRule="auto"/>
              <w:ind w:left="0"/>
              <w:rPr>
                <w:b/>
                <w:bCs/>
                <w:color w:val="000000" w:themeColor="text1"/>
                <w:sz w:val="20"/>
                <w:szCs w:val="20"/>
              </w:rPr>
            </w:pPr>
            <w:r w:rsidRPr="00EB29EC">
              <w:rPr>
                <w:b/>
                <w:bCs/>
                <w:color w:val="000000" w:themeColor="text1"/>
                <w:sz w:val="20"/>
                <w:szCs w:val="20"/>
              </w:rPr>
              <w:t>TOTAL</w:t>
            </w:r>
          </w:p>
        </w:tc>
        <w:tc>
          <w:tcPr>
            <w:tcW w:w="2301" w:type="dxa"/>
          </w:tcPr>
          <w:p w14:paraId="5CB1BF14" w14:textId="77777777" w:rsidR="00F44C9B" w:rsidRPr="00EB29EC" w:rsidRDefault="00F44C9B" w:rsidP="00C560A2">
            <w:pPr>
              <w:pStyle w:val="ListParagraph"/>
              <w:spacing w:after="0" w:line="240" w:lineRule="auto"/>
              <w:ind w:left="0"/>
              <w:rPr>
                <w:b/>
                <w:bCs/>
                <w:color w:val="000000" w:themeColor="text1"/>
                <w:sz w:val="20"/>
                <w:szCs w:val="20"/>
              </w:rPr>
            </w:pPr>
          </w:p>
        </w:tc>
        <w:tc>
          <w:tcPr>
            <w:tcW w:w="1510" w:type="dxa"/>
          </w:tcPr>
          <w:p w14:paraId="29FC4EEA" w14:textId="77777777" w:rsidR="00F44C9B" w:rsidRPr="00EB29EC" w:rsidRDefault="00F44C9B" w:rsidP="00C560A2">
            <w:pPr>
              <w:pStyle w:val="ListParagraph"/>
              <w:spacing w:after="0" w:line="240" w:lineRule="auto"/>
              <w:ind w:left="0"/>
              <w:jc w:val="right"/>
              <w:rPr>
                <w:b/>
                <w:bCs/>
                <w:color w:val="000000" w:themeColor="text1"/>
                <w:sz w:val="20"/>
                <w:szCs w:val="20"/>
              </w:rPr>
            </w:pPr>
            <w:r w:rsidRPr="00EB29EC">
              <w:rPr>
                <w:b/>
                <w:bCs/>
                <w:color w:val="000000" w:themeColor="text1"/>
                <w:sz w:val="20"/>
                <w:szCs w:val="20"/>
              </w:rPr>
              <w:t>$ 150,000</w:t>
            </w:r>
          </w:p>
        </w:tc>
        <w:tc>
          <w:tcPr>
            <w:tcW w:w="1443" w:type="dxa"/>
          </w:tcPr>
          <w:p w14:paraId="4F6C2905" w14:textId="77777777" w:rsidR="00F44C9B" w:rsidRPr="00EB29EC" w:rsidRDefault="00F44C9B" w:rsidP="00C560A2">
            <w:pPr>
              <w:pStyle w:val="ListParagraph"/>
              <w:spacing w:after="0" w:line="240" w:lineRule="auto"/>
              <w:ind w:left="0"/>
              <w:jc w:val="right"/>
              <w:rPr>
                <w:b/>
                <w:bCs/>
                <w:color w:val="000000" w:themeColor="text1"/>
                <w:sz w:val="20"/>
                <w:szCs w:val="20"/>
              </w:rPr>
            </w:pPr>
            <w:r w:rsidRPr="00EB29EC">
              <w:rPr>
                <w:b/>
                <w:bCs/>
                <w:color w:val="000000" w:themeColor="text1"/>
                <w:sz w:val="20"/>
                <w:szCs w:val="20"/>
              </w:rPr>
              <w:t>$ 150,000</w:t>
            </w:r>
          </w:p>
        </w:tc>
        <w:tc>
          <w:tcPr>
            <w:tcW w:w="1215" w:type="dxa"/>
          </w:tcPr>
          <w:p w14:paraId="036E7FA2" w14:textId="77777777" w:rsidR="00F44C9B" w:rsidRPr="00EB29EC" w:rsidRDefault="00F44C9B" w:rsidP="00C560A2">
            <w:pPr>
              <w:pStyle w:val="ListParagraph"/>
              <w:spacing w:after="0" w:line="240" w:lineRule="auto"/>
              <w:ind w:left="0"/>
              <w:rPr>
                <w:b/>
                <w:bCs/>
                <w:color w:val="000000" w:themeColor="text1"/>
                <w:sz w:val="20"/>
                <w:szCs w:val="20"/>
              </w:rPr>
            </w:pPr>
          </w:p>
        </w:tc>
      </w:tr>
    </w:tbl>
    <w:p w14:paraId="7C03675B" w14:textId="77777777" w:rsidR="00F44C9B" w:rsidRPr="00C560A2" w:rsidRDefault="00F44C9B" w:rsidP="00C560A2">
      <w:pPr>
        <w:pStyle w:val="ListParagraph"/>
        <w:spacing w:after="0" w:line="240" w:lineRule="auto"/>
        <w:ind w:left="360"/>
        <w:rPr>
          <w:b/>
          <w:bCs/>
          <w:color w:val="000000" w:themeColor="text1"/>
        </w:rPr>
      </w:pPr>
    </w:p>
    <w:p w14:paraId="29A10785" w14:textId="77777777" w:rsidR="008079DF" w:rsidRPr="00C560A2" w:rsidRDefault="01415C72" w:rsidP="00C560A2">
      <w:pPr>
        <w:pStyle w:val="ListParagraph"/>
        <w:numPr>
          <w:ilvl w:val="0"/>
          <w:numId w:val="20"/>
        </w:numPr>
        <w:spacing w:after="0" w:line="240" w:lineRule="auto"/>
        <w:jc w:val="both"/>
        <w:rPr>
          <w:rFonts w:eastAsiaTheme="majorEastAsia"/>
          <w:b/>
          <w:bCs/>
          <w:color w:val="000000" w:themeColor="text1"/>
        </w:rPr>
      </w:pPr>
      <w:r w:rsidRPr="00C560A2">
        <w:rPr>
          <w:rFonts w:eastAsiaTheme="majorEastAsia"/>
          <w:b/>
          <w:bCs/>
          <w:color w:val="000000" w:themeColor="text1"/>
        </w:rPr>
        <w:t xml:space="preserve">Targeted Resource Mobilization </w:t>
      </w:r>
    </w:p>
    <w:p w14:paraId="5DCB824C" w14:textId="77777777" w:rsidR="00C560A2" w:rsidRDefault="00C560A2" w:rsidP="00C560A2">
      <w:pPr>
        <w:spacing w:after="0" w:line="240" w:lineRule="auto"/>
        <w:jc w:val="both"/>
        <w:rPr>
          <w:color w:val="000000" w:themeColor="text1"/>
        </w:rPr>
      </w:pPr>
    </w:p>
    <w:p w14:paraId="04A2ACE5" w14:textId="6EC3696B" w:rsidR="00C942CF" w:rsidRPr="00C560A2" w:rsidRDefault="00583E64" w:rsidP="00C560A2">
      <w:pPr>
        <w:spacing w:after="0" w:line="240" w:lineRule="auto"/>
        <w:jc w:val="both"/>
        <w:rPr>
          <w:color w:val="000000" w:themeColor="text1"/>
        </w:rPr>
      </w:pPr>
      <w:r w:rsidRPr="00C560A2">
        <w:rPr>
          <w:color w:val="000000" w:themeColor="text1"/>
        </w:rPr>
        <w:t>The establishment of the Employment and Skills Development Fund has the potential of generating USD 27 – 38 million annually in uncollected levies from public and private sector entities.</w:t>
      </w:r>
      <w:r w:rsidR="001A2DA8" w:rsidRPr="00C560A2">
        <w:rPr>
          <w:color w:val="000000" w:themeColor="text1"/>
        </w:rPr>
        <w:t xml:space="preserve"> It is envisioned </w:t>
      </w:r>
      <w:r w:rsidR="001A2DA8" w:rsidRPr="007A7BB2">
        <w:rPr>
          <w:color w:val="000000" w:themeColor="text1"/>
        </w:rPr>
        <w:t xml:space="preserve">as </w:t>
      </w:r>
      <w:r w:rsidR="001A2DA8" w:rsidRPr="007A7BB2">
        <w:rPr>
          <w:b/>
          <w:i/>
          <w:color w:val="000000" w:themeColor="text1"/>
        </w:rPr>
        <w:t>a</w:t>
      </w:r>
      <w:r w:rsidR="00311ECF" w:rsidRPr="007A7BB2">
        <w:rPr>
          <w:b/>
          <w:i/>
          <w:color w:val="000000" w:themeColor="text1"/>
        </w:rPr>
        <w:t xml:space="preserve"> social</w:t>
      </w:r>
      <w:r w:rsidR="001A2DA8" w:rsidRPr="007A7BB2">
        <w:rPr>
          <w:b/>
          <w:i/>
          <w:color w:val="000000" w:themeColor="text1"/>
        </w:rPr>
        <w:t xml:space="preserve"> impact fund</w:t>
      </w:r>
      <w:r w:rsidR="001A2DA8" w:rsidRPr="007A7BB2">
        <w:rPr>
          <w:color w:val="000000" w:themeColor="text1"/>
        </w:rPr>
        <w:t>.</w:t>
      </w:r>
      <w:r w:rsidRPr="007A7BB2">
        <w:rPr>
          <w:color w:val="000000" w:themeColor="text1"/>
        </w:rPr>
        <w:t xml:space="preserve"> </w:t>
      </w:r>
      <w:r w:rsidR="002123FE" w:rsidRPr="007A7BB2">
        <w:rPr>
          <w:color w:val="000000" w:themeColor="text1"/>
        </w:rPr>
        <w:t>The</w:t>
      </w:r>
      <w:r w:rsidR="00DF4EC0" w:rsidRPr="007A7BB2">
        <w:rPr>
          <w:color w:val="000000" w:themeColor="text1"/>
        </w:rPr>
        <w:t>re</w:t>
      </w:r>
      <w:r w:rsidR="00DF4EC0" w:rsidRPr="00C560A2">
        <w:rPr>
          <w:color w:val="000000" w:themeColor="text1"/>
        </w:rPr>
        <w:t xml:space="preserve"> is the</w:t>
      </w:r>
      <w:r w:rsidR="002123FE" w:rsidRPr="00C560A2">
        <w:rPr>
          <w:color w:val="000000" w:themeColor="text1"/>
        </w:rPr>
        <w:t xml:space="preserve"> </w:t>
      </w:r>
      <w:r w:rsidR="00DF4EC0" w:rsidRPr="00C560A2">
        <w:rPr>
          <w:color w:val="000000" w:themeColor="text1"/>
        </w:rPr>
        <w:t xml:space="preserve">ambition </w:t>
      </w:r>
      <w:r w:rsidR="002123FE" w:rsidRPr="00C560A2">
        <w:rPr>
          <w:color w:val="000000" w:themeColor="text1"/>
        </w:rPr>
        <w:t>for replication to other employment</w:t>
      </w:r>
      <w:r w:rsidR="00DF4EC0" w:rsidRPr="00C560A2">
        <w:rPr>
          <w:color w:val="000000" w:themeColor="text1"/>
        </w:rPr>
        <w:t xml:space="preserve"> target groups. The platform will provide the space for evidence-based </w:t>
      </w:r>
      <w:r w:rsidR="00311ECF" w:rsidRPr="00C560A2">
        <w:rPr>
          <w:color w:val="000000" w:themeColor="text1"/>
        </w:rPr>
        <w:t xml:space="preserve">studies, </w:t>
      </w:r>
      <w:r w:rsidR="00DF4EC0" w:rsidRPr="00C560A2">
        <w:rPr>
          <w:color w:val="000000" w:themeColor="text1"/>
        </w:rPr>
        <w:t xml:space="preserve">discussions that engage the private sector, civil society and the government and advocate for innovative and alternative mechanisms to fund </w:t>
      </w:r>
      <w:r w:rsidR="00535F6A" w:rsidRPr="00C560A2">
        <w:rPr>
          <w:color w:val="000000" w:themeColor="text1"/>
        </w:rPr>
        <w:t xml:space="preserve">the </w:t>
      </w:r>
      <w:r w:rsidR="00DF4EC0" w:rsidRPr="00C560A2">
        <w:rPr>
          <w:color w:val="000000" w:themeColor="text1"/>
        </w:rPr>
        <w:t xml:space="preserve">development and social agenda. The initiative will </w:t>
      </w:r>
      <w:r w:rsidR="0019734C" w:rsidRPr="00C560A2">
        <w:rPr>
          <w:color w:val="000000" w:themeColor="text1"/>
        </w:rPr>
        <w:t xml:space="preserve">also </w:t>
      </w:r>
      <w:r w:rsidR="00DF4EC0" w:rsidRPr="00C560A2">
        <w:rPr>
          <w:color w:val="000000" w:themeColor="text1"/>
        </w:rPr>
        <w:t>be a demonstration and catalyst</w:t>
      </w:r>
      <w:r w:rsidR="0019734C" w:rsidRPr="00C560A2">
        <w:rPr>
          <w:color w:val="000000" w:themeColor="text1"/>
        </w:rPr>
        <w:t xml:space="preserve"> through the initiatives to be piloted. This will </w:t>
      </w:r>
      <w:r w:rsidR="00DF4EC0" w:rsidRPr="00C560A2">
        <w:rPr>
          <w:color w:val="000000" w:themeColor="text1"/>
        </w:rPr>
        <w:t>allow partners to brainstorm on all the above</w:t>
      </w:r>
      <w:r w:rsidR="0019734C" w:rsidRPr="00C560A2">
        <w:rPr>
          <w:color w:val="000000" w:themeColor="text1"/>
        </w:rPr>
        <w:t>, as well as on</w:t>
      </w:r>
      <w:r w:rsidR="00F757BC" w:rsidRPr="00C560A2">
        <w:rPr>
          <w:color w:val="000000" w:themeColor="text1"/>
        </w:rPr>
        <w:t xml:space="preserve"> Social Impact Investment, Development Performance Investments, Social Bonds, Equity Funds and </w:t>
      </w:r>
      <w:r w:rsidR="003F6A15" w:rsidRPr="00C560A2">
        <w:rPr>
          <w:color w:val="000000" w:themeColor="text1"/>
        </w:rPr>
        <w:t>innovative and alternative mechanisms.</w:t>
      </w:r>
      <w:r w:rsidR="00A3174A" w:rsidRPr="00C560A2">
        <w:rPr>
          <w:color w:val="000000" w:themeColor="text1"/>
        </w:rPr>
        <w:t xml:space="preserve"> </w:t>
      </w:r>
    </w:p>
    <w:p w14:paraId="63527413" w14:textId="77777777" w:rsidR="00C560A2" w:rsidRDefault="00C560A2" w:rsidP="00C560A2">
      <w:pPr>
        <w:spacing w:after="0" w:line="240" w:lineRule="auto"/>
        <w:jc w:val="both"/>
        <w:rPr>
          <w:b/>
          <w:i/>
          <w:color w:val="000000" w:themeColor="text1"/>
        </w:rPr>
      </w:pPr>
    </w:p>
    <w:p w14:paraId="356E08CE" w14:textId="1723BF95" w:rsidR="00CB3E8F" w:rsidRPr="00C560A2" w:rsidRDefault="00A3174A" w:rsidP="00C560A2">
      <w:pPr>
        <w:spacing w:after="0" w:line="240" w:lineRule="auto"/>
        <w:jc w:val="both"/>
        <w:rPr>
          <w:color w:val="000000" w:themeColor="text1"/>
        </w:rPr>
      </w:pPr>
      <w:r w:rsidRPr="00C560A2">
        <w:rPr>
          <w:b/>
          <w:i/>
          <w:color w:val="000000" w:themeColor="text1"/>
        </w:rPr>
        <w:t>The approach</w:t>
      </w:r>
      <w:r w:rsidRPr="00C560A2">
        <w:rPr>
          <w:color w:val="000000" w:themeColor="text1"/>
        </w:rPr>
        <w:t xml:space="preserve"> is both holistic and multidisciplinary; </w:t>
      </w:r>
      <w:r w:rsidRPr="00C560A2">
        <w:rPr>
          <w:b/>
          <w:i/>
          <w:color w:val="000000" w:themeColor="text1"/>
        </w:rPr>
        <w:t>the strategy</w:t>
      </w:r>
      <w:r w:rsidRPr="00C560A2">
        <w:rPr>
          <w:color w:val="000000" w:themeColor="text1"/>
        </w:rPr>
        <w:t xml:space="preserve"> to be applied will ensure the employment issues of PWD is addressed from various angles. The strategy includes consultations, studies, and the full involvement of staff and communities from ongoing related projects to ensure a holistic approach and to make use of successful initiatives and lessons learned. The full involvement of the</w:t>
      </w:r>
      <w:r w:rsidR="00CC2CE7">
        <w:rPr>
          <w:color w:val="000000" w:themeColor="text1"/>
        </w:rPr>
        <w:t xml:space="preserve"> M</w:t>
      </w:r>
      <w:r w:rsidRPr="00C560A2">
        <w:rPr>
          <w:color w:val="000000" w:themeColor="text1"/>
        </w:rPr>
        <w:t xml:space="preserve">inistry of </w:t>
      </w:r>
      <w:r w:rsidR="00CC2CE7">
        <w:rPr>
          <w:color w:val="000000" w:themeColor="text1"/>
        </w:rPr>
        <w:t>F</w:t>
      </w:r>
      <w:r w:rsidRPr="00C560A2">
        <w:rPr>
          <w:color w:val="000000" w:themeColor="text1"/>
        </w:rPr>
        <w:t xml:space="preserve">inance ensures sustainability and the studies will allow for evidence-based decisions. </w:t>
      </w:r>
      <w:r w:rsidR="00C942CF" w:rsidRPr="00C560A2">
        <w:rPr>
          <w:color w:val="000000" w:themeColor="text1"/>
        </w:rPr>
        <w:t>Finally,</w:t>
      </w:r>
      <w:r w:rsidRPr="00C560A2">
        <w:rPr>
          <w:color w:val="000000" w:themeColor="text1"/>
        </w:rPr>
        <w:t xml:space="preserve"> the piloting of initiatives will allow all partners to focus on one specific vulnerable group and through a reiterative process arrive at the best solution in the Albania context. </w:t>
      </w:r>
    </w:p>
    <w:p w14:paraId="6D3BEE44" w14:textId="77777777" w:rsidR="00C560A2" w:rsidRDefault="00C560A2" w:rsidP="00C560A2">
      <w:pPr>
        <w:spacing w:after="0" w:line="240" w:lineRule="auto"/>
        <w:jc w:val="both"/>
        <w:rPr>
          <w:color w:val="000000" w:themeColor="text1"/>
        </w:rPr>
      </w:pPr>
    </w:p>
    <w:p w14:paraId="2E2E1363" w14:textId="67008633" w:rsidR="00CB3E8F" w:rsidRPr="00C560A2" w:rsidRDefault="00CB3E8F" w:rsidP="00C560A2">
      <w:pPr>
        <w:spacing w:after="0" w:line="240" w:lineRule="auto"/>
        <w:jc w:val="both"/>
        <w:rPr>
          <w:color w:val="000000" w:themeColor="text1"/>
        </w:rPr>
      </w:pPr>
      <w:r w:rsidRPr="00C560A2">
        <w:rPr>
          <w:color w:val="000000" w:themeColor="text1"/>
        </w:rPr>
        <w:t>Appropriate communication and discussions will take place to provide open and transparent details of the management of the fund.</w:t>
      </w:r>
      <w:r w:rsidR="0010591D" w:rsidRPr="00C560A2">
        <w:rPr>
          <w:color w:val="000000" w:themeColor="text1"/>
        </w:rPr>
        <w:t xml:space="preserve"> </w:t>
      </w:r>
      <w:r w:rsidR="00CC2CE7">
        <w:rPr>
          <w:color w:val="000000" w:themeColor="text1"/>
        </w:rPr>
        <w:t>C</w:t>
      </w:r>
      <w:r w:rsidRPr="00C560A2">
        <w:rPr>
          <w:color w:val="000000" w:themeColor="text1"/>
        </w:rPr>
        <w:t xml:space="preserve">onsultations with the private sector representatives </w:t>
      </w:r>
      <w:r w:rsidR="000F59B5" w:rsidRPr="00C560A2">
        <w:rPr>
          <w:color w:val="000000" w:themeColor="text1"/>
        </w:rPr>
        <w:t xml:space="preserve">emphasized the need for </w:t>
      </w:r>
      <w:r w:rsidRPr="00C560A2">
        <w:rPr>
          <w:color w:val="000000" w:themeColor="text1"/>
        </w:rPr>
        <w:t xml:space="preserve">incentivizing companies to become part of the scheme. Incentives ought to be based at the criteria and standards that will be applied as well as the real potential to accommodate the employment of PwD. The scheme initially can start with large companies and then expand. </w:t>
      </w:r>
    </w:p>
    <w:p w14:paraId="38AA9741" w14:textId="77777777" w:rsidR="00CB3E8F" w:rsidRPr="00C560A2" w:rsidRDefault="00CB3E8F" w:rsidP="00C560A2">
      <w:pPr>
        <w:spacing w:after="0" w:line="240" w:lineRule="auto"/>
        <w:jc w:val="both"/>
        <w:rPr>
          <w:color w:val="000000" w:themeColor="text1"/>
        </w:rPr>
      </w:pPr>
    </w:p>
    <w:p w14:paraId="03796DBC" w14:textId="3A506FE5" w:rsidR="00CB3E8F" w:rsidRPr="00C560A2" w:rsidRDefault="00C942CF" w:rsidP="00C560A2">
      <w:pPr>
        <w:spacing w:after="0" w:line="240" w:lineRule="auto"/>
        <w:jc w:val="both"/>
        <w:rPr>
          <w:color w:val="000000" w:themeColor="text1"/>
        </w:rPr>
      </w:pPr>
      <w:r w:rsidRPr="00C560A2">
        <w:rPr>
          <w:b/>
          <w:i/>
          <w:color w:val="000000" w:themeColor="text1"/>
        </w:rPr>
        <w:t>Resource mobilization.</w:t>
      </w:r>
      <w:r w:rsidRPr="00C560A2">
        <w:rPr>
          <w:color w:val="000000" w:themeColor="text1"/>
        </w:rPr>
        <w:t xml:space="preserve"> </w:t>
      </w:r>
      <w:r w:rsidR="00CB3E8F" w:rsidRPr="00C560A2">
        <w:rPr>
          <w:color w:val="000000" w:themeColor="text1"/>
        </w:rPr>
        <w:t xml:space="preserve">Discussions with the Chamber of Commerce and Industry pointed out that there are 4,000 large companies in the country that employ 50 people and more. </w:t>
      </w:r>
      <w:r w:rsidR="00D74527">
        <w:rPr>
          <w:color w:val="000000" w:themeColor="text1"/>
        </w:rPr>
        <w:t>We aim to target these</w:t>
      </w:r>
      <w:r w:rsidR="00CB3E8F" w:rsidRPr="00C560A2">
        <w:rPr>
          <w:color w:val="000000" w:themeColor="text1"/>
        </w:rPr>
        <w:t xml:space="preserve"> large companies to contribute to the fund following consultations, reach out and public awareness. </w:t>
      </w:r>
      <w:r w:rsidR="00C90C62" w:rsidRPr="00C560A2">
        <w:rPr>
          <w:color w:val="000000" w:themeColor="text1"/>
        </w:rPr>
        <w:t xml:space="preserve">The law stipulates that a company of 50 persons should employ or pay the minimum wage of two people. </w:t>
      </w:r>
      <w:r w:rsidR="00C560A2" w:rsidRPr="00C560A2">
        <w:rPr>
          <w:color w:val="000000" w:themeColor="text1"/>
        </w:rPr>
        <w:t xml:space="preserve">As a first cautious incentivizing step, instead of immediately asking companies to pay for two we will ask for one </w:t>
      </w:r>
      <w:r w:rsidR="00C560A2" w:rsidRPr="00C560A2">
        <w:rPr>
          <w:color w:val="000000" w:themeColor="text1"/>
        </w:rPr>
        <w:lastRenderedPageBreak/>
        <w:t xml:space="preserve">person’s annual minimum wage. </w:t>
      </w:r>
      <w:r w:rsidR="00C90C62" w:rsidRPr="00C560A2">
        <w:rPr>
          <w:color w:val="000000" w:themeColor="text1"/>
        </w:rPr>
        <w:t xml:space="preserve">The minimum </w:t>
      </w:r>
      <w:r w:rsidR="00CB3E8F" w:rsidRPr="00C560A2">
        <w:rPr>
          <w:color w:val="000000" w:themeColor="text1"/>
        </w:rPr>
        <w:t xml:space="preserve">monthly </w:t>
      </w:r>
      <w:r w:rsidR="00C90C62" w:rsidRPr="00C560A2">
        <w:rPr>
          <w:color w:val="000000" w:themeColor="text1"/>
        </w:rPr>
        <w:t xml:space="preserve">wage is </w:t>
      </w:r>
      <w:r w:rsidR="00CB3E8F" w:rsidRPr="00C560A2">
        <w:rPr>
          <w:color w:val="000000" w:themeColor="text1"/>
        </w:rPr>
        <w:t xml:space="preserve">24,000 ALL </w:t>
      </w:r>
      <w:r w:rsidR="00C90C62" w:rsidRPr="00C560A2">
        <w:rPr>
          <w:color w:val="000000" w:themeColor="text1"/>
        </w:rPr>
        <w:t xml:space="preserve">which is </w:t>
      </w:r>
      <w:r w:rsidR="00CB3E8F" w:rsidRPr="00C560A2">
        <w:rPr>
          <w:color w:val="000000" w:themeColor="text1"/>
        </w:rPr>
        <w:t>equal to 2</w:t>
      </w:r>
      <w:r w:rsidR="00D74527">
        <w:rPr>
          <w:color w:val="000000" w:themeColor="text1"/>
        </w:rPr>
        <w:t>20</w:t>
      </w:r>
      <w:r w:rsidR="00CB3E8F" w:rsidRPr="00C560A2">
        <w:rPr>
          <w:color w:val="000000" w:themeColor="text1"/>
        </w:rPr>
        <w:t xml:space="preserve"> USD </w:t>
      </w:r>
      <w:r w:rsidR="00C90C62" w:rsidRPr="00C560A2">
        <w:rPr>
          <w:color w:val="000000" w:themeColor="text1"/>
        </w:rPr>
        <w:t>(</w:t>
      </w:r>
      <w:r w:rsidR="00CB3E8F" w:rsidRPr="00C560A2">
        <w:rPr>
          <w:color w:val="000000" w:themeColor="text1"/>
        </w:rPr>
        <w:t>at the exchange rate of November 2017)</w:t>
      </w:r>
      <w:r w:rsidR="00BC56BD" w:rsidRPr="00C560A2">
        <w:rPr>
          <w:color w:val="000000" w:themeColor="text1"/>
        </w:rPr>
        <w:t>, and equivalent to an annual amount</w:t>
      </w:r>
      <w:r w:rsidR="00CB3E8F" w:rsidRPr="00C560A2">
        <w:rPr>
          <w:color w:val="000000" w:themeColor="text1"/>
        </w:rPr>
        <w:t xml:space="preserve"> of 2</w:t>
      </w:r>
      <w:r w:rsidR="00BC56BD" w:rsidRPr="00C560A2">
        <w:rPr>
          <w:color w:val="000000" w:themeColor="text1"/>
        </w:rPr>
        <w:t>,</w:t>
      </w:r>
      <w:r w:rsidR="00CB3E8F" w:rsidRPr="00C560A2">
        <w:rPr>
          <w:color w:val="000000" w:themeColor="text1"/>
        </w:rPr>
        <w:t xml:space="preserve">544 USD.  </w:t>
      </w:r>
    </w:p>
    <w:tbl>
      <w:tblPr>
        <w:tblStyle w:val="TableGrid"/>
        <w:tblpPr w:leftFromText="180" w:rightFromText="180" w:vertAnchor="text" w:horzAnchor="page" w:tblpX="2170" w:tblpY="335"/>
        <w:tblW w:w="0" w:type="auto"/>
        <w:tblLook w:val="04A0" w:firstRow="1" w:lastRow="0" w:firstColumn="1" w:lastColumn="0" w:noHBand="0" w:noVBand="1"/>
      </w:tblPr>
      <w:tblGrid>
        <w:gridCol w:w="2605"/>
        <w:gridCol w:w="2605"/>
        <w:gridCol w:w="2605"/>
      </w:tblGrid>
      <w:tr w:rsidR="00C560A2" w:rsidRPr="00C560A2" w14:paraId="1A726B28" w14:textId="77777777" w:rsidTr="003C0864">
        <w:trPr>
          <w:trHeight w:val="284"/>
        </w:trPr>
        <w:tc>
          <w:tcPr>
            <w:tcW w:w="2605" w:type="dxa"/>
          </w:tcPr>
          <w:p w14:paraId="647385F5" w14:textId="77777777" w:rsidR="00CB3E8F" w:rsidRPr="00C560A2" w:rsidRDefault="00CB3E8F" w:rsidP="00C560A2">
            <w:pPr>
              <w:spacing w:after="0" w:line="240" w:lineRule="auto"/>
              <w:jc w:val="center"/>
              <w:rPr>
                <w:color w:val="000000" w:themeColor="text1"/>
              </w:rPr>
            </w:pPr>
            <w:r w:rsidRPr="00C560A2">
              <w:rPr>
                <w:color w:val="000000" w:themeColor="text1"/>
              </w:rPr>
              <w:t>Number of companies</w:t>
            </w:r>
          </w:p>
        </w:tc>
        <w:tc>
          <w:tcPr>
            <w:tcW w:w="2605" w:type="dxa"/>
          </w:tcPr>
          <w:p w14:paraId="3EE6FED7" w14:textId="77777777" w:rsidR="00CB3E8F" w:rsidRPr="00C560A2" w:rsidRDefault="00CB3E8F" w:rsidP="00C560A2">
            <w:pPr>
              <w:spacing w:after="0" w:line="240" w:lineRule="auto"/>
              <w:jc w:val="center"/>
              <w:rPr>
                <w:color w:val="000000" w:themeColor="text1"/>
              </w:rPr>
            </w:pPr>
            <w:r w:rsidRPr="00C560A2">
              <w:rPr>
                <w:color w:val="000000" w:themeColor="text1"/>
              </w:rPr>
              <w:t>Initial annual contribution</w:t>
            </w:r>
          </w:p>
        </w:tc>
        <w:tc>
          <w:tcPr>
            <w:tcW w:w="2605" w:type="dxa"/>
          </w:tcPr>
          <w:p w14:paraId="3ECB5B18" w14:textId="0A019186" w:rsidR="00CB3E8F" w:rsidRPr="00C560A2" w:rsidRDefault="00CB3E8F" w:rsidP="00C560A2">
            <w:pPr>
              <w:spacing w:after="0" w:line="240" w:lineRule="auto"/>
              <w:jc w:val="center"/>
              <w:rPr>
                <w:color w:val="000000" w:themeColor="text1"/>
              </w:rPr>
            </w:pPr>
            <w:r w:rsidRPr="00C560A2">
              <w:rPr>
                <w:color w:val="000000" w:themeColor="text1"/>
              </w:rPr>
              <w:t>Total</w:t>
            </w:r>
            <w:r w:rsidR="00BC56BD" w:rsidRPr="00C560A2">
              <w:rPr>
                <w:color w:val="000000" w:themeColor="text1"/>
              </w:rPr>
              <w:t xml:space="preserve"> RM in One year</w:t>
            </w:r>
          </w:p>
        </w:tc>
      </w:tr>
      <w:tr w:rsidR="00C560A2" w:rsidRPr="00C560A2" w14:paraId="6D75121D" w14:textId="77777777" w:rsidTr="00D74527">
        <w:trPr>
          <w:trHeight w:val="250"/>
        </w:trPr>
        <w:tc>
          <w:tcPr>
            <w:tcW w:w="2605" w:type="dxa"/>
          </w:tcPr>
          <w:p w14:paraId="3285A34A" w14:textId="512CF852" w:rsidR="00CB3E8F" w:rsidRPr="00C560A2" w:rsidRDefault="00D74527" w:rsidP="00D74527">
            <w:pPr>
              <w:spacing w:after="0" w:line="240" w:lineRule="auto"/>
              <w:jc w:val="center"/>
              <w:rPr>
                <w:color w:val="000000" w:themeColor="text1"/>
              </w:rPr>
            </w:pPr>
            <w:r>
              <w:rPr>
                <w:color w:val="000000" w:themeColor="text1"/>
              </w:rPr>
              <w:t>4</w:t>
            </w:r>
            <w:r w:rsidR="00CB3E8F" w:rsidRPr="00C560A2">
              <w:rPr>
                <w:color w:val="000000" w:themeColor="text1"/>
              </w:rPr>
              <w:t>,</w:t>
            </w:r>
            <w:r>
              <w:rPr>
                <w:color w:val="000000" w:themeColor="text1"/>
              </w:rPr>
              <w:t>0</w:t>
            </w:r>
            <w:r w:rsidR="00CB3E8F" w:rsidRPr="00C560A2">
              <w:rPr>
                <w:color w:val="000000" w:themeColor="text1"/>
              </w:rPr>
              <w:t>00</w:t>
            </w:r>
          </w:p>
        </w:tc>
        <w:tc>
          <w:tcPr>
            <w:tcW w:w="2605" w:type="dxa"/>
          </w:tcPr>
          <w:p w14:paraId="4BD62BD8" w14:textId="25AD0F34" w:rsidR="00CB3E8F" w:rsidRPr="00C560A2" w:rsidRDefault="00CB3E8F" w:rsidP="00D74527">
            <w:pPr>
              <w:spacing w:after="0" w:line="240" w:lineRule="auto"/>
              <w:jc w:val="center"/>
              <w:rPr>
                <w:color w:val="000000" w:themeColor="text1"/>
              </w:rPr>
            </w:pPr>
            <w:r w:rsidRPr="00C560A2">
              <w:rPr>
                <w:color w:val="000000" w:themeColor="text1"/>
              </w:rPr>
              <w:t>2,</w:t>
            </w:r>
            <w:r w:rsidR="00D74527">
              <w:rPr>
                <w:color w:val="000000" w:themeColor="text1"/>
              </w:rPr>
              <w:t>6</w:t>
            </w:r>
            <w:r w:rsidRPr="00C560A2">
              <w:rPr>
                <w:color w:val="000000" w:themeColor="text1"/>
              </w:rPr>
              <w:t>4</w:t>
            </w:r>
            <w:r w:rsidR="00D74527">
              <w:rPr>
                <w:color w:val="000000" w:themeColor="text1"/>
              </w:rPr>
              <w:t>0</w:t>
            </w:r>
            <w:r w:rsidRPr="00C560A2">
              <w:rPr>
                <w:color w:val="000000" w:themeColor="text1"/>
              </w:rPr>
              <w:t xml:space="preserve"> USD</w:t>
            </w:r>
          </w:p>
        </w:tc>
        <w:tc>
          <w:tcPr>
            <w:tcW w:w="2605" w:type="dxa"/>
          </w:tcPr>
          <w:p w14:paraId="725CCEC3" w14:textId="2C2B329C" w:rsidR="00CB3E8F" w:rsidRPr="00C560A2" w:rsidRDefault="00D74527" w:rsidP="00D74527">
            <w:pPr>
              <w:spacing w:after="0" w:line="240" w:lineRule="auto"/>
              <w:jc w:val="center"/>
              <w:rPr>
                <w:color w:val="000000" w:themeColor="text1"/>
              </w:rPr>
            </w:pPr>
            <w:r>
              <w:rPr>
                <w:color w:val="000000" w:themeColor="text1"/>
              </w:rPr>
              <w:t>10,560,0</w:t>
            </w:r>
            <w:r w:rsidR="00CB3E8F" w:rsidRPr="00C560A2">
              <w:rPr>
                <w:color w:val="000000" w:themeColor="text1"/>
              </w:rPr>
              <w:t>00 USD</w:t>
            </w:r>
          </w:p>
        </w:tc>
      </w:tr>
    </w:tbl>
    <w:p w14:paraId="3F44C55E" w14:textId="77777777" w:rsidR="00CB3E8F" w:rsidRPr="00C560A2" w:rsidRDefault="00CB3E8F" w:rsidP="00C560A2">
      <w:pPr>
        <w:spacing w:after="0" w:line="240" w:lineRule="auto"/>
        <w:jc w:val="both"/>
        <w:rPr>
          <w:color w:val="000000" w:themeColor="text1"/>
        </w:rPr>
      </w:pPr>
    </w:p>
    <w:p w14:paraId="4C54711A" w14:textId="77777777" w:rsidR="00CB3E8F" w:rsidRPr="00C560A2" w:rsidRDefault="00CB3E8F" w:rsidP="00C560A2">
      <w:pPr>
        <w:spacing w:after="0" w:line="240" w:lineRule="auto"/>
        <w:jc w:val="both"/>
        <w:rPr>
          <w:rFonts w:eastAsiaTheme="majorEastAsia"/>
          <w:bCs/>
          <w:color w:val="000000" w:themeColor="text1"/>
        </w:rPr>
      </w:pPr>
    </w:p>
    <w:p w14:paraId="5E83D6FF" w14:textId="77777777" w:rsidR="00CB3E8F" w:rsidRPr="00C560A2" w:rsidRDefault="00CB3E8F" w:rsidP="00C560A2">
      <w:pPr>
        <w:spacing w:after="0" w:line="240" w:lineRule="auto"/>
        <w:rPr>
          <w:rFonts w:eastAsiaTheme="majorEastAsia"/>
          <w:bCs/>
          <w:color w:val="000000" w:themeColor="text1"/>
        </w:rPr>
      </w:pPr>
    </w:p>
    <w:p w14:paraId="2F30A017" w14:textId="77777777" w:rsidR="00C560A2" w:rsidRDefault="00C560A2" w:rsidP="00C560A2">
      <w:pPr>
        <w:spacing w:after="0" w:line="240" w:lineRule="auto"/>
        <w:jc w:val="both"/>
        <w:rPr>
          <w:color w:val="000000" w:themeColor="text1"/>
        </w:rPr>
      </w:pPr>
    </w:p>
    <w:p w14:paraId="777A4FB8" w14:textId="77777777" w:rsidR="00C560A2" w:rsidRDefault="00C560A2" w:rsidP="00C560A2">
      <w:pPr>
        <w:spacing w:after="0" w:line="240" w:lineRule="auto"/>
        <w:jc w:val="both"/>
        <w:rPr>
          <w:color w:val="000000" w:themeColor="text1"/>
        </w:rPr>
      </w:pPr>
      <w:bookmarkStart w:id="0" w:name="_GoBack"/>
      <w:bookmarkEnd w:id="0"/>
    </w:p>
    <w:p w14:paraId="49EDFD8E" w14:textId="6F8375FB" w:rsidR="00CB3E8F" w:rsidRPr="00C560A2" w:rsidRDefault="00CB3E8F" w:rsidP="00C560A2">
      <w:pPr>
        <w:spacing w:after="0" w:line="240" w:lineRule="auto"/>
        <w:jc w:val="both"/>
        <w:rPr>
          <w:color w:val="000000" w:themeColor="text1"/>
        </w:rPr>
      </w:pPr>
      <w:r w:rsidRPr="00C560A2">
        <w:rPr>
          <w:color w:val="000000" w:themeColor="text1"/>
        </w:rPr>
        <w:t>This is the projection for UNDP resource mobilization target for year 1. The understanding is that the fund will be annually replenished and scaled up. RM mechanism will be pursued through the following options:</w:t>
      </w:r>
    </w:p>
    <w:p w14:paraId="4A250E06" w14:textId="77777777" w:rsidR="00CB3E8F" w:rsidRPr="00C560A2" w:rsidRDefault="00CB3E8F" w:rsidP="00C560A2">
      <w:pPr>
        <w:spacing w:after="0" w:line="240" w:lineRule="auto"/>
        <w:jc w:val="both"/>
        <w:rPr>
          <w:color w:val="000000" w:themeColor="text1"/>
        </w:rPr>
      </w:pPr>
    </w:p>
    <w:p w14:paraId="1D574AA0" w14:textId="66870C28" w:rsidR="00CB3E8F" w:rsidRPr="00C560A2" w:rsidRDefault="00CB3E8F" w:rsidP="00C560A2">
      <w:pPr>
        <w:pStyle w:val="ListParagraph"/>
        <w:numPr>
          <w:ilvl w:val="0"/>
          <w:numId w:val="22"/>
        </w:numPr>
        <w:spacing w:after="0" w:line="240" w:lineRule="auto"/>
        <w:jc w:val="both"/>
        <w:rPr>
          <w:color w:val="000000" w:themeColor="text1"/>
        </w:rPr>
      </w:pPr>
      <w:r w:rsidRPr="00C560A2">
        <w:rPr>
          <w:color w:val="000000" w:themeColor="text1"/>
        </w:rPr>
        <w:t xml:space="preserve">UNDP supports the establishment of the entire scheme and the collected levies are channeled to </w:t>
      </w:r>
      <w:r w:rsidR="00E3265B" w:rsidRPr="00C560A2">
        <w:rPr>
          <w:color w:val="000000" w:themeColor="text1"/>
        </w:rPr>
        <w:t xml:space="preserve">Government, and Government passes the amount to </w:t>
      </w:r>
      <w:r w:rsidRPr="00C560A2">
        <w:rPr>
          <w:color w:val="000000" w:themeColor="text1"/>
        </w:rPr>
        <w:t>UNDP through government cost sharing to complete the implementation including the monitoring mechanisms</w:t>
      </w:r>
      <w:r w:rsidR="00E3265B" w:rsidRPr="00C560A2">
        <w:rPr>
          <w:color w:val="000000" w:themeColor="text1"/>
        </w:rPr>
        <w:t xml:space="preserve"> (</w:t>
      </w:r>
      <w:r w:rsidR="00E3265B" w:rsidRPr="00C560A2">
        <w:rPr>
          <w:b/>
          <w:color w:val="000000" w:themeColor="text1"/>
          <w:u w:val="single"/>
        </w:rPr>
        <w:t>government cost sharing)</w:t>
      </w:r>
      <w:r w:rsidRPr="00C560A2">
        <w:rPr>
          <w:color w:val="000000" w:themeColor="text1"/>
        </w:rPr>
        <w:t xml:space="preserve">.  </w:t>
      </w:r>
    </w:p>
    <w:p w14:paraId="38D69718" w14:textId="2E722351" w:rsidR="00CB3E8F" w:rsidRPr="00C560A2" w:rsidRDefault="00CB3E8F" w:rsidP="00C560A2">
      <w:pPr>
        <w:pStyle w:val="ListParagraph"/>
        <w:numPr>
          <w:ilvl w:val="0"/>
          <w:numId w:val="22"/>
        </w:numPr>
        <w:spacing w:after="0" w:line="240" w:lineRule="auto"/>
        <w:jc w:val="both"/>
        <w:rPr>
          <w:color w:val="000000" w:themeColor="text1"/>
        </w:rPr>
      </w:pPr>
      <w:r w:rsidRPr="00C560A2">
        <w:rPr>
          <w:color w:val="000000" w:themeColor="text1"/>
        </w:rPr>
        <w:t>The fund will be established directly in partnership of UNDP with the private sector. The entire set up will be managed and monitored jointly with the Chamber of Commerce and Industries of Tirana</w:t>
      </w:r>
      <w:r w:rsidR="00E3265B" w:rsidRPr="00C560A2">
        <w:rPr>
          <w:color w:val="000000" w:themeColor="text1"/>
        </w:rPr>
        <w:t xml:space="preserve"> (</w:t>
      </w:r>
      <w:r w:rsidR="00E3265B" w:rsidRPr="00C560A2">
        <w:rPr>
          <w:b/>
          <w:i/>
          <w:color w:val="000000" w:themeColor="text1"/>
        </w:rPr>
        <w:t>alternative financing from</w:t>
      </w:r>
      <w:r w:rsidR="00E3265B" w:rsidRPr="00C560A2">
        <w:rPr>
          <w:color w:val="000000" w:themeColor="text1"/>
        </w:rPr>
        <w:t xml:space="preserve"> </w:t>
      </w:r>
      <w:r w:rsidR="00E3265B" w:rsidRPr="00C560A2">
        <w:rPr>
          <w:b/>
          <w:i/>
          <w:color w:val="000000" w:themeColor="text1"/>
        </w:rPr>
        <w:t>private sector through extra budgetary fund)</w:t>
      </w:r>
      <w:r w:rsidRPr="00C560A2">
        <w:rPr>
          <w:color w:val="000000" w:themeColor="text1"/>
        </w:rPr>
        <w:t xml:space="preserve">. </w:t>
      </w:r>
    </w:p>
    <w:p w14:paraId="1B6F4BB0" w14:textId="66C2672B" w:rsidR="00CB3E8F" w:rsidRPr="00C560A2" w:rsidRDefault="00CB3E8F" w:rsidP="00C560A2">
      <w:pPr>
        <w:pStyle w:val="ListParagraph"/>
        <w:numPr>
          <w:ilvl w:val="0"/>
          <w:numId w:val="22"/>
        </w:numPr>
        <w:spacing w:after="0" w:line="240" w:lineRule="auto"/>
        <w:jc w:val="both"/>
        <w:rPr>
          <w:color w:val="000000" w:themeColor="text1"/>
        </w:rPr>
      </w:pPr>
      <w:r w:rsidRPr="00C560A2">
        <w:rPr>
          <w:color w:val="000000" w:themeColor="text1"/>
        </w:rPr>
        <w:t xml:space="preserve">The above two options are not mutually exclusive. There is also a third scenario where both options will be pursued in order to maximize potential, mitigate any issues and associated risks </w:t>
      </w:r>
      <w:r w:rsidR="00E3265B" w:rsidRPr="00C560A2">
        <w:rPr>
          <w:color w:val="000000" w:themeColor="text1"/>
        </w:rPr>
        <w:t>(</w:t>
      </w:r>
      <w:r w:rsidR="00E3265B" w:rsidRPr="00C560A2">
        <w:rPr>
          <w:b/>
          <w:i/>
          <w:color w:val="000000" w:themeColor="text1"/>
        </w:rPr>
        <w:t>blended</w:t>
      </w:r>
      <w:r w:rsidR="00E3265B" w:rsidRPr="00C560A2">
        <w:rPr>
          <w:color w:val="000000" w:themeColor="text1"/>
        </w:rPr>
        <w:t>)</w:t>
      </w:r>
    </w:p>
    <w:p w14:paraId="17B75BDB" w14:textId="77777777" w:rsidR="00CB3E8F" w:rsidRPr="00C560A2" w:rsidRDefault="00CB3E8F" w:rsidP="00C560A2">
      <w:pPr>
        <w:spacing w:after="0" w:line="240" w:lineRule="auto"/>
        <w:jc w:val="both"/>
        <w:rPr>
          <w:color w:val="000000" w:themeColor="text1"/>
        </w:rPr>
      </w:pPr>
      <w:r w:rsidRPr="00C560A2">
        <w:rPr>
          <w:color w:val="000000" w:themeColor="text1"/>
        </w:rPr>
        <w:t xml:space="preserve"> </w:t>
      </w:r>
    </w:p>
    <w:p w14:paraId="24C208EE" w14:textId="2C71CF5E" w:rsidR="004508C8" w:rsidRPr="00C560A2" w:rsidRDefault="004508C8" w:rsidP="00C560A2">
      <w:pPr>
        <w:spacing w:after="0" w:line="240" w:lineRule="auto"/>
        <w:jc w:val="both"/>
        <w:rPr>
          <w:color w:val="000000" w:themeColor="text1"/>
        </w:rPr>
      </w:pPr>
      <w:r w:rsidRPr="00C560A2">
        <w:rPr>
          <w:color w:val="000000" w:themeColor="text1"/>
        </w:rPr>
        <w:t xml:space="preserve">The target RM figure </w:t>
      </w:r>
      <w:r w:rsidR="007D6F0C" w:rsidRPr="00C560A2">
        <w:rPr>
          <w:color w:val="000000" w:themeColor="text1"/>
        </w:rPr>
        <w:t xml:space="preserve">referenced above </w:t>
      </w:r>
      <w:r w:rsidRPr="00C560A2">
        <w:rPr>
          <w:color w:val="000000" w:themeColor="text1"/>
        </w:rPr>
        <w:t xml:space="preserve">is the same regardless of the RM </w:t>
      </w:r>
      <w:r w:rsidR="007D6F0C" w:rsidRPr="00C560A2">
        <w:rPr>
          <w:color w:val="000000" w:themeColor="text1"/>
        </w:rPr>
        <w:t xml:space="preserve">mechanism or </w:t>
      </w:r>
      <w:r w:rsidRPr="00C560A2">
        <w:rPr>
          <w:color w:val="000000" w:themeColor="text1"/>
        </w:rPr>
        <w:t>methodology applied. Government, private sector and UNDP will be decided in due course and based on evidence identifying the best option to apply.</w:t>
      </w:r>
    </w:p>
    <w:p w14:paraId="01CD4271" w14:textId="77777777" w:rsidR="004508C8" w:rsidRPr="00C560A2" w:rsidRDefault="004508C8" w:rsidP="00C560A2">
      <w:pPr>
        <w:spacing w:after="0" w:line="240" w:lineRule="auto"/>
        <w:jc w:val="both"/>
        <w:rPr>
          <w:color w:val="000000" w:themeColor="text1"/>
        </w:rPr>
      </w:pPr>
    </w:p>
    <w:p w14:paraId="225AA253" w14:textId="0298122E" w:rsidR="00CB3E8F" w:rsidRPr="00C560A2" w:rsidRDefault="003C6CD7" w:rsidP="00C560A2">
      <w:pPr>
        <w:spacing w:after="0" w:line="240" w:lineRule="auto"/>
        <w:jc w:val="both"/>
        <w:rPr>
          <w:color w:val="000000" w:themeColor="text1"/>
        </w:rPr>
      </w:pPr>
      <w:r w:rsidRPr="00C560A2">
        <w:rPr>
          <w:b/>
          <w:i/>
          <w:color w:val="000000" w:themeColor="text1"/>
        </w:rPr>
        <w:t>Option 1.</w:t>
      </w:r>
      <w:r w:rsidRPr="00C560A2">
        <w:rPr>
          <w:color w:val="000000" w:themeColor="text1"/>
        </w:rPr>
        <w:t xml:space="preserve"> </w:t>
      </w:r>
      <w:r w:rsidR="00CB3E8F" w:rsidRPr="00C560A2">
        <w:rPr>
          <w:color w:val="000000" w:themeColor="text1"/>
        </w:rPr>
        <w:t>How</w:t>
      </w:r>
      <w:r w:rsidR="0042372D" w:rsidRPr="00C560A2">
        <w:rPr>
          <w:color w:val="000000" w:themeColor="text1"/>
        </w:rPr>
        <w:t xml:space="preserve"> to roll out the initiative in</w:t>
      </w:r>
      <w:r w:rsidR="00CB3E8F" w:rsidRPr="00C560A2">
        <w:rPr>
          <w:color w:val="000000" w:themeColor="text1"/>
        </w:rPr>
        <w:t xml:space="preserve"> stages</w:t>
      </w:r>
      <w:r w:rsidR="0042372D" w:rsidRPr="00C560A2">
        <w:rPr>
          <w:color w:val="000000" w:themeColor="text1"/>
        </w:rPr>
        <w:t xml:space="preserve">, details of how the </w:t>
      </w:r>
      <w:r w:rsidR="00D32D64" w:rsidRPr="00C560A2">
        <w:rPr>
          <w:color w:val="000000" w:themeColor="text1"/>
        </w:rPr>
        <w:t>amounts</w:t>
      </w:r>
      <w:r w:rsidR="0042372D" w:rsidRPr="00C560A2">
        <w:rPr>
          <w:color w:val="000000" w:themeColor="text1"/>
        </w:rPr>
        <w:t xml:space="preserve"> will be collected,</w:t>
      </w:r>
      <w:r w:rsidR="00CB3E8F" w:rsidRPr="00C560A2">
        <w:rPr>
          <w:color w:val="000000" w:themeColor="text1"/>
        </w:rPr>
        <w:t xml:space="preserve"> </w:t>
      </w:r>
      <w:r w:rsidR="00C560A2" w:rsidRPr="00C560A2">
        <w:rPr>
          <w:color w:val="000000" w:themeColor="text1"/>
        </w:rPr>
        <w:t>and other</w:t>
      </w:r>
      <w:r w:rsidR="0042372D" w:rsidRPr="00C560A2">
        <w:rPr>
          <w:color w:val="000000" w:themeColor="text1"/>
        </w:rPr>
        <w:t xml:space="preserve"> </w:t>
      </w:r>
      <w:r w:rsidR="00CB3E8F" w:rsidRPr="00C560A2">
        <w:rPr>
          <w:color w:val="000000" w:themeColor="text1"/>
        </w:rPr>
        <w:t xml:space="preserve">operational issues will be discussed and detailed with the support of this intervention. The government cost-sharing agreement will also have the added benefit of addressing an issue reported by the European Commission. As part of the accession process, the EU requires the government of Albania to start preparation for establishment of the necessary structures to attract and manage structural funds. Indeed, the European Commission has expressed concern on lack of action towards establishment of a precursor structure of the European Social Fund and suggests quick and prompt action in this direction. </w:t>
      </w:r>
      <w:r w:rsidR="004508C8" w:rsidRPr="00C560A2">
        <w:rPr>
          <w:color w:val="000000" w:themeColor="text1"/>
        </w:rPr>
        <w:t>T</w:t>
      </w:r>
      <w:r w:rsidR="00CB3E8F" w:rsidRPr="00C560A2">
        <w:rPr>
          <w:color w:val="000000" w:themeColor="text1"/>
        </w:rPr>
        <w:t>he government is more like</w:t>
      </w:r>
      <w:r w:rsidR="00CC2CE7">
        <w:rPr>
          <w:color w:val="000000" w:themeColor="text1"/>
        </w:rPr>
        <w:t xml:space="preserve">ly to start at a smaller scale </w:t>
      </w:r>
      <w:r w:rsidR="00CC2CE7" w:rsidRPr="00C560A2">
        <w:rPr>
          <w:color w:val="000000" w:themeColor="text1"/>
        </w:rPr>
        <w:t xml:space="preserve">in order to manage the risk of this being seen as an additional fiscal measure. </w:t>
      </w:r>
      <w:r w:rsidR="00CB3E8F" w:rsidRPr="00C560A2">
        <w:rPr>
          <w:color w:val="000000" w:themeColor="text1"/>
        </w:rPr>
        <w:t>Following initial results, the fund will be expanded and scaled up. The entire scheme will be a welcome development from the EU and will be likely to be reported as an achievement.</w:t>
      </w:r>
    </w:p>
    <w:p w14:paraId="0A12214C" w14:textId="77777777" w:rsidR="00CB3E8F" w:rsidRPr="00C560A2" w:rsidRDefault="00CB3E8F" w:rsidP="00C560A2">
      <w:pPr>
        <w:spacing w:after="0" w:line="240" w:lineRule="auto"/>
        <w:jc w:val="both"/>
        <w:rPr>
          <w:color w:val="000000" w:themeColor="text1"/>
        </w:rPr>
      </w:pPr>
    </w:p>
    <w:p w14:paraId="74941D99" w14:textId="69B1B7EA" w:rsidR="00CB3E8F" w:rsidRPr="00C560A2" w:rsidRDefault="00CB3E8F" w:rsidP="00C560A2">
      <w:pPr>
        <w:spacing w:after="0" w:line="240" w:lineRule="auto"/>
        <w:jc w:val="both"/>
        <w:rPr>
          <w:color w:val="000000" w:themeColor="text1"/>
        </w:rPr>
      </w:pPr>
      <w:r w:rsidRPr="00C560A2">
        <w:rPr>
          <w:b/>
          <w:i/>
          <w:color w:val="000000" w:themeColor="text1"/>
        </w:rPr>
        <w:t>Option 2</w:t>
      </w:r>
      <w:r w:rsidR="003C6CD7" w:rsidRPr="00C560A2">
        <w:rPr>
          <w:b/>
          <w:i/>
          <w:color w:val="000000" w:themeColor="text1"/>
        </w:rPr>
        <w:t>.</w:t>
      </w:r>
      <w:r w:rsidRPr="00C560A2">
        <w:rPr>
          <w:color w:val="000000" w:themeColor="text1"/>
        </w:rPr>
        <w:t xml:space="preserve"> </w:t>
      </w:r>
      <w:r w:rsidR="003C6CD7" w:rsidRPr="00C560A2">
        <w:rPr>
          <w:color w:val="000000" w:themeColor="text1"/>
        </w:rPr>
        <w:t xml:space="preserve">This </w:t>
      </w:r>
      <w:r w:rsidRPr="00C560A2">
        <w:rPr>
          <w:color w:val="000000" w:themeColor="text1"/>
        </w:rPr>
        <w:t xml:space="preserve">stipulates that UNDP enters </w:t>
      </w:r>
      <w:r w:rsidR="00AA46E3" w:rsidRPr="00C560A2">
        <w:rPr>
          <w:color w:val="000000" w:themeColor="text1"/>
        </w:rPr>
        <w:t xml:space="preserve">into </w:t>
      </w:r>
      <w:r w:rsidRPr="00C560A2">
        <w:rPr>
          <w:color w:val="000000" w:themeColor="text1"/>
        </w:rPr>
        <w:t xml:space="preserve">an agreement with the Chamber of Commerce and Industry for the management of the fund as well as of the measures that will be jointly articulated and implemented. As indicated in our joint discussions, the agreement can be foreseen for a period of up to five years with adequate monitoring and evaluation procedures. </w:t>
      </w:r>
    </w:p>
    <w:p w14:paraId="7140713D" w14:textId="77777777" w:rsidR="00CB3E8F" w:rsidRPr="00C560A2" w:rsidRDefault="00CB3E8F" w:rsidP="00C560A2">
      <w:pPr>
        <w:spacing w:after="0" w:line="240" w:lineRule="auto"/>
        <w:jc w:val="both"/>
        <w:rPr>
          <w:color w:val="000000" w:themeColor="text1"/>
        </w:rPr>
      </w:pPr>
    </w:p>
    <w:p w14:paraId="50451856" w14:textId="798A4910" w:rsidR="00CB3E8F" w:rsidRPr="00C560A2" w:rsidRDefault="00CB3E8F" w:rsidP="00C560A2">
      <w:pPr>
        <w:spacing w:after="0" w:line="240" w:lineRule="auto"/>
        <w:jc w:val="both"/>
        <w:rPr>
          <w:color w:val="000000" w:themeColor="text1"/>
        </w:rPr>
      </w:pPr>
      <w:r w:rsidRPr="00C560A2">
        <w:rPr>
          <w:color w:val="000000" w:themeColor="text1"/>
        </w:rPr>
        <w:t>No matter the format, it is clear that such intervention requires the commitment of three partners – government, private sector and UNDP. Such a partnership is a novelty and both the government and the private sector representatives recognize th</w:t>
      </w:r>
      <w:r w:rsidR="00AA46E3" w:rsidRPr="00C560A2">
        <w:rPr>
          <w:color w:val="000000" w:themeColor="text1"/>
        </w:rPr>
        <w:t>is</w:t>
      </w:r>
      <w:r w:rsidRPr="00C560A2">
        <w:rPr>
          <w:color w:val="000000" w:themeColor="text1"/>
        </w:rPr>
        <w:t xml:space="preserve"> and reiterate their support to the facilitating and implementing role of UNDP in this</w:t>
      </w:r>
      <w:r w:rsidR="00AA46E3" w:rsidRPr="00C560A2">
        <w:rPr>
          <w:color w:val="000000" w:themeColor="text1"/>
        </w:rPr>
        <w:t xml:space="preserve"> initiative</w:t>
      </w:r>
      <w:r w:rsidRPr="00C560A2">
        <w:rPr>
          <w:color w:val="000000" w:themeColor="text1"/>
        </w:rPr>
        <w:t xml:space="preserve">. </w:t>
      </w:r>
    </w:p>
    <w:p w14:paraId="1B0EDC31" w14:textId="1794B00D" w:rsidR="00703C71" w:rsidRPr="00CC2CE7" w:rsidRDefault="00703C71" w:rsidP="00CC2CE7">
      <w:pPr>
        <w:spacing w:after="0" w:line="240" w:lineRule="auto"/>
        <w:jc w:val="both"/>
        <w:rPr>
          <w:color w:val="000000" w:themeColor="text1"/>
        </w:rPr>
      </w:pPr>
    </w:p>
    <w:sectPr w:rsidR="00703C71" w:rsidRPr="00CC2CE7" w:rsidSect="00491D27">
      <w:footerReference w:type="default" r:id="rId9"/>
      <w:pgSz w:w="12240" w:h="15840"/>
      <w:pgMar w:top="1158" w:right="1440" w:bottom="1710" w:left="1080" w:header="720" w:footer="7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65630" w14:textId="77777777" w:rsidR="00F769E6" w:rsidRDefault="00F769E6" w:rsidP="00B50EF9">
      <w:pPr>
        <w:spacing w:after="0" w:line="240" w:lineRule="auto"/>
      </w:pPr>
      <w:r>
        <w:separator/>
      </w:r>
    </w:p>
  </w:endnote>
  <w:endnote w:type="continuationSeparator" w:id="0">
    <w:p w14:paraId="5E7536A4" w14:textId="77777777" w:rsidR="00F769E6" w:rsidRDefault="00F769E6" w:rsidP="00B50EF9">
      <w:pPr>
        <w:spacing w:after="0" w:line="240" w:lineRule="auto"/>
      </w:pPr>
      <w:r>
        <w:continuationSeparator/>
      </w:r>
    </w:p>
  </w:endnote>
  <w:endnote w:type="continuationNotice" w:id="1">
    <w:p w14:paraId="0421CA07" w14:textId="77777777" w:rsidR="00F769E6" w:rsidRDefault="00F769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421376"/>
      <w:docPartObj>
        <w:docPartGallery w:val="Page Numbers (Bottom of Page)"/>
        <w:docPartUnique/>
      </w:docPartObj>
    </w:sdtPr>
    <w:sdtEndPr>
      <w:rPr>
        <w:noProof/>
        <w:sz w:val="20"/>
        <w:szCs w:val="20"/>
      </w:rPr>
    </w:sdtEndPr>
    <w:sdtContent>
      <w:p w14:paraId="7B5CC883" w14:textId="2DBB975A" w:rsidR="00DC7718" w:rsidRPr="0025349D" w:rsidRDefault="00DC7718">
        <w:pPr>
          <w:pStyle w:val="Footer"/>
          <w:jc w:val="right"/>
          <w:rPr>
            <w:sz w:val="20"/>
            <w:szCs w:val="20"/>
          </w:rPr>
        </w:pPr>
        <w:r w:rsidRPr="0025349D">
          <w:rPr>
            <w:sz w:val="20"/>
            <w:szCs w:val="20"/>
          </w:rPr>
          <w:fldChar w:fldCharType="begin"/>
        </w:r>
        <w:r w:rsidRPr="0025349D">
          <w:rPr>
            <w:sz w:val="20"/>
            <w:szCs w:val="20"/>
          </w:rPr>
          <w:instrText xml:space="preserve"> PAGE   \* MERGEFORMAT </w:instrText>
        </w:r>
        <w:r w:rsidRPr="0025349D">
          <w:rPr>
            <w:sz w:val="20"/>
            <w:szCs w:val="20"/>
          </w:rPr>
          <w:fldChar w:fldCharType="separate"/>
        </w:r>
        <w:r w:rsidR="00D74527">
          <w:rPr>
            <w:noProof/>
            <w:sz w:val="20"/>
            <w:szCs w:val="20"/>
          </w:rPr>
          <w:t>6</w:t>
        </w:r>
        <w:r w:rsidRPr="0025349D">
          <w:rPr>
            <w:noProof/>
            <w:sz w:val="20"/>
            <w:szCs w:val="20"/>
          </w:rPr>
          <w:fldChar w:fldCharType="end"/>
        </w:r>
      </w:p>
    </w:sdtContent>
  </w:sdt>
  <w:p w14:paraId="31853B68" w14:textId="77777777" w:rsidR="00DC7718" w:rsidRDefault="00DC77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55D17" w14:textId="77777777" w:rsidR="00F769E6" w:rsidRDefault="00F769E6" w:rsidP="00B50EF9">
      <w:pPr>
        <w:spacing w:after="0" w:line="240" w:lineRule="auto"/>
      </w:pPr>
      <w:r>
        <w:separator/>
      </w:r>
    </w:p>
  </w:footnote>
  <w:footnote w:type="continuationSeparator" w:id="0">
    <w:p w14:paraId="715F1851" w14:textId="77777777" w:rsidR="00F769E6" w:rsidRDefault="00F769E6" w:rsidP="00B50EF9">
      <w:pPr>
        <w:spacing w:after="0" w:line="240" w:lineRule="auto"/>
      </w:pPr>
      <w:r>
        <w:continuationSeparator/>
      </w:r>
    </w:p>
  </w:footnote>
  <w:footnote w:type="continuationNotice" w:id="1">
    <w:p w14:paraId="4F1C9E56" w14:textId="77777777" w:rsidR="00F769E6" w:rsidRDefault="00F769E6">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627E"/>
    <w:multiLevelType w:val="hybridMultilevel"/>
    <w:tmpl w:val="866E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8237E"/>
    <w:multiLevelType w:val="hybridMultilevel"/>
    <w:tmpl w:val="94CE17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C460A53"/>
    <w:multiLevelType w:val="hybridMultilevel"/>
    <w:tmpl w:val="B9AA59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8045C"/>
    <w:multiLevelType w:val="hybridMultilevel"/>
    <w:tmpl w:val="FD08C9FC"/>
    <w:lvl w:ilvl="0" w:tplc="6A6C229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EB367E"/>
    <w:multiLevelType w:val="hybridMultilevel"/>
    <w:tmpl w:val="0A70ED52"/>
    <w:lvl w:ilvl="0" w:tplc="01C09E30">
      <w:start w:val="2"/>
      <w:numFmt w:val="upperRoman"/>
      <w:pStyle w:val="Heading1"/>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A8037F0"/>
    <w:multiLevelType w:val="hybridMultilevel"/>
    <w:tmpl w:val="515A75BA"/>
    <w:lvl w:ilvl="0" w:tplc="0E6227C0">
      <w:start w:val="1"/>
      <w:numFmt w:val="lowerLetter"/>
      <w:lvlText w:val="%1."/>
      <w:lvlJc w:val="left"/>
      <w:pPr>
        <w:ind w:left="1080" w:hanging="360"/>
      </w:pPr>
      <w:rPr>
        <w:b/>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3347672A"/>
    <w:multiLevelType w:val="hybridMultilevel"/>
    <w:tmpl w:val="009E2A36"/>
    <w:lvl w:ilvl="0" w:tplc="DF22ACC8">
      <w:start w:val="1"/>
      <w:numFmt w:val="lowerRoman"/>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5C176E"/>
    <w:multiLevelType w:val="hybridMultilevel"/>
    <w:tmpl w:val="BAA875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B377D0"/>
    <w:multiLevelType w:val="hybridMultilevel"/>
    <w:tmpl w:val="759091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1BE4AA6"/>
    <w:multiLevelType w:val="hybridMultilevel"/>
    <w:tmpl w:val="FFCE1EE6"/>
    <w:lvl w:ilvl="0" w:tplc="6A6C229E">
      <w:start w:val="1"/>
      <w:numFmt w:val="bullet"/>
      <w:lvlText w:val="-"/>
      <w:lvlJc w:val="left"/>
      <w:pPr>
        <w:ind w:left="864" w:hanging="360"/>
      </w:pPr>
      <w:rPr>
        <w:rFonts w:ascii="Courier New" w:hAnsi="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nsid w:val="46E7433F"/>
    <w:multiLevelType w:val="hybridMultilevel"/>
    <w:tmpl w:val="40A2FDA0"/>
    <w:lvl w:ilvl="0" w:tplc="04090001">
      <w:start w:val="1"/>
      <w:numFmt w:val="bullet"/>
      <w:lvlText w:val=""/>
      <w:lvlJc w:val="left"/>
      <w:pPr>
        <w:ind w:left="1440" w:hanging="360"/>
      </w:pPr>
      <w:rPr>
        <w:rFonts w:ascii="Symbol" w:hAnsi="Symbol" w:hint="default"/>
      </w:rPr>
    </w:lvl>
    <w:lvl w:ilvl="1" w:tplc="305C953E">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E6709DF"/>
    <w:multiLevelType w:val="hybridMultilevel"/>
    <w:tmpl w:val="12A6E8BE"/>
    <w:lvl w:ilvl="0" w:tplc="1DBCF45E">
      <w:start w:val="1"/>
      <w:numFmt w:val="decimal"/>
      <w:lvlText w:val="(%1)."/>
      <w:lvlJc w:val="left"/>
      <w:pPr>
        <w:ind w:left="1080" w:hanging="360"/>
      </w:pPr>
      <w:rPr>
        <w:rFonts w:hint="default"/>
      </w:rPr>
    </w:lvl>
    <w:lvl w:ilvl="1" w:tplc="40489E58">
      <w:numFmt w:val="bullet"/>
      <w:lvlText w:val="-"/>
      <w:lvlJc w:val="left"/>
      <w:pPr>
        <w:ind w:left="1800" w:hanging="36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FFF20BE"/>
    <w:multiLevelType w:val="hybridMultilevel"/>
    <w:tmpl w:val="6FDA9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EC1C12"/>
    <w:multiLevelType w:val="hybridMultilevel"/>
    <w:tmpl w:val="4FA4D30E"/>
    <w:lvl w:ilvl="0" w:tplc="1F80E6CC">
      <w:start w:val="1"/>
      <w:numFmt w:val="decimal"/>
      <w:pStyle w:val="Heading2"/>
      <w:lvlText w:val="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BC2277"/>
    <w:multiLevelType w:val="hybridMultilevel"/>
    <w:tmpl w:val="67EC5ACE"/>
    <w:lvl w:ilvl="0" w:tplc="60FC26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576872"/>
    <w:multiLevelType w:val="hybridMultilevel"/>
    <w:tmpl w:val="56C43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8583372"/>
    <w:multiLevelType w:val="hybridMultilevel"/>
    <w:tmpl w:val="D6E6D7F6"/>
    <w:lvl w:ilvl="0" w:tplc="9864C144">
      <w:start w:val="1"/>
      <w:numFmt w:val="bullet"/>
      <w:lvlText w:val=""/>
      <w:lvlJc w:val="left"/>
      <w:pPr>
        <w:ind w:left="720" w:hanging="360"/>
      </w:pPr>
      <w:rPr>
        <w:rFonts w:ascii="Symbol" w:hAnsi="Symbol" w:hint="default"/>
      </w:rPr>
    </w:lvl>
    <w:lvl w:ilvl="1" w:tplc="D95AE7B8">
      <w:start w:val="1"/>
      <w:numFmt w:val="bullet"/>
      <w:lvlText w:val="o"/>
      <w:lvlJc w:val="left"/>
      <w:pPr>
        <w:ind w:left="1440" w:hanging="360"/>
      </w:pPr>
      <w:rPr>
        <w:rFonts w:ascii="Courier New" w:hAnsi="Courier New" w:hint="default"/>
      </w:rPr>
    </w:lvl>
    <w:lvl w:ilvl="2" w:tplc="21BE0240">
      <w:start w:val="1"/>
      <w:numFmt w:val="bullet"/>
      <w:lvlText w:val=""/>
      <w:lvlJc w:val="left"/>
      <w:pPr>
        <w:ind w:left="2160" w:hanging="360"/>
      </w:pPr>
      <w:rPr>
        <w:rFonts w:ascii="Wingdings" w:hAnsi="Wingdings" w:hint="default"/>
      </w:rPr>
    </w:lvl>
    <w:lvl w:ilvl="3" w:tplc="C3C29CBE">
      <w:start w:val="1"/>
      <w:numFmt w:val="bullet"/>
      <w:lvlText w:val=""/>
      <w:lvlJc w:val="left"/>
      <w:pPr>
        <w:ind w:left="2880" w:hanging="360"/>
      </w:pPr>
      <w:rPr>
        <w:rFonts w:ascii="Symbol" w:hAnsi="Symbol" w:hint="default"/>
      </w:rPr>
    </w:lvl>
    <w:lvl w:ilvl="4" w:tplc="96B045A8">
      <w:start w:val="1"/>
      <w:numFmt w:val="bullet"/>
      <w:lvlText w:val="o"/>
      <w:lvlJc w:val="left"/>
      <w:pPr>
        <w:ind w:left="3600" w:hanging="360"/>
      </w:pPr>
      <w:rPr>
        <w:rFonts w:ascii="Courier New" w:hAnsi="Courier New" w:hint="default"/>
      </w:rPr>
    </w:lvl>
    <w:lvl w:ilvl="5" w:tplc="9B20C8BC">
      <w:start w:val="1"/>
      <w:numFmt w:val="bullet"/>
      <w:lvlText w:val=""/>
      <w:lvlJc w:val="left"/>
      <w:pPr>
        <w:ind w:left="4320" w:hanging="360"/>
      </w:pPr>
      <w:rPr>
        <w:rFonts w:ascii="Wingdings" w:hAnsi="Wingdings" w:hint="default"/>
      </w:rPr>
    </w:lvl>
    <w:lvl w:ilvl="6" w:tplc="6808738E">
      <w:start w:val="1"/>
      <w:numFmt w:val="bullet"/>
      <w:lvlText w:val=""/>
      <w:lvlJc w:val="left"/>
      <w:pPr>
        <w:ind w:left="5040" w:hanging="360"/>
      </w:pPr>
      <w:rPr>
        <w:rFonts w:ascii="Symbol" w:hAnsi="Symbol" w:hint="default"/>
      </w:rPr>
    </w:lvl>
    <w:lvl w:ilvl="7" w:tplc="6FCC53FA">
      <w:start w:val="1"/>
      <w:numFmt w:val="bullet"/>
      <w:lvlText w:val="o"/>
      <w:lvlJc w:val="left"/>
      <w:pPr>
        <w:ind w:left="5760" w:hanging="360"/>
      </w:pPr>
      <w:rPr>
        <w:rFonts w:ascii="Courier New" w:hAnsi="Courier New" w:hint="default"/>
      </w:rPr>
    </w:lvl>
    <w:lvl w:ilvl="8" w:tplc="FDA089D2">
      <w:start w:val="1"/>
      <w:numFmt w:val="bullet"/>
      <w:lvlText w:val=""/>
      <w:lvlJc w:val="left"/>
      <w:pPr>
        <w:ind w:left="6480" w:hanging="360"/>
      </w:pPr>
      <w:rPr>
        <w:rFonts w:ascii="Wingdings" w:hAnsi="Wingdings" w:hint="default"/>
      </w:rPr>
    </w:lvl>
  </w:abstractNum>
  <w:abstractNum w:abstractNumId="17">
    <w:nsid w:val="68ED0764"/>
    <w:multiLevelType w:val="hybridMultilevel"/>
    <w:tmpl w:val="59C44F26"/>
    <w:lvl w:ilvl="0" w:tplc="6A6C229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1333A5"/>
    <w:multiLevelType w:val="hybridMultilevel"/>
    <w:tmpl w:val="3F68DF36"/>
    <w:lvl w:ilvl="0" w:tplc="CBCCC76C">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D7446E4"/>
    <w:multiLevelType w:val="hybridMultilevel"/>
    <w:tmpl w:val="A05216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40C4234"/>
    <w:multiLevelType w:val="hybridMultilevel"/>
    <w:tmpl w:val="188E45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6D75FF2"/>
    <w:multiLevelType w:val="hybridMultilevel"/>
    <w:tmpl w:val="237E1AF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21"/>
  </w:num>
  <w:num w:numId="4">
    <w:abstractNumId w:val="11"/>
  </w:num>
  <w:num w:numId="5">
    <w:abstractNumId w:val="1"/>
  </w:num>
  <w:num w:numId="6">
    <w:abstractNumId w:val="10"/>
  </w:num>
  <w:num w:numId="7">
    <w:abstractNumId w:val="4"/>
  </w:num>
  <w:num w:numId="8">
    <w:abstractNumId w:val="2"/>
  </w:num>
  <w:num w:numId="9">
    <w:abstractNumId w:val="8"/>
  </w:num>
  <w:num w:numId="10">
    <w:abstractNumId w:val="20"/>
  </w:num>
  <w:num w:numId="11">
    <w:abstractNumId w:val="19"/>
  </w:num>
  <w:num w:numId="12">
    <w:abstractNumId w:val="17"/>
  </w:num>
  <w:num w:numId="13">
    <w:abstractNumId w:val="3"/>
  </w:num>
  <w:num w:numId="14">
    <w:abstractNumId w:val="18"/>
  </w:num>
  <w:num w:numId="15">
    <w:abstractNumId w:val="0"/>
  </w:num>
  <w:num w:numId="16">
    <w:abstractNumId w:val="14"/>
  </w:num>
  <w:num w:numId="17">
    <w:abstractNumId w:val="1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7"/>
  </w:num>
  <w:num w:numId="21">
    <w:abstractNumId w:val="6"/>
  </w:num>
  <w:num w:numId="22">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1"/>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F9"/>
    <w:rsid w:val="0000192E"/>
    <w:rsid w:val="00005BFC"/>
    <w:rsid w:val="000109FE"/>
    <w:rsid w:val="00016C56"/>
    <w:rsid w:val="00020B9C"/>
    <w:rsid w:val="00020D60"/>
    <w:rsid w:val="00022621"/>
    <w:rsid w:val="000262CE"/>
    <w:rsid w:val="000328C1"/>
    <w:rsid w:val="0004437F"/>
    <w:rsid w:val="00045F45"/>
    <w:rsid w:val="00050092"/>
    <w:rsid w:val="00056118"/>
    <w:rsid w:val="00057459"/>
    <w:rsid w:val="000623C6"/>
    <w:rsid w:val="00065247"/>
    <w:rsid w:val="0007383F"/>
    <w:rsid w:val="00077353"/>
    <w:rsid w:val="00080EA8"/>
    <w:rsid w:val="00091883"/>
    <w:rsid w:val="00091D00"/>
    <w:rsid w:val="000957F4"/>
    <w:rsid w:val="00097C1E"/>
    <w:rsid w:val="000A0DCB"/>
    <w:rsid w:val="000A45C6"/>
    <w:rsid w:val="000B1D60"/>
    <w:rsid w:val="000B1E4D"/>
    <w:rsid w:val="000B525D"/>
    <w:rsid w:val="000B584C"/>
    <w:rsid w:val="000C2404"/>
    <w:rsid w:val="000D3049"/>
    <w:rsid w:val="000D4701"/>
    <w:rsid w:val="000D5C84"/>
    <w:rsid w:val="000D720C"/>
    <w:rsid w:val="000D771A"/>
    <w:rsid w:val="000E166E"/>
    <w:rsid w:val="000F155B"/>
    <w:rsid w:val="000F59B5"/>
    <w:rsid w:val="00105850"/>
    <w:rsid w:val="0010591D"/>
    <w:rsid w:val="001114A8"/>
    <w:rsid w:val="00111CEC"/>
    <w:rsid w:val="00117C7B"/>
    <w:rsid w:val="0012089C"/>
    <w:rsid w:val="001267BF"/>
    <w:rsid w:val="00126AA6"/>
    <w:rsid w:val="00130715"/>
    <w:rsid w:val="00132E2D"/>
    <w:rsid w:val="00147AFB"/>
    <w:rsid w:val="0016347A"/>
    <w:rsid w:val="001642B5"/>
    <w:rsid w:val="00165DF5"/>
    <w:rsid w:val="0016670A"/>
    <w:rsid w:val="00171148"/>
    <w:rsid w:val="001742F2"/>
    <w:rsid w:val="00176FAC"/>
    <w:rsid w:val="0018086F"/>
    <w:rsid w:val="00190027"/>
    <w:rsid w:val="001968BC"/>
    <w:rsid w:val="0019734C"/>
    <w:rsid w:val="001A0A93"/>
    <w:rsid w:val="001A2DA8"/>
    <w:rsid w:val="001A3CC7"/>
    <w:rsid w:val="001A6093"/>
    <w:rsid w:val="001B1B0F"/>
    <w:rsid w:val="001B5E03"/>
    <w:rsid w:val="001C015A"/>
    <w:rsid w:val="001C191F"/>
    <w:rsid w:val="001C4005"/>
    <w:rsid w:val="001D2F63"/>
    <w:rsid w:val="001D30D0"/>
    <w:rsid w:val="001E0074"/>
    <w:rsid w:val="001E2ECB"/>
    <w:rsid w:val="001E4E2C"/>
    <w:rsid w:val="001F0FC8"/>
    <w:rsid w:val="001F0FD4"/>
    <w:rsid w:val="001F7043"/>
    <w:rsid w:val="001F7ED2"/>
    <w:rsid w:val="0020052B"/>
    <w:rsid w:val="0020132B"/>
    <w:rsid w:val="00203422"/>
    <w:rsid w:val="002123FE"/>
    <w:rsid w:val="002201E5"/>
    <w:rsid w:val="00221543"/>
    <w:rsid w:val="0024407F"/>
    <w:rsid w:val="002453D7"/>
    <w:rsid w:val="00245514"/>
    <w:rsid w:val="002470DB"/>
    <w:rsid w:val="0024759A"/>
    <w:rsid w:val="002528AA"/>
    <w:rsid w:val="0025349D"/>
    <w:rsid w:val="0025532E"/>
    <w:rsid w:val="00255BF1"/>
    <w:rsid w:val="00260460"/>
    <w:rsid w:val="002604BE"/>
    <w:rsid w:val="00260EAE"/>
    <w:rsid w:val="0026156E"/>
    <w:rsid w:val="002642EA"/>
    <w:rsid w:val="00266E17"/>
    <w:rsid w:val="00270E6F"/>
    <w:rsid w:val="00272597"/>
    <w:rsid w:val="00273068"/>
    <w:rsid w:val="00275695"/>
    <w:rsid w:val="00277C7C"/>
    <w:rsid w:val="0028207A"/>
    <w:rsid w:val="0028321B"/>
    <w:rsid w:val="0028351F"/>
    <w:rsid w:val="00283E76"/>
    <w:rsid w:val="002846B1"/>
    <w:rsid w:val="002942D8"/>
    <w:rsid w:val="002A4494"/>
    <w:rsid w:val="002A516D"/>
    <w:rsid w:val="002A7239"/>
    <w:rsid w:val="002B2F8E"/>
    <w:rsid w:val="002B4D76"/>
    <w:rsid w:val="002B6100"/>
    <w:rsid w:val="002C41C5"/>
    <w:rsid w:val="002D257F"/>
    <w:rsid w:val="002E682C"/>
    <w:rsid w:val="002E68B4"/>
    <w:rsid w:val="002F7FF8"/>
    <w:rsid w:val="00300F28"/>
    <w:rsid w:val="00311ECF"/>
    <w:rsid w:val="00312C3E"/>
    <w:rsid w:val="00314F9E"/>
    <w:rsid w:val="0032526B"/>
    <w:rsid w:val="00326197"/>
    <w:rsid w:val="00327002"/>
    <w:rsid w:val="003357FF"/>
    <w:rsid w:val="0034043A"/>
    <w:rsid w:val="0034508E"/>
    <w:rsid w:val="00346289"/>
    <w:rsid w:val="00347F3D"/>
    <w:rsid w:val="00351481"/>
    <w:rsid w:val="00351568"/>
    <w:rsid w:val="00354B18"/>
    <w:rsid w:val="00355DEF"/>
    <w:rsid w:val="003618D3"/>
    <w:rsid w:val="00361FE2"/>
    <w:rsid w:val="00367552"/>
    <w:rsid w:val="00374049"/>
    <w:rsid w:val="00375801"/>
    <w:rsid w:val="00380D11"/>
    <w:rsid w:val="00381066"/>
    <w:rsid w:val="003936F8"/>
    <w:rsid w:val="00397916"/>
    <w:rsid w:val="003A2A02"/>
    <w:rsid w:val="003A7EEF"/>
    <w:rsid w:val="003C6CD7"/>
    <w:rsid w:val="003D10AE"/>
    <w:rsid w:val="003D1492"/>
    <w:rsid w:val="003D34A2"/>
    <w:rsid w:val="003D4F1E"/>
    <w:rsid w:val="003E14D2"/>
    <w:rsid w:val="003E562D"/>
    <w:rsid w:val="003E5E76"/>
    <w:rsid w:val="003E6FC7"/>
    <w:rsid w:val="003E77E1"/>
    <w:rsid w:val="003E7B46"/>
    <w:rsid w:val="003E7D8B"/>
    <w:rsid w:val="003F084E"/>
    <w:rsid w:val="003F6A15"/>
    <w:rsid w:val="00407D1C"/>
    <w:rsid w:val="0041501C"/>
    <w:rsid w:val="004152CC"/>
    <w:rsid w:val="00422F46"/>
    <w:rsid w:val="0042372D"/>
    <w:rsid w:val="0042566E"/>
    <w:rsid w:val="0044214B"/>
    <w:rsid w:val="00442FC8"/>
    <w:rsid w:val="00450684"/>
    <w:rsid w:val="004508C8"/>
    <w:rsid w:val="00451D88"/>
    <w:rsid w:val="00455107"/>
    <w:rsid w:val="004551DA"/>
    <w:rsid w:val="00457538"/>
    <w:rsid w:val="00461F57"/>
    <w:rsid w:val="0046598A"/>
    <w:rsid w:val="004678D1"/>
    <w:rsid w:val="004757A6"/>
    <w:rsid w:val="00475AA1"/>
    <w:rsid w:val="00482460"/>
    <w:rsid w:val="00482DDB"/>
    <w:rsid w:val="00484A7F"/>
    <w:rsid w:val="00491108"/>
    <w:rsid w:val="00491D27"/>
    <w:rsid w:val="004A2950"/>
    <w:rsid w:val="004A3239"/>
    <w:rsid w:val="004A44EE"/>
    <w:rsid w:val="004A4ED4"/>
    <w:rsid w:val="004A75AC"/>
    <w:rsid w:val="004B3A2D"/>
    <w:rsid w:val="004B402C"/>
    <w:rsid w:val="004C16B4"/>
    <w:rsid w:val="004C56CB"/>
    <w:rsid w:val="004C5D70"/>
    <w:rsid w:val="004D6012"/>
    <w:rsid w:val="004E04A7"/>
    <w:rsid w:val="004E13FD"/>
    <w:rsid w:val="004E5428"/>
    <w:rsid w:val="004E6EF2"/>
    <w:rsid w:val="004F11DA"/>
    <w:rsid w:val="004F1FAE"/>
    <w:rsid w:val="004F2155"/>
    <w:rsid w:val="004F227A"/>
    <w:rsid w:val="004F32DD"/>
    <w:rsid w:val="004F53A8"/>
    <w:rsid w:val="004F5917"/>
    <w:rsid w:val="00504A55"/>
    <w:rsid w:val="0051214A"/>
    <w:rsid w:val="005122F6"/>
    <w:rsid w:val="0051382D"/>
    <w:rsid w:val="0051705E"/>
    <w:rsid w:val="005177F1"/>
    <w:rsid w:val="0052040F"/>
    <w:rsid w:val="0052277A"/>
    <w:rsid w:val="00531AC8"/>
    <w:rsid w:val="005348A0"/>
    <w:rsid w:val="005352C0"/>
    <w:rsid w:val="00535F6A"/>
    <w:rsid w:val="00550BD8"/>
    <w:rsid w:val="0057041D"/>
    <w:rsid w:val="00572882"/>
    <w:rsid w:val="00576886"/>
    <w:rsid w:val="00576B35"/>
    <w:rsid w:val="00583E64"/>
    <w:rsid w:val="00591F16"/>
    <w:rsid w:val="005926E7"/>
    <w:rsid w:val="005A14A6"/>
    <w:rsid w:val="005A1CC6"/>
    <w:rsid w:val="005B0B2B"/>
    <w:rsid w:val="005B5F37"/>
    <w:rsid w:val="005B6D71"/>
    <w:rsid w:val="005C2D55"/>
    <w:rsid w:val="005D2ABE"/>
    <w:rsid w:val="005D3206"/>
    <w:rsid w:val="005D6959"/>
    <w:rsid w:val="005E000A"/>
    <w:rsid w:val="005E185D"/>
    <w:rsid w:val="005F1C44"/>
    <w:rsid w:val="005F35C1"/>
    <w:rsid w:val="005F7DF9"/>
    <w:rsid w:val="00601C01"/>
    <w:rsid w:val="00602C53"/>
    <w:rsid w:val="006063E5"/>
    <w:rsid w:val="00611A39"/>
    <w:rsid w:val="00614DFE"/>
    <w:rsid w:val="0061577E"/>
    <w:rsid w:val="00615CBA"/>
    <w:rsid w:val="00625724"/>
    <w:rsid w:val="0063471A"/>
    <w:rsid w:val="006363C6"/>
    <w:rsid w:val="0064071D"/>
    <w:rsid w:val="00641087"/>
    <w:rsid w:val="0064519B"/>
    <w:rsid w:val="00651859"/>
    <w:rsid w:val="00653060"/>
    <w:rsid w:val="00655CEE"/>
    <w:rsid w:val="00660679"/>
    <w:rsid w:val="00660FC6"/>
    <w:rsid w:val="00661329"/>
    <w:rsid w:val="006617F5"/>
    <w:rsid w:val="006734A9"/>
    <w:rsid w:val="00674E9B"/>
    <w:rsid w:val="00684008"/>
    <w:rsid w:val="00685087"/>
    <w:rsid w:val="00687452"/>
    <w:rsid w:val="006906F5"/>
    <w:rsid w:val="00690B79"/>
    <w:rsid w:val="00697FBA"/>
    <w:rsid w:val="006A21AE"/>
    <w:rsid w:val="006B088B"/>
    <w:rsid w:val="006B1E44"/>
    <w:rsid w:val="006B1FB7"/>
    <w:rsid w:val="006B457D"/>
    <w:rsid w:val="006B7504"/>
    <w:rsid w:val="006D578E"/>
    <w:rsid w:val="006E4A62"/>
    <w:rsid w:val="006E7ADE"/>
    <w:rsid w:val="006F1A54"/>
    <w:rsid w:val="006F2108"/>
    <w:rsid w:val="00700F9C"/>
    <w:rsid w:val="00703C71"/>
    <w:rsid w:val="0071041E"/>
    <w:rsid w:val="00722DB6"/>
    <w:rsid w:val="00723527"/>
    <w:rsid w:val="007246A7"/>
    <w:rsid w:val="0072518E"/>
    <w:rsid w:val="007269DE"/>
    <w:rsid w:val="00732850"/>
    <w:rsid w:val="00740094"/>
    <w:rsid w:val="007441B6"/>
    <w:rsid w:val="00750620"/>
    <w:rsid w:val="0075609D"/>
    <w:rsid w:val="00766328"/>
    <w:rsid w:val="0077272C"/>
    <w:rsid w:val="00775E48"/>
    <w:rsid w:val="00777C63"/>
    <w:rsid w:val="0078700E"/>
    <w:rsid w:val="00790128"/>
    <w:rsid w:val="007A14EE"/>
    <w:rsid w:val="007A1BA5"/>
    <w:rsid w:val="007A7BB2"/>
    <w:rsid w:val="007A7C28"/>
    <w:rsid w:val="007B17AB"/>
    <w:rsid w:val="007B7DA5"/>
    <w:rsid w:val="007D6F0C"/>
    <w:rsid w:val="007D78C1"/>
    <w:rsid w:val="007E1123"/>
    <w:rsid w:val="007E2607"/>
    <w:rsid w:val="007F2194"/>
    <w:rsid w:val="007F5D22"/>
    <w:rsid w:val="007F7FEA"/>
    <w:rsid w:val="008024A5"/>
    <w:rsid w:val="00804780"/>
    <w:rsid w:val="00807819"/>
    <w:rsid w:val="008079DF"/>
    <w:rsid w:val="008171EB"/>
    <w:rsid w:val="008179D8"/>
    <w:rsid w:val="0082176D"/>
    <w:rsid w:val="008306FC"/>
    <w:rsid w:val="00832F27"/>
    <w:rsid w:val="00833EB1"/>
    <w:rsid w:val="008353FB"/>
    <w:rsid w:val="008364AB"/>
    <w:rsid w:val="00846E50"/>
    <w:rsid w:val="00853566"/>
    <w:rsid w:val="0085566E"/>
    <w:rsid w:val="00862911"/>
    <w:rsid w:val="00863A0B"/>
    <w:rsid w:val="00864535"/>
    <w:rsid w:val="00864ECC"/>
    <w:rsid w:val="008730E3"/>
    <w:rsid w:val="00880445"/>
    <w:rsid w:val="00881E54"/>
    <w:rsid w:val="00883571"/>
    <w:rsid w:val="008864BF"/>
    <w:rsid w:val="00886E78"/>
    <w:rsid w:val="00894962"/>
    <w:rsid w:val="00894B2C"/>
    <w:rsid w:val="008A3ECC"/>
    <w:rsid w:val="008A4E3B"/>
    <w:rsid w:val="008A65F4"/>
    <w:rsid w:val="008B24CE"/>
    <w:rsid w:val="008B44EC"/>
    <w:rsid w:val="008B5A5B"/>
    <w:rsid w:val="008C17FC"/>
    <w:rsid w:val="008C1C19"/>
    <w:rsid w:val="008D4929"/>
    <w:rsid w:val="008E4D28"/>
    <w:rsid w:val="008E64B4"/>
    <w:rsid w:val="008F025B"/>
    <w:rsid w:val="008F048B"/>
    <w:rsid w:val="008F20EE"/>
    <w:rsid w:val="008F38EF"/>
    <w:rsid w:val="008F527C"/>
    <w:rsid w:val="00901D1C"/>
    <w:rsid w:val="00902697"/>
    <w:rsid w:val="009027FF"/>
    <w:rsid w:val="00904EFB"/>
    <w:rsid w:val="00905B96"/>
    <w:rsid w:val="00912C4F"/>
    <w:rsid w:val="00923FA2"/>
    <w:rsid w:val="00925991"/>
    <w:rsid w:val="00925C4D"/>
    <w:rsid w:val="00933F3F"/>
    <w:rsid w:val="009346DC"/>
    <w:rsid w:val="009347C7"/>
    <w:rsid w:val="00935D6C"/>
    <w:rsid w:val="00936B63"/>
    <w:rsid w:val="00943A09"/>
    <w:rsid w:val="00952145"/>
    <w:rsid w:val="009547AF"/>
    <w:rsid w:val="00954F26"/>
    <w:rsid w:val="00955851"/>
    <w:rsid w:val="00956757"/>
    <w:rsid w:val="00962C14"/>
    <w:rsid w:val="009678E2"/>
    <w:rsid w:val="00975579"/>
    <w:rsid w:val="0098070B"/>
    <w:rsid w:val="0098308E"/>
    <w:rsid w:val="00983510"/>
    <w:rsid w:val="00985786"/>
    <w:rsid w:val="0098704A"/>
    <w:rsid w:val="00997071"/>
    <w:rsid w:val="009A1511"/>
    <w:rsid w:val="009A439D"/>
    <w:rsid w:val="009A4AD2"/>
    <w:rsid w:val="009B2BC1"/>
    <w:rsid w:val="009D54E6"/>
    <w:rsid w:val="009D6A9E"/>
    <w:rsid w:val="009E245A"/>
    <w:rsid w:val="009E5608"/>
    <w:rsid w:val="009F203E"/>
    <w:rsid w:val="009F64A8"/>
    <w:rsid w:val="009F7A6A"/>
    <w:rsid w:val="00A029CA"/>
    <w:rsid w:val="00A04980"/>
    <w:rsid w:val="00A143AA"/>
    <w:rsid w:val="00A16F2E"/>
    <w:rsid w:val="00A17862"/>
    <w:rsid w:val="00A3174A"/>
    <w:rsid w:val="00A32524"/>
    <w:rsid w:val="00A368A0"/>
    <w:rsid w:val="00A424E9"/>
    <w:rsid w:val="00A43ABE"/>
    <w:rsid w:val="00A50DE3"/>
    <w:rsid w:val="00A52BA5"/>
    <w:rsid w:val="00A540DD"/>
    <w:rsid w:val="00A571FD"/>
    <w:rsid w:val="00A61ACC"/>
    <w:rsid w:val="00A641FD"/>
    <w:rsid w:val="00A675CE"/>
    <w:rsid w:val="00A703DD"/>
    <w:rsid w:val="00A73519"/>
    <w:rsid w:val="00A865D6"/>
    <w:rsid w:val="00AA123C"/>
    <w:rsid w:val="00AA46E3"/>
    <w:rsid w:val="00AB0A66"/>
    <w:rsid w:val="00AB3802"/>
    <w:rsid w:val="00AB76C1"/>
    <w:rsid w:val="00AC0BBB"/>
    <w:rsid w:val="00AC1D1E"/>
    <w:rsid w:val="00AC21FD"/>
    <w:rsid w:val="00AE224B"/>
    <w:rsid w:val="00AE4CE3"/>
    <w:rsid w:val="00AE6278"/>
    <w:rsid w:val="00AE67AA"/>
    <w:rsid w:val="00B13583"/>
    <w:rsid w:val="00B15473"/>
    <w:rsid w:val="00B27B0C"/>
    <w:rsid w:val="00B27CE7"/>
    <w:rsid w:val="00B330D1"/>
    <w:rsid w:val="00B34F04"/>
    <w:rsid w:val="00B401B3"/>
    <w:rsid w:val="00B434E8"/>
    <w:rsid w:val="00B43AE0"/>
    <w:rsid w:val="00B460ED"/>
    <w:rsid w:val="00B50EF9"/>
    <w:rsid w:val="00B5234A"/>
    <w:rsid w:val="00B60904"/>
    <w:rsid w:val="00B6143D"/>
    <w:rsid w:val="00B624BF"/>
    <w:rsid w:val="00B6502B"/>
    <w:rsid w:val="00B70EE3"/>
    <w:rsid w:val="00B76335"/>
    <w:rsid w:val="00B7675F"/>
    <w:rsid w:val="00B7773D"/>
    <w:rsid w:val="00B779AD"/>
    <w:rsid w:val="00B812BA"/>
    <w:rsid w:val="00B83F26"/>
    <w:rsid w:val="00B85B3A"/>
    <w:rsid w:val="00B9052C"/>
    <w:rsid w:val="00B928C4"/>
    <w:rsid w:val="00B9292E"/>
    <w:rsid w:val="00B967D0"/>
    <w:rsid w:val="00BA5362"/>
    <w:rsid w:val="00BB5517"/>
    <w:rsid w:val="00BB6AC9"/>
    <w:rsid w:val="00BB7F82"/>
    <w:rsid w:val="00BC56BD"/>
    <w:rsid w:val="00BD337E"/>
    <w:rsid w:val="00BD36F9"/>
    <w:rsid w:val="00BD4877"/>
    <w:rsid w:val="00BE084B"/>
    <w:rsid w:val="00BF17EC"/>
    <w:rsid w:val="00BF3E97"/>
    <w:rsid w:val="00C03823"/>
    <w:rsid w:val="00C03F67"/>
    <w:rsid w:val="00C10380"/>
    <w:rsid w:val="00C17074"/>
    <w:rsid w:val="00C30B9D"/>
    <w:rsid w:val="00C31EF9"/>
    <w:rsid w:val="00C40A89"/>
    <w:rsid w:val="00C560A2"/>
    <w:rsid w:val="00C57DDA"/>
    <w:rsid w:val="00C646B6"/>
    <w:rsid w:val="00C6519B"/>
    <w:rsid w:val="00C70FD6"/>
    <w:rsid w:val="00C73336"/>
    <w:rsid w:val="00C82DCA"/>
    <w:rsid w:val="00C84DE8"/>
    <w:rsid w:val="00C90C62"/>
    <w:rsid w:val="00C942CF"/>
    <w:rsid w:val="00CA3328"/>
    <w:rsid w:val="00CA525E"/>
    <w:rsid w:val="00CB2B6E"/>
    <w:rsid w:val="00CB3D77"/>
    <w:rsid w:val="00CB3E8F"/>
    <w:rsid w:val="00CB6528"/>
    <w:rsid w:val="00CC2CE7"/>
    <w:rsid w:val="00CC55D7"/>
    <w:rsid w:val="00CD1B2D"/>
    <w:rsid w:val="00CD1CC4"/>
    <w:rsid w:val="00CD214C"/>
    <w:rsid w:val="00CD5842"/>
    <w:rsid w:val="00CD68DB"/>
    <w:rsid w:val="00CD6F16"/>
    <w:rsid w:val="00CE08D7"/>
    <w:rsid w:val="00CE12D4"/>
    <w:rsid w:val="00CE52B1"/>
    <w:rsid w:val="00CE5D07"/>
    <w:rsid w:val="00CF0E7B"/>
    <w:rsid w:val="00CF22FC"/>
    <w:rsid w:val="00CF5886"/>
    <w:rsid w:val="00D0463A"/>
    <w:rsid w:val="00D07F9D"/>
    <w:rsid w:val="00D1048A"/>
    <w:rsid w:val="00D151A4"/>
    <w:rsid w:val="00D172F4"/>
    <w:rsid w:val="00D31609"/>
    <w:rsid w:val="00D32D64"/>
    <w:rsid w:val="00D35DF6"/>
    <w:rsid w:val="00D37887"/>
    <w:rsid w:val="00D454BC"/>
    <w:rsid w:val="00D45FF2"/>
    <w:rsid w:val="00D60DD3"/>
    <w:rsid w:val="00D645DC"/>
    <w:rsid w:val="00D64BB5"/>
    <w:rsid w:val="00D70579"/>
    <w:rsid w:val="00D731B1"/>
    <w:rsid w:val="00D74527"/>
    <w:rsid w:val="00D8036F"/>
    <w:rsid w:val="00D83535"/>
    <w:rsid w:val="00D83855"/>
    <w:rsid w:val="00D84CC5"/>
    <w:rsid w:val="00D94C1E"/>
    <w:rsid w:val="00D96959"/>
    <w:rsid w:val="00DA07AC"/>
    <w:rsid w:val="00DA1721"/>
    <w:rsid w:val="00DA1FF7"/>
    <w:rsid w:val="00DA5A91"/>
    <w:rsid w:val="00DA64D5"/>
    <w:rsid w:val="00DB097B"/>
    <w:rsid w:val="00DC6A66"/>
    <w:rsid w:val="00DC7718"/>
    <w:rsid w:val="00DE1955"/>
    <w:rsid w:val="00DE3838"/>
    <w:rsid w:val="00DE6453"/>
    <w:rsid w:val="00DF44B6"/>
    <w:rsid w:val="00DF4EC0"/>
    <w:rsid w:val="00E023F8"/>
    <w:rsid w:val="00E068F4"/>
    <w:rsid w:val="00E20B43"/>
    <w:rsid w:val="00E23C7C"/>
    <w:rsid w:val="00E26188"/>
    <w:rsid w:val="00E3265B"/>
    <w:rsid w:val="00E33B88"/>
    <w:rsid w:val="00E34604"/>
    <w:rsid w:val="00E34962"/>
    <w:rsid w:val="00E3569C"/>
    <w:rsid w:val="00E356F3"/>
    <w:rsid w:val="00E40D5A"/>
    <w:rsid w:val="00E46E45"/>
    <w:rsid w:val="00E51993"/>
    <w:rsid w:val="00E54DDA"/>
    <w:rsid w:val="00E5508F"/>
    <w:rsid w:val="00E60987"/>
    <w:rsid w:val="00E6352E"/>
    <w:rsid w:val="00E638E2"/>
    <w:rsid w:val="00E67CFA"/>
    <w:rsid w:val="00E705E6"/>
    <w:rsid w:val="00E70703"/>
    <w:rsid w:val="00E754A7"/>
    <w:rsid w:val="00E83358"/>
    <w:rsid w:val="00E84D2F"/>
    <w:rsid w:val="00E86A2E"/>
    <w:rsid w:val="00E973AB"/>
    <w:rsid w:val="00E97EB9"/>
    <w:rsid w:val="00EA371B"/>
    <w:rsid w:val="00EA4AAF"/>
    <w:rsid w:val="00EB05B6"/>
    <w:rsid w:val="00EB29EC"/>
    <w:rsid w:val="00ED197C"/>
    <w:rsid w:val="00ED6742"/>
    <w:rsid w:val="00EE0093"/>
    <w:rsid w:val="00EE2396"/>
    <w:rsid w:val="00EF1A1F"/>
    <w:rsid w:val="00EF4CC8"/>
    <w:rsid w:val="00F01395"/>
    <w:rsid w:val="00F02F66"/>
    <w:rsid w:val="00F04116"/>
    <w:rsid w:val="00F0669E"/>
    <w:rsid w:val="00F208E4"/>
    <w:rsid w:val="00F20FA5"/>
    <w:rsid w:val="00F278EF"/>
    <w:rsid w:val="00F27D66"/>
    <w:rsid w:val="00F33542"/>
    <w:rsid w:val="00F35F86"/>
    <w:rsid w:val="00F40619"/>
    <w:rsid w:val="00F41897"/>
    <w:rsid w:val="00F44902"/>
    <w:rsid w:val="00F44C9B"/>
    <w:rsid w:val="00F4523D"/>
    <w:rsid w:val="00F47A40"/>
    <w:rsid w:val="00F5544E"/>
    <w:rsid w:val="00F6395A"/>
    <w:rsid w:val="00F757BC"/>
    <w:rsid w:val="00F769E6"/>
    <w:rsid w:val="00F8264B"/>
    <w:rsid w:val="00F842D5"/>
    <w:rsid w:val="00F860A2"/>
    <w:rsid w:val="00F90270"/>
    <w:rsid w:val="00F91EFC"/>
    <w:rsid w:val="00F95528"/>
    <w:rsid w:val="00F968F4"/>
    <w:rsid w:val="00FA36FA"/>
    <w:rsid w:val="00FA3A82"/>
    <w:rsid w:val="00FB055B"/>
    <w:rsid w:val="00FB163F"/>
    <w:rsid w:val="00FB58E7"/>
    <w:rsid w:val="00FB6B29"/>
    <w:rsid w:val="00FC19EF"/>
    <w:rsid w:val="00FC3687"/>
    <w:rsid w:val="00FC6A44"/>
    <w:rsid w:val="00FD0E10"/>
    <w:rsid w:val="00FD19E3"/>
    <w:rsid w:val="00FD258D"/>
    <w:rsid w:val="00FD76A8"/>
    <w:rsid w:val="00FE0EC5"/>
    <w:rsid w:val="00FE2525"/>
    <w:rsid w:val="00FE3152"/>
    <w:rsid w:val="00FE6646"/>
    <w:rsid w:val="00FF091A"/>
    <w:rsid w:val="00FF527C"/>
    <w:rsid w:val="01415C72"/>
    <w:rsid w:val="0F6F6E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103DB"/>
  <w15:chartTrackingRefBased/>
  <w15:docId w15:val="{41F918EA-902B-4965-8F33-C316DE17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36FA"/>
    <w:pPr>
      <w:spacing w:after="200" w:line="276" w:lineRule="auto"/>
    </w:pPr>
  </w:style>
  <w:style w:type="paragraph" w:styleId="Heading1">
    <w:name w:val="heading 1"/>
    <w:basedOn w:val="Normal"/>
    <w:next w:val="Normal"/>
    <w:link w:val="Heading1Char"/>
    <w:autoRedefine/>
    <w:uiPriority w:val="9"/>
    <w:qFormat/>
    <w:rsid w:val="000D771A"/>
    <w:pPr>
      <w:keepNext/>
      <w:keepLines/>
      <w:numPr>
        <w:numId w:val="7"/>
      </w:numPr>
      <w:spacing w:before="120" w:after="120"/>
      <w:jc w:val="both"/>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C40A89"/>
    <w:pPr>
      <w:keepNext/>
      <w:keepLines/>
      <w:numPr>
        <w:numId w:val="2"/>
      </w:numPr>
      <w:spacing w:before="40" w:after="0"/>
      <w:outlineLvl w:val="1"/>
    </w:pPr>
    <w:rPr>
      <w:rFonts w:asciiTheme="majorHAnsi" w:eastAsiaTheme="majorEastAsia" w:hAnsiTheme="majorHAnsi"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50E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EF9"/>
    <w:rPr>
      <w:sz w:val="20"/>
      <w:szCs w:val="20"/>
    </w:rPr>
  </w:style>
  <w:style w:type="character" w:customStyle="1" w:styleId="ListParagraphChar">
    <w:name w:val="List Paragraph Char"/>
    <w:aliases w:val="Bullets Char,List Paragraph1 Char,WB Para Char,List Paragraph (numbered (a)) Char,Lapis Bulleted List Char,Dot pt Char,F5 List Paragraph Char,No Spacing1 Char,List Paragraph Char Char Char Char,Indicator Text Char,Bullet 1 Char"/>
    <w:basedOn w:val="DefaultParagraphFont"/>
    <w:link w:val="ListParagraph"/>
    <w:uiPriority w:val="34"/>
    <w:locked/>
    <w:rsid w:val="00B50EF9"/>
  </w:style>
  <w:style w:type="paragraph" w:styleId="ListParagraph">
    <w:name w:val="List Paragraph"/>
    <w:aliases w:val="Bullets,List Paragraph1,WB Para,List Paragraph (numbered (a)),Lapis Bulleted List,Dot pt,F5 List Paragraph,No Spacing1,List Paragraph Char Char Char,Indicator Text,Numbered Para 1,Bullet 1,List Paragraph12,Bullet Points,MAIN CONTENT,L"/>
    <w:basedOn w:val="Normal"/>
    <w:link w:val="ListParagraphChar"/>
    <w:uiPriority w:val="34"/>
    <w:qFormat/>
    <w:rsid w:val="00B50EF9"/>
    <w:pPr>
      <w:ind w:left="720"/>
      <w:contextualSpacing/>
    </w:pPr>
  </w:style>
  <w:style w:type="character" w:styleId="FootnoteReference">
    <w:name w:val="footnote reference"/>
    <w:aliases w:val="Footnotes refss,ftref,16 Point,Superscript 6 Point,Знак сноски 1, BVI fnr,BVI fnr, BVI fnr Car Car,BVI fnr Car, BVI fnr Car Car Car Car, BVI fnr Car Car Car Car Char,BVI fnr Car Car,BVI fnr Car Car Car Car,F,FR,Ref"/>
    <w:basedOn w:val="DefaultParagraphFont"/>
    <w:link w:val="Char2"/>
    <w:uiPriority w:val="99"/>
    <w:unhideWhenUsed/>
    <w:rsid w:val="00B50EF9"/>
    <w:rPr>
      <w:vertAlign w:val="superscript"/>
    </w:rPr>
  </w:style>
  <w:style w:type="table" w:styleId="TableGrid">
    <w:name w:val="Table Grid"/>
    <w:basedOn w:val="TableNormal"/>
    <w:uiPriority w:val="39"/>
    <w:rsid w:val="005A1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80EA8"/>
    <w:pPr>
      <w:tabs>
        <w:tab w:val="center" w:pos="4844"/>
        <w:tab w:val="right" w:pos="9689"/>
      </w:tabs>
      <w:spacing w:after="0" w:line="240" w:lineRule="auto"/>
    </w:pPr>
  </w:style>
  <w:style w:type="character" w:customStyle="1" w:styleId="HeaderChar">
    <w:name w:val="Header Char"/>
    <w:basedOn w:val="DefaultParagraphFont"/>
    <w:link w:val="Header"/>
    <w:uiPriority w:val="99"/>
    <w:rsid w:val="00080EA8"/>
  </w:style>
  <w:style w:type="paragraph" w:styleId="Footer">
    <w:name w:val="footer"/>
    <w:basedOn w:val="Normal"/>
    <w:link w:val="FooterChar"/>
    <w:uiPriority w:val="99"/>
    <w:unhideWhenUsed/>
    <w:rsid w:val="00080EA8"/>
    <w:pPr>
      <w:tabs>
        <w:tab w:val="center" w:pos="4844"/>
        <w:tab w:val="right" w:pos="9689"/>
      </w:tabs>
      <w:spacing w:after="0" w:line="240" w:lineRule="auto"/>
    </w:pPr>
  </w:style>
  <w:style w:type="character" w:customStyle="1" w:styleId="FooterChar">
    <w:name w:val="Footer Char"/>
    <w:basedOn w:val="DefaultParagraphFont"/>
    <w:link w:val="Footer"/>
    <w:uiPriority w:val="99"/>
    <w:rsid w:val="00080EA8"/>
  </w:style>
  <w:style w:type="character" w:customStyle="1" w:styleId="Heading1Char">
    <w:name w:val="Heading 1 Char"/>
    <w:basedOn w:val="DefaultParagraphFont"/>
    <w:link w:val="Heading1"/>
    <w:uiPriority w:val="9"/>
    <w:rsid w:val="000D771A"/>
    <w:rPr>
      <w:rFonts w:asciiTheme="majorHAnsi" w:eastAsiaTheme="majorEastAsia" w:hAnsiTheme="majorHAnsi" w:cstheme="majorBidi"/>
      <w:b/>
      <w:color w:val="2F5496" w:themeColor="accent1" w:themeShade="BF"/>
      <w:sz w:val="28"/>
      <w:szCs w:val="32"/>
    </w:rPr>
  </w:style>
  <w:style w:type="paragraph" w:styleId="TOCHeading">
    <w:name w:val="TOC Heading"/>
    <w:basedOn w:val="Heading1"/>
    <w:next w:val="Normal"/>
    <w:uiPriority w:val="39"/>
    <w:unhideWhenUsed/>
    <w:qFormat/>
    <w:rsid w:val="00531AC8"/>
    <w:pPr>
      <w:spacing w:line="259" w:lineRule="auto"/>
      <w:outlineLvl w:val="9"/>
    </w:pPr>
  </w:style>
  <w:style w:type="character" w:customStyle="1" w:styleId="Heading2Char">
    <w:name w:val="Heading 2 Char"/>
    <w:basedOn w:val="DefaultParagraphFont"/>
    <w:link w:val="Heading2"/>
    <w:uiPriority w:val="9"/>
    <w:rsid w:val="00C40A89"/>
    <w:rPr>
      <w:rFonts w:asciiTheme="majorHAnsi" w:eastAsiaTheme="majorEastAsia" w:hAnsiTheme="majorHAnsi" w:cstheme="majorBidi"/>
      <w:b/>
      <w:color w:val="2F5496" w:themeColor="accent1" w:themeShade="BF"/>
      <w:sz w:val="26"/>
      <w:szCs w:val="26"/>
    </w:rPr>
  </w:style>
  <w:style w:type="paragraph" w:styleId="TOC1">
    <w:name w:val="toc 1"/>
    <w:basedOn w:val="Normal"/>
    <w:next w:val="Normal"/>
    <w:autoRedefine/>
    <w:uiPriority w:val="39"/>
    <w:unhideWhenUsed/>
    <w:rsid w:val="00B624BF"/>
    <w:pPr>
      <w:widowControl w:val="0"/>
      <w:tabs>
        <w:tab w:val="left" w:pos="440"/>
        <w:tab w:val="left" w:pos="720"/>
        <w:tab w:val="right" w:leader="dot" w:pos="9350"/>
      </w:tabs>
      <w:spacing w:after="100"/>
    </w:pPr>
  </w:style>
  <w:style w:type="paragraph" w:styleId="TOC2">
    <w:name w:val="toc 2"/>
    <w:basedOn w:val="Normal"/>
    <w:next w:val="Normal"/>
    <w:autoRedefine/>
    <w:uiPriority w:val="39"/>
    <w:unhideWhenUsed/>
    <w:rsid w:val="00531AC8"/>
    <w:pPr>
      <w:spacing w:after="100"/>
      <w:ind w:left="220"/>
    </w:pPr>
  </w:style>
  <w:style w:type="character" w:styleId="Hyperlink">
    <w:name w:val="Hyperlink"/>
    <w:basedOn w:val="DefaultParagraphFont"/>
    <w:uiPriority w:val="99"/>
    <w:unhideWhenUsed/>
    <w:rsid w:val="00531AC8"/>
    <w:rPr>
      <w:color w:val="0563C1" w:themeColor="hyperlink"/>
      <w:u w:val="single"/>
    </w:rPr>
  </w:style>
  <w:style w:type="character" w:styleId="CommentReference">
    <w:name w:val="annotation reference"/>
    <w:basedOn w:val="DefaultParagraphFont"/>
    <w:uiPriority w:val="99"/>
    <w:semiHidden/>
    <w:unhideWhenUsed/>
    <w:rsid w:val="00880445"/>
    <w:rPr>
      <w:sz w:val="16"/>
      <w:szCs w:val="16"/>
    </w:rPr>
  </w:style>
  <w:style w:type="paragraph" w:styleId="CommentText">
    <w:name w:val="annotation text"/>
    <w:basedOn w:val="Normal"/>
    <w:link w:val="CommentTextChar"/>
    <w:uiPriority w:val="99"/>
    <w:unhideWhenUsed/>
    <w:rsid w:val="00880445"/>
    <w:pPr>
      <w:spacing w:after="160" w:line="240" w:lineRule="auto"/>
    </w:pPr>
    <w:rPr>
      <w:rFonts w:eastAsiaTheme="minorEastAsia"/>
      <w:sz w:val="20"/>
      <w:szCs w:val="20"/>
      <w:lang w:eastAsia="ja-JP"/>
    </w:rPr>
  </w:style>
  <w:style w:type="character" w:customStyle="1" w:styleId="CommentTextChar">
    <w:name w:val="Comment Text Char"/>
    <w:basedOn w:val="DefaultParagraphFont"/>
    <w:link w:val="CommentText"/>
    <w:uiPriority w:val="99"/>
    <w:rsid w:val="00880445"/>
    <w:rPr>
      <w:rFonts w:eastAsiaTheme="minorEastAsia"/>
      <w:sz w:val="20"/>
      <w:szCs w:val="20"/>
      <w:lang w:eastAsia="ja-JP"/>
    </w:rPr>
  </w:style>
  <w:style w:type="paragraph" w:styleId="NoSpacing">
    <w:name w:val="No Spacing"/>
    <w:uiPriority w:val="1"/>
    <w:qFormat/>
    <w:rsid w:val="00880445"/>
    <w:pPr>
      <w:spacing w:after="0" w:line="240" w:lineRule="auto"/>
    </w:pPr>
    <w:rPr>
      <w:rFonts w:eastAsiaTheme="minorEastAsia"/>
      <w:lang w:eastAsia="ja-JP"/>
    </w:rPr>
  </w:style>
  <w:style w:type="paragraph" w:styleId="BalloonText">
    <w:name w:val="Balloon Text"/>
    <w:basedOn w:val="Normal"/>
    <w:link w:val="BalloonTextChar"/>
    <w:uiPriority w:val="99"/>
    <w:semiHidden/>
    <w:unhideWhenUsed/>
    <w:rsid w:val="008804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445"/>
    <w:rPr>
      <w:rFonts w:ascii="Segoe UI" w:hAnsi="Segoe UI" w:cs="Segoe UI"/>
      <w:sz w:val="18"/>
      <w:szCs w:val="18"/>
    </w:rPr>
  </w:style>
  <w:style w:type="paragraph" w:customStyle="1" w:styleId="Char2">
    <w:name w:val="Char2"/>
    <w:basedOn w:val="Normal"/>
    <w:link w:val="FootnoteReference"/>
    <w:uiPriority w:val="99"/>
    <w:rsid w:val="00880445"/>
    <w:pPr>
      <w:spacing w:after="160" w:line="240" w:lineRule="exact"/>
    </w:pPr>
    <w:rPr>
      <w:vertAlign w:val="superscript"/>
    </w:rPr>
  </w:style>
  <w:style w:type="table" w:customStyle="1" w:styleId="TableGrid1">
    <w:name w:val="Table Grid1"/>
    <w:basedOn w:val="TableNormal"/>
    <w:next w:val="TableGrid"/>
    <w:uiPriority w:val="39"/>
    <w:rsid w:val="00A50D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1A3CC7"/>
    <w:pPr>
      <w:spacing w:after="200"/>
    </w:pPr>
    <w:rPr>
      <w:rFonts w:eastAsiaTheme="minorHAnsi"/>
      <w:b/>
      <w:bCs/>
      <w:lang w:eastAsia="en-US"/>
    </w:rPr>
  </w:style>
  <w:style w:type="character" w:customStyle="1" w:styleId="CommentSubjectChar">
    <w:name w:val="Comment Subject Char"/>
    <w:basedOn w:val="CommentTextChar"/>
    <w:link w:val="CommentSubject"/>
    <w:uiPriority w:val="99"/>
    <w:semiHidden/>
    <w:rsid w:val="001A3CC7"/>
    <w:rPr>
      <w:rFonts w:eastAsiaTheme="minorEastAsia"/>
      <w:b/>
      <w:bCs/>
      <w:sz w:val="20"/>
      <w:szCs w:val="20"/>
      <w:lang w:eastAsia="ja-JP"/>
    </w:rPr>
  </w:style>
  <w:style w:type="paragraph" w:styleId="NormalWeb">
    <w:name w:val="Normal (Web)"/>
    <w:basedOn w:val="Normal"/>
    <w:uiPriority w:val="99"/>
    <w:unhideWhenUsed/>
    <w:rsid w:val="001C40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16670A"/>
    <w:rPr>
      <w:color w:val="808080"/>
      <w:shd w:val="clear" w:color="auto" w:fill="E6E6E6"/>
    </w:rPr>
  </w:style>
  <w:style w:type="paragraph" w:styleId="Revision">
    <w:name w:val="Revision"/>
    <w:hidden/>
    <w:uiPriority w:val="99"/>
    <w:semiHidden/>
    <w:rsid w:val="003E5E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0161">
      <w:bodyDiv w:val="1"/>
      <w:marLeft w:val="0"/>
      <w:marRight w:val="0"/>
      <w:marTop w:val="0"/>
      <w:marBottom w:val="0"/>
      <w:divBdr>
        <w:top w:val="none" w:sz="0" w:space="0" w:color="auto"/>
        <w:left w:val="none" w:sz="0" w:space="0" w:color="auto"/>
        <w:bottom w:val="none" w:sz="0" w:space="0" w:color="auto"/>
        <w:right w:val="none" w:sz="0" w:space="0" w:color="auto"/>
      </w:divBdr>
    </w:div>
    <w:div w:id="72508543">
      <w:bodyDiv w:val="1"/>
      <w:marLeft w:val="0"/>
      <w:marRight w:val="0"/>
      <w:marTop w:val="0"/>
      <w:marBottom w:val="0"/>
      <w:divBdr>
        <w:top w:val="none" w:sz="0" w:space="0" w:color="auto"/>
        <w:left w:val="none" w:sz="0" w:space="0" w:color="auto"/>
        <w:bottom w:val="none" w:sz="0" w:space="0" w:color="auto"/>
        <w:right w:val="none" w:sz="0" w:space="0" w:color="auto"/>
      </w:divBdr>
    </w:div>
    <w:div w:id="456071555">
      <w:bodyDiv w:val="1"/>
      <w:marLeft w:val="0"/>
      <w:marRight w:val="0"/>
      <w:marTop w:val="0"/>
      <w:marBottom w:val="0"/>
      <w:divBdr>
        <w:top w:val="none" w:sz="0" w:space="0" w:color="auto"/>
        <w:left w:val="none" w:sz="0" w:space="0" w:color="auto"/>
        <w:bottom w:val="none" w:sz="0" w:space="0" w:color="auto"/>
        <w:right w:val="none" w:sz="0" w:space="0" w:color="auto"/>
      </w:divBdr>
      <w:divsChild>
        <w:div w:id="1216815636">
          <w:marLeft w:val="0"/>
          <w:marRight w:val="0"/>
          <w:marTop w:val="0"/>
          <w:marBottom w:val="0"/>
          <w:divBdr>
            <w:top w:val="none" w:sz="0" w:space="0" w:color="auto"/>
            <w:left w:val="none" w:sz="0" w:space="0" w:color="auto"/>
            <w:bottom w:val="none" w:sz="0" w:space="0" w:color="auto"/>
            <w:right w:val="none" w:sz="0" w:space="0" w:color="auto"/>
          </w:divBdr>
          <w:divsChild>
            <w:div w:id="657877458">
              <w:marLeft w:val="0"/>
              <w:marRight w:val="60"/>
              <w:marTop w:val="0"/>
              <w:marBottom w:val="0"/>
              <w:divBdr>
                <w:top w:val="none" w:sz="0" w:space="0" w:color="auto"/>
                <w:left w:val="none" w:sz="0" w:space="0" w:color="auto"/>
                <w:bottom w:val="none" w:sz="0" w:space="0" w:color="auto"/>
                <w:right w:val="none" w:sz="0" w:space="0" w:color="auto"/>
              </w:divBdr>
              <w:divsChild>
                <w:div w:id="1932810190">
                  <w:marLeft w:val="0"/>
                  <w:marRight w:val="0"/>
                  <w:marTop w:val="0"/>
                  <w:marBottom w:val="120"/>
                  <w:divBdr>
                    <w:top w:val="single" w:sz="6" w:space="0" w:color="C0C0C0"/>
                    <w:left w:val="single" w:sz="6" w:space="0" w:color="D9D9D9"/>
                    <w:bottom w:val="single" w:sz="6" w:space="0" w:color="D9D9D9"/>
                    <w:right w:val="single" w:sz="6" w:space="0" w:color="D9D9D9"/>
                  </w:divBdr>
                  <w:divsChild>
                    <w:div w:id="1514563507">
                      <w:marLeft w:val="0"/>
                      <w:marRight w:val="0"/>
                      <w:marTop w:val="0"/>
                      <w:marBottom w:val="0"/>
                      <w:divBdr>
                        <w:top w:val="none" w:sz="0" w:space="0" w:color="auto"/>
                        <w:left w:val="none" w:sz="0" w:space="0" w:color="auto"/>
                        <w:bottom w:val="none" w:sz="0" w:space="0" w:color="auto"/>
                        <w:right w:val="none" w:sz="0" w:space="0" w:color="auto"/>
                      </w:divBdr>
                    </w:div>
                    <w:div w:id="16536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156429">
          <w:marLeft w:val="0"/>
          <w:marRight w:val="0"/>
          <w:marTop w:val="0"/>
          <w:marBottom w:val="0"/>
          <w:divBdr>
            <w:top w:val="none" w:sz="0" w:space="0" w:color="auto"/>
            <w:left w:val="none" w:sz="0" w:space="0" w:color="auto"/>
            <w:bottom w:val="none" w:sz="0" w:space="0" w:color="auto"/>
            <w:right w:val="none" w:sz="0" w:space="0" w:color="auto"/>
          </w:divBdr>
          <w:divsChild>
            <w:div w:id="1511410722">
              <w:marLeft w:val="60"/>
              <w:marRight w:val="0"/>
              <w:marTop w:val="0"/>
              <w:marBottom w:val="0"/>
              <w:divBdr>
                <w:top w:val="none" w:sz="0" w:space="0" w:color="auto"/>
                <w:left w:val="none" w:sz="0" w:space="0" w:color="auto"/>
                <w:bottom w:val="none" w:sz="0" w:space="0" w:color="auto"/>
                <w:right w:val="none" w:sz="0" w:space="0" w:color="auto"/>
              </w:divBdr>
              <w:divsChild>
                <w:div w:id="543368527">
                  <w:marLeft w:val="0"/>
                  <w:marRight w:val="0"/>
                  <w:marTop w:val="0"/>
                  <w:marBottom w:val="0"/>
                  <w:divBdr>
                    <w:top w:val="none" w:sz="0" w:space="0" w:color="auto"/>
                    <w:left w:val="none" w:sz="0" w:space="0" w:color="auto"/>
                    <w:bottom w:val="none" w:sz="0" w:space="0" w:color="auto"/>
                    <w:right w:val="none" w:sz="0" w:space="0" w:color="auto"/>
                  </w:divBdr>
                  <w:divsChild>
                    <w:div w:id="452989030">
                      <w:marLeft w:val="0"/>
                      <w:marRight w:val="0"/>
                      <w:marTop w:val="0"/>
                      <w:marBottom w:val="120"/>
                      <w:divBdr>
                        <w:top w:val="single" w:sz="6" w:space="0" w:color="F5F5F5"/>
                        <w:left w:val="single" w:sz="6" w:space="0" w:color="F5F5F5"/>
                        <w:bottom w:val="single" w:sz="6" w:space="0" w:color="F5F5F5"/>
                        <w:right w:val="single" w:sz="6" w:space="0" w:color="F5F5F5"/>
                      </w:divBdr>
                      <w:divsChild>
                        <w:div w:id="2080512322">
                          <w:marLeft w:val="0"/>
                          <w:marRight w:val="0"/>
                          <w:marTop w:val="0"/>
                          <w:marBottom w:val="0"/>
                          <w:divBdr>
                            <w:top w:val="none" w:sz="0" w:space="0" w:color="auto"/>
                            <w:left w:val="none" w:sz="0" w:space="0" w:color="auto"/>
                            <w:bottom w:val="none" w:sz="0" w:space="0" w:color="auto"/>
                            <w:right w:val="none" w:sz="0" w:space="0" w:color="auto"/>
                          </w:divBdr>
                          <w:divsChild>
                            <w:div w:id="20925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051770">
      <w:bodyDiv w:val="1"/>
      <w:marLeft w:val="0"/>
      <w:marRight w:val="0"/>
      <w:marTop w:val="0"/>
      <w:marBottom w:val="0"/>
      <w:divBdr>
        <w:top w:val="none" w:sz="0" w:space="0" w:color="auto"/>
        <w:left w:val="none" w:sz="0" w:space="0" w:color="auto"/>
        <w:bottom w:val="none" w:sz="0" w:space="0" w:color="auto"/>
        <w:right w:val="none" w:sz="0" w:space="0" w:color="auto"/>
      </w:divBdr>
    </w:div>
    <w:div w:id="1192644592">
      <w:bodyDiv w:val="1"/>
      <w:marLeft w:val="0"/>
      <w:marRight w:val="0"/>
      <w:marTop w:val="0"/>
      <w:marBottom w:val="0"/>
      <w:divBdr>
        <w:top w:val="none" w:sz="0" w:space="0" w:color="auto"/>
        <w:left w:val="none" w:sz="0" w:space="0" w:color="auto"/>
        <w:bottom w:val="none" w:sz="0" w:space="0" w:color="auto"/>
        <w:right w:val="none" w:sz="0" w:space="0" w:color="auto"/>
      </w:divBdr>
    </w:div>
    <w:div w:id="1216165683">
      <w:bodyDiv w:val="1"/>
      <w:marLeft w:val="0"/>
      <w:marRight w:val="0"/>
      <w:marTop w:val="0"/>
      <w:marBottom w:val="0"/>
      <w:divBdr>
        <w:top w:val="none" w:sz="0" w:space="0" w:color="auto"/>
        <w:left w:val="none" w:sz="0" w:space="0" w:color="auto"/>
        <w:bottom w:val="none" w:sz="0" w:space="0" w:color="auto"/>
        <w:right w:val="none" w:sz="0" w:space="0" w:color="auto"/>
      </w:divBdr>
    </w:div>
    <w:div w:id="1414425003">
      <w:bodyDiv w:val="1"/>
      <w:marLeft w:val="0"/>
      <w:marRight w:val="0"/>
      <w:marTop w:val="0"/>
      <w:marBottom w:val="0"/>
      <w:divBdr>
        <w:top w:val="none" w:sz="0" w:space="0" w:color="auto"/>
        <w:left w:val="none" w:sz="0" w:space="0" w:color="auto"/>
        <w:bottom w:val="none" w:sz="0" w:space="0" w:color="auto"/>
        <w:right w:val="none" w:sz="0" w:space="0" w:color="auto"/>
      </w:divBdr>
    </w:div>
    <w:div w:id="1819614942">
      <w:bodyDiv w:val="1"/>
      <w:marLeft w:val="0"/>
      <w:marRight w:val="0"/>
      <w:marTop w:val="0"/>
      <w:marBottom w:val="0"/>
      <w:divBdr>
        <w:top w:val="none" w:sz="0" w:space="0" w:color="auto"/>
        <w:left w:val="none" w:sz="0" w:space="0" w:color="auto"/>
        <w:bottom w:val="none" w:sz="0" w:space="0" w:color="auto"/>
        <w:right w:val="none" w:sz="0" w:space="0" w:color="auto"/>
      </w:divBdr>
    </w:div>
    <w:div w:id="1933664810">
      <w:bodyDiv w:val="1"/>
      <w:marLeft w:val="0"/>
      <w:marRight w:val="0"/>
      <w:marTop w:val="0"/>
      <w:marBottom w:val="0"/>
      <w:divBdr>
        <w:top w:val="none" w:sz="0" w:space="0" w:color="auto"/>
        <w:left w:val="none" w:sz="0" w:space="0" w:color="auto"/>
        <w:bottom w:val="none" w:sz="0" w:space="0" w:color="auto"/>
        <w:right w:val="none" w:sz="0" w:space="0" w:color="auto"/>
      </w:divBdr>
    </w:div>
    <w:div w:id="1986004447">
      <w:bodyDiv w:val="1"/>
      <w:marLeft w:val="0"/>
      <w:marRight w:val="0"/>
      <w:marTop w:val="0"/>
      <w:marBottom w:val="0"/>
      <w:divBdr>
        <w:top w:val="none" w:sz="0" w:space="0" w:color="auto"/>
        <w:left w:val="none" w:sz="0" w:space="0" w:color="auto"/>
        <w:bottom w:val="none" w:sz="0" w:space="0" w:color="auto"/>
        <w:right w:val="none" w:sz="0" w:space="0" w:color="auto"/>
      </w:divBdr>
    </w:div>
    <w:div w:id="2070759433">
      <w:bodyDiv w:val="1"/>
      <w:marLeft w:val="0"/>
      <w:marRight w:val="0"/>
      <w:marTop w:val="0"/>
      <w:marBottom w:val="0"/>
      <w:divBdr>
        <w:top w:val="none" w:sz="0" w:space="0" w:color="auto"/>
        <w:left w:val="none" w:sz="0" w:space="0" w:color="auto"/>
        <w:bottom w:val="none" w:sz="0" w:space="0" w:color="auto"/>
        <w:right w:val="none" w:sz="0" w:space="0" w:color="auto"/>
      </w:divBdr>
    </w:div>
    <w:div w:id="207496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2018-12-11T16:00:00+00:00</UNDPPublishedDate>
    <UNDPCountryTaxHTField0 xmlns="1ed4137b-41b2-488b-8250-6d369ec27664">
      <Terms xmlns="http://schemas.microsoft.com/office/infopath/2007/PartnerControls"/>
    </UNDPCountryTaxHTField0>
    <UndpOUCode xmlns="1ed4137b-41b2-488b-8250-6d369ec27664">ALB</UndpOUCode>
    <PDC_x0020_Document_x0020_Category xmlns="f1161f5b-24a3-4c2d-bc81-44cb9325e8ee">Proposal</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1110</Value>
      <Value>1176</Value>
      <Value>1</Value>
      <Value>763</Value>
    </TaxCatchAll>
    <c4e2ab2cc9354bbf9064eeb465a566ea xmlns="1ed4137b-41b2-488b-8250-6d369ec27664">
      <Terms xmlns="http://schemas.microsoft.com/office/infopath/2007/PartnerControls"/>
    </c4e2ab2cc9354bbf9064eeb465a566ea>
    <UndpProjectNo xmlns="1ed4137b-41b2-488b-8250-6d369ec27664">00116083</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ALB</TermName>
          <TermId xmlns="http://schemas.microsoft.com/office/infopath/2007/PartnerControls">e7390ae4-a8ff-47c4-ac36-ca7bf485c156</TermId>
        </TermInfo>
      </Terms>
    </gc6531b704974d528487414686b72f6f>
    <_dlc_DocId xmlns="f1161f5b-24a3-4c2d-bc81-44cb9325e8ee">ATLASPDC-4-92361</_dlc_DocId>
    <_dlc_DocIdUrl xmlns="f1161f5b-24a3-4c2d-bc81-44cb9325e8ee">
      <Url>https://info.undp.org/docs/pdc/_layouts/DocIdRedir.aspx?ID=ATLASPDC-4-92361</Url>
      <Description>ATLASPDC-4-92361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4C12BE46-0FC0-B44E-B10B-945063054644}">
  <ds:schemaRefs>
    <ds:schemaRef ds:uri="http://schemas.openxmlformats.org/officeDocument/2006/bibliography"/>
  </ds:schemaRefs>
</ds:datastoreItem>
</file>

<file path=customXml/itemProps2.xml><?xml version="1.0" encoding="utf-8"?>
<ds:datastoreItem xmlns:ds="http://schemas.openxmlformats.org/officeDocument/2006/customXml" ds:itemID="{A09C15BD-BF5C-4C23-A176-DB1042A99AFA}"/>
</file>

<file path=customXml/itemProps3.xml><?xml version="1.0" encoding="utf-8"?>
<ds:datastoreItem xmlns:ds="http://schemas.openxmlformats.org/officeDocument/2006/customXml" ds:itemID="{06CBFC86-389D-442C-A7DA-7B3EABC1A379}"/>
</file>

<file path=customXml/itemProps4.xml><?xml version="1.0" encoding="utf-8"?>
<ds:datastoreItem xmlns:ds="http://schemas.openxmlformats.org/officeDocument/2006/customXml" ds:itemID="{43FA1F8C-3731-451F-9F88-8D654224CDAA}"/>
</file>

<file path=customXml/itemProps5.xml><?xml version="1.0" encoding="utf-8"?>
<ds:datastoreItem xmlns:ds="http://schemas.openxmlformats.org/officeDocument/2006/customXml" ds:itemID="{AB29E1E8-E977-4E15-B82D-F89021416F4A}"/>
</file>

<file path=customXml/itemProps6.xml><?xml version="1.0" encoding="utf-8"?>
<ds:datastoreItem xmlns:ds="http://schemas.openxmlformats.org/officeDocument/2006/customXml" ds:itemID="{0D241E54-291E-466A-BE3A-76F1C98A2270}"/>
</file>

<file path=docProps/app.xml><?xml version="1.0" encoding="utf-8"?>
<Properties xmlns="http://schemas.openxmlformats.org/officeDocument/2006/extended-properties" xmlns:vt="http://schemas.openxmlformats.org/officeDocument/2006/docPropsVTypes">
  <Template>Normal.dotm</Template>
  <TotalTime>1</TotalTime>
  <Pages>6</Pages>
  <Words>3100</Words>
  <Characters>17670</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Levan Bouadze</dc:creator>
  <cp:keywords/>
  <dc:description/>
  <cp:lastModifiedBy>Eno Ngjela</cp:lastModifiedBy>
  <cp:revision>2</cp:revision>
  <cp:lastPrinted>2017-09-22T09:32:00Z</cp:lastPrinted>
  <dcterms:created xsi:type="dcterms:W3CDTF">2017-12-15T15:57:00Z</dcterms:created>
  <dcterms:modified xsi:type="dcterms:W3CDTF">2017-12-15T15:57:00Z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1176;#ALB|e7390ae4-a8ff-47c4-ac36-ca7bf485c156</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c8aeabe6-09a3-4121-8f29-95b1f092a226</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