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78571FEF" w14:textId="77777777" w:rsidR="000624CD" w:rsidRPr="007A1F34" w:rsidRDefault="000624CD" w:rsidP="000624CD">
            <w:pPr>
              <w:rPr>
                <w:sz w:val="18"/>
                <w:szCs w:val="18"/>
              </w:rPr>
            </w:pPr>
            <w:r w:rsidRPr="007A1F34">
              <w:rPr>
                <w:sz w:val="18"/>
                <w:szCs w:val="18"/>
              </w:rPr>
              <w:t>Support to Continuous Unemployed Learning</w:t>
            </w:r>
          </w:p>
          <w:p w14:paraId="2EBC76A4" w14:textId="55F7C8F5" w:rsidR="00DD330A" w:rsidRPr="00450804" w:rsidRDefault="00DD330A" w:rsidP="0084274F">
            <w:pPr>
              <w:rPr>
                <w:sz w:val="18"/>
                <w:szCs w:val="18"/>
              </w:rPr>
            </w:pP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5F9E8CAB" w14:textId="77777777" w:rsidR="007A1F34" w:rsidRPr="007A1F34" w:rsidRDefault="007A1F34" w:rsidP="007A1F34">
            <w:pPr>
              <w:rPr>
                <w:sz w:val="18"/>
                <w:szCs w:val="18"/>
              </w:rPr>
            </w:pPr>
            <w:r w:rsidRPr="007A1F34">
              <w:rPr>
                <w:sz w:val="18"/>
                <w:szCs w:val="18"/>
              </w:rPr>
              <w:t>00129705</w:t>
            </w:r>
          </w:p>
          <w:p w14:paraId="1B4FF74D" w14:textId="36D334D4" w:rsidR="00DD330A" w:rsidRPr="00450804" w:rsidRDefault="00DD330A" w:rsidP="0084274F">
            <w:pPr>
              <w:rPr>
                <w:sz w:val="18"/>
                <w:szCs w:val="18"/>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236C6759" w:rsidR="00DD330A" w:rsidRPr="00450804" w:rsidRDefault="00687042" w:rsidP="0084274F">
            <w:pPr>
              <w:rPr>
                <w:sz w:val="18"/>
                <w:szCs w:val="18"/>
              </w:rPr>
            </w:pPr>
            <w:r>
              <w:rPr>
                <w:sz w:val="18"/>
                <w:szCs w:val="18"/>
              </w:rPr>
              <w:t>Albania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17F16E4D" w:rsidR="00414FBA" w:rsidRPr="008C711F" w:rsidRDefault="0025449A" w:rsidP="007A1F34">
            <w:pPr>
              <w:tabs>
                <w:tab w:val="left" w:pos="432"/>
              </w:tabs>
              <w:spacing w:before="60" w:after="60"/>
              <w:rPr>
                <w:sz w:val="18"/>
                <w:szCs w:val="18"/>
              </w:rPr>
            </w:pPr>
            <w:r w:rsidRPr="007A1F34">
              <w:rPr>
                <w:rFonts w:eastAsia="Times New Roman"/>
                <w:color w:val="595959" w:themeColor="text1" w:themeTint="A6"/>
                <w:sz w:val="18"/>
                <w:szCs w:val="18"/>
              </w:rPr>
              <w:t xml:space="preserve">The project aims to ensure the right to education to illiterate jobseekers, who are unemployed and seek employment opportunities through the employment offices. Given that the limited permeability of the adults in the education system, the Vocational Training Centers are identified as the most efficient government structures to offer literacy courses to adults who seek to enter the </w:t>
            </w:r>
            <w:proofErr w:type="spellStart"/>
            <w:r w:rsidRPr="007A1F34">
              <w:rPr>
                <w:rFonts w:eastAsia="Times New Roman"/>
                <w:color w:val="595959" w:themeColor="text1" w:themeTint="A6"/>
                <w:sz w:val="18"/>
                <w:szCs w:val="18"/>
              </w:rPr>
              <w:t>labour</w:t>
            </w:r>
            <w:proofErr w:type="spellEnd"/>
            <w:r w:rsidRPr="007A1F34">
              <w:rPr>
                <w:rFonts w:eastAsia="Times New Roman"/>
                <w:color w:val="595959" w:themeColor="text1" w:themeTint="A6"/>
                <w:sz w:val="18"/>
                <w:szCs w:val="18"/>
              </w:rPr>
              <w:t xml:space="preserve"> market.</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3F16D2F3" w14:textId="77777777" w:rsidR="00C20FDA" w:rsidRDefault="00C20FDA" w:rsidP="00C20FDA">
            <w:pPr>
              <w:pBdr>
                <w:top w:val="single" w:sz="4" w:space="1" w:color="auto"/>
                <w:left w:val="single" w:sz="4" w:space="0" w:color="auto"/>
                <w:bottom w:val="single" w:sz="4" w:space="1" w:color="auto"/>
                <w:right w:val="single" w:sz="4" w:space="4" w:color="auto"/>
              </w:pBdr>
              <w:spacing w:after="240"/>
              <w:ind w:left="714"/>
              <w:jc w:val="both"/>
              <w:rPr>
                <w:rFonts w:ascii="Verdana" w:hAnsi="Verdana"/>
                <w:color w:val="333333"/>
                <w:szCs w:val="20"/>
              </w:rPr>
            </w:pPr>
            <w:r>
              <w:rPr>
                <w:rFonts w:ascii="Verdana" w:hAnsi="Verdana"/>
                <w:color w:val="333333"/>
                <w:szCs w:val="20"/>
              </w:rPr>
              <w:t>According to the latest UNESCO data (2012) only 95.5%</w:t>
            </w:r>
            <w:r>
              <w:rPr>
                <w:rStyle w:val="FootnoteReference"/>
                <w:rFonts w:ascii="Verdana" w:hAnsi="Verdana"/>
                <w:color w:val="333333"/>
                <w:szCs w:val="20"/>
              </w:rPr>
              <w:footnoteReference w:id="1"/>
            </w:r>
            <w:r>
              <w:rPr>
                <w:rFonts w:ascii="Verdana" w:hAnsi="Verdana"/>
                <w:color w:val="333333"/>
                <w:szCs w:val="20"/>
              </w:rPr>
              <w:t xml:space="preserve"> of the Albanian population (25+) completed primary (ISCED 01) education, leading to roughly 14,000 people potentially illiterate.  </w:t>
            </w:r>
          </w:p>
          <w:p w14:paraId="69A78D97" w14:textId="77777777" w:rsidR="00C20FDA" w:rsidRDefault="00C20FDA" w:rsidP="00C20FDA">
            <w:pPr>
              <w:pBdr>
                <w:top w:val="single" w:sz="4" w:space="1" w:color="auto"/>
                <w:left w:val="single" w:sz="4" w:space="0" w:color="auto"/>
                <w:bottom w:val="single" w:sz="4" w:space="1" w:color="auto"/>
                <w:right w:val="single" w:sz="4" w:space="4" w:color="auto"/>
              </w:pBdr>
              <w:spacing w:after="240"/>
              <w:ind w:left="714"/>
              <w:jc w:val="both"/>
              <w:rPr>
                <w:rFonts w:ascii="Verdana" w:hAnsi="Verdana"/>
                <w:color w:val="333333"/>
                <w:szCs w:val="20"/>
              </w:rPr>
            </w:pPr>
            <w:r>
              <w:rPr>
                <w:rFonts w:ascii="Verdana" w:hAnsi="Verdana"/>
                <w:color w:val="333333"/>
                <w:szCs w:val="20"/>
              </w:rPr>
              <w:t>The total unemployed in Albania are 172,700 individuals according to the LFS elaborated by the National Institute of Statistics (NB: the total population is 2.8 million, and the total workforce 1.3 million).</w:t>
            </w:r>
            <w:r w:rsidRPr="009A7C8E">
              <w:rPr>
                <w:rFonts w:ascii="Verdana" w:hAnsi="Verdana"/>
                <w:color w:val="333333"/>
                <w:szCs w:val="20"/>
              </w:rPr>
              <w:t xml:space="preserve"> </w:t>
            </w:r>
            <w:r>
              <w:rPr>
                <w:rFonts w:ascii="Verdana" w:hAnsi="Verdana"/>
                <w:color w:val="333333"/>
                <w:szCs w:val="20"/>
              </w:rPr>
              <w:t xml:space="preserve">A total of 72,700 individuals are registered in the National Employment Services (NES), most of them in the urban areas. Out of these some 1,800 are illiterate (with no educational certificate whatsoever) registered adult (29+) jobseekers; some other 2,450 (29+) only completed primary education (ISCED 01) and additional 3,500 (30-39) completed lower secondary education (ISCED 02) </w:t>
            </w:r>
            <w:r>
              <w:rPr>
                <w:rFonts w:ascii="Verdana" w:hAnsi="Verdana"/>
                <w:color w:val="333333"/>
                <w:szCs w:val="20"/>
              </w:rPr>
              <w:lastRenderedPageBreak/>
              <w:t>but are reported to lack both professional skills the other soft and technical skills indispensable to obtain a job. In addition, poor primary education provided in some remote areas, does not guarantee learning outcomes, even when a certificate was obtained.</w:t>
            </w:r>
          </w:p>
          <w:p w14:paraId="5BEFC779" w14:textId="77777777" w:rsidR="00C20FDA" w:rsidRDefault="00C20FDA" w:rsidP="00C20FDA">
            <w:pPr>
              <w:pBdr>
                <w:top w:val="single" w:sz="4" w:space="1" w:color="auto"/>
                <w:left w:val="single" w:sz="4" w:space="0" w:color="auto"/>
                <w:bottom w:val="single" w:sz="4" w:space="1" w:color="auto"/>
                <w:right w:val="single" w:sz="4" w:space="4" w:color="auto"/>
              </w:pBdr>
              <w:spacing w:after="240"/>
              <w:ind w:left="714"/>
              <w:jc w:val="both"/>
              <w:rPr>
                <w:rFonts w:ascii="Verdana" w:hAnsi="Verdana"/>
                <w:color w:val="333333"/>
                <w:szCs w:val="20"/>
              </w:rPr>
            </w:pPr>
            <w:r>
              <w:rPr>
                <w:rFonts w:ascii="Verdana" w:hAnsi="Verdana"/>
                <w:color w:val="333333"/>
                <w:szCs w:val="20"/>
              </w:rPr>
              <w:t xml:space="preserve">These roughly 7,750 vulnerable, low educated registered jobseekers constitute the target group of the intervention. The main reason of the choice is that, being among the most difficult unemployed to activate, they are currently not supported at all by Active </w:t>
            </w:r>
            <w:proofErr w:type="spellStart"/>
            <w:r>
              <w:rPr>
                <w:rFonts w:ascii="Verdana" w:hAnsi="Verdana"/>
                <w:color w:val="333333"/>
                <w:szCs w:val="20"/>
              </w:rPr>
              <w:t>Labour</w:t>
            </w:r>
            <w:proofErr w:type="spellEnd"/>
            <w:r>
              <w:rPr>
                <w:rFonts w:ascii="Verdana" w:hAnsi="Verdana"/>
                <w:color w:val="333333"/>
                <w:szCs w:val="20"/>
              </w:rPr>
              <w:t xml:space="preserve"> Market </w:t>
            </w:r>
            <w:proofErr w:type="spellStart"/>
            <w:r>
              <w:rPr>
                <w:rFonts w:ascii="Verdana" w:hAnsi="Verdana"/>
                <w:color w:val="333333"/>
                <w:szCs w:val="20"/>
              </w:rPr>
              <w:t>Programmes</w:t>
            </w:r>
            <w:proofErr w:type="spellEnd"/>
            <w:r>
              <w:rPr>
                <w:rFonts w:ascii="Verdana" w:hAnsi="Verdana"/>
                <w:color w:val="333333"/>
                <w:szCs w:val="20"/>
              </w:rPr>
              <w:t xml:space="preserve"> (ALMPs) or targeted services. The ambition of this intervention is to establish a structure and capacities to address this vulnerable target group, building on which, hopefully, trigger systemic upskilling mechanisms in the longer term, progressively reducing the size of the group and facilitate its transition towards the </w:t>
            </w:r>
            <w:proofErr w:type="spellStart"/>
            <w:r>
              <w:rPr>
                <w:rFonts w:ascii="Verdana" w:hAnsi="Verdana"/>
                <w:color w:val="333333"/>
                <w:szCs w:val="20"/>
              </w:rPr>
              <w:t>labour</w:t>
            </w:r>
            <w:proofErr w:type="spellEnd"/>
            <w:r>
              <w:rPr>
                <w:rFonts w:ascii="Verdana" w:hAnsi="Verdana"/>
                <w:color w:val="333333"/>
                <w:szCs w:val="20"/>
              </w:rPr>
              <w:t xml:space="preserve"> market.</w:t>
            </w:r>
          </w:p>
          <w:p w14:paraId="658A4F08" w14:textId="039003B8" w:rsidR="00414FBA" w:rsidRPr="008C711F" w:rsidRDefault="00414FBA" w:rsidP="008C711F">
            <w:pPr>
              <w:tabs>
                <w:tab w:val="left" w:pos="432"/>
              </w:tabs>
              <w:spacing w:before="60" w:after="60"/>
              <w:rPr>
                <w:rFonts w:eastAsia="Times New Roman"/>
                <w:color w:val="595959" w:themeColor="text1" w:themeTint="A6"/>
                <w:sz w:val="18"/>
                <w:szCs w:val="18"/>
              </w:rPr>
            </w:pP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2D3C7EA" w14:textId="77777777" w:rsidTr="0087589A">
        <w:tc>
          <w:tcPr>
            <w:tcW w:w="13248" w:type="dxa"/>
          </w:tcPr>
          <w:p w14:paraId="4CD3C25A" w14:textId="6A46DDE6" w:rsidR="00414FBA" w:rsidRPr="008C711F" w:rsidRDefault="00016EF0" w:rsidP="008C711F">
            <w:pPr>
              <w:tabs>
                <w:tab w:val="left" w:pos="432"/>
              </w:tabs>
              <w:spacing w:before="60" w:after="60"/>
              <w:rPr>
                <w:rFonts w:eastAsia="Times New Roman"/>
                <w:color w:val="595959" w:themeColor="text1" w:themeTint="A6"/>
                <w:sz w:val="18"/>
                <w:szCs w:val="18"/>
              </w:rPr>
            </w:pPr>
            <w:r>
              <w:rPr>
                <w:rFonts w:eastAsia="Times New Roman"/>
                <w:color w:val="595959" w:themeColor="text1" w:themeTint="A6"/>
                <w:sz w:val="18"/>
                <w:szCs w:val="18"/>
              </w:rPr>
              <w:t xml:space="preserve">The project activities are not foreseen to have any impact on the environment.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05D7FB4D" w:rsidR="00C055DB" w:rsidRPr="009B4F2C" w:rsidRDefault="00C055DB" w:rsidP="0084274F">
            <w:pPr>
              <w:rPr>
                <w:sz w:val="18"/>
                <w:szCs w:val="18"/>
              </w:rPr>
            </w:pPr>
            <w:r w:rsidRPr="009B4F2C">
              <w:rPr>
                <w:sz w:val="18"/>
                <w:szCs w:val="18"/>
              </w:rPr>
              <w:t xml:space="preserve">Risk 1: </w:t>
            </w:r>
            <w:r w:rsidR="007A1F34" w:rsidRPr="00CE6A8C">
              <w:rPr>
                <w:rFonts w:ascii="Verdana" w:hAnsi="Verdana"/>
                <w:color w:val="333333"/>
                <w:szCs w:val="20"/>
              </w:rPr>
              <w:t>The target group is highly vulnerable, hence there is a considerable risk of lack of interest in the project from their side and dropout.</w:t>
            </w:r>
          </w:p>
        </w:tc>
        <w:tc>
          <w:tcPr>
            <w:tcW w:w="1080" w:type="dxa"/>
          </w:tcPr>
          <w:p w14:paraId="67E15CE1" w14:textId="24329023" w:rsidR="00C055DB" w:rsidRPr="00C86F7C" w:rsidRDefault="00C055DB" w:rsidP="0084274F">
            <w:pPr>
              <w:rPr>
                <w:rFonts w:cs="Minion Pro"/>
                <w:sz w:val="18"/>
                <w:szCs w:val="18"/>
              </w:rPr>
            </w:pPr>
            <w:r w:rsidRPr="00C86F7C">
              <w:rPr>
                <w:rFonts w:cs="Minion Pro"/>
                <w:sz w:val="18"/>
                <w:szCs w:val="18"/>
              </w:rPr>
              <w:t xml:space="preserve">I = </w:t>
            </w:r>
            <w:r w:rsidR="007A1F34">
              <w:rPr>
                <w:rFonts w:cs="Minion Pro"/>
                <w:sz w:val="18"/>
                <w:szCs w:val="18"/>
              </w:rPr>
              <w:t>H</w:t>
            </w:r>
          </w:p>
          <w:p w14:paraId="4BB50A64" w14:textId="4B87F7F6" w:rsidR="00C055DB" w:rsidRPr="00C86F7C" w:rsidRDefault="00C055DB" w:rsidP="0084274F">
            <w:pPr>
              <w:rPr>
                <w:rFonts w:cs="Minion Pro"/>
                <w:sz w:val="18"/>
                <w:szCs w:val="18"/>
              </w:rPr>
            </w:pPr>
            <w:r w:rsidRPr="00C86F7C">
              <w:rPr>
                <w:rFonts w:cs="Minion Pro"/>
                <w:sz w:val="18"/>
                <w:szCs w:val="18"/>
              </w:rPr>
              <w:t>P =</w:t>
            </w:r>
            <w:r w:rsidR="007A1F34">
              <w:rPr>
                <w:rFonts w:cs="Minion Pro"/>
                <w:sz w:val="18"/>
                <w:szCs w:val="18"/>
              </w:rPr>
              <w:t xml:space="preserve"> H</w:t>
            </w:r>
          </w:p>
        </w:tc>
        <w:tc>
          <w:tcPr>
            <w:tcW w:w="1170" w:type="dxa"/>
          </w:tcPr>
          <w:p w14:paraId="7B5C7252" w14:textId="3A40829E" w:rsidR="00C055DB" w:rsidRPr="00372083" w:rsidRDefault="007A1F34" w:rsidP="0084274F">
            <w:pPr>
              <w:rPr>
                <w:b/>
                <w:sz w:val="18"/>
                <w:szCs w:val="18"/>
              </w:rPr>
            </w:pPr>
            <w:r>
              <w:rPr>
                <w:b/>
                <w:sz w:val="18"/>
                <w:szCs w:val="18"/>
              </w:rPr>
              <w:t>H</w:t>
            </w:r>
          </w:p>
        </w:tc>
        <w:tc>
          <w:tcPr>
            <w:tcW w:w="2610" w:type="dxa"/>
            <w:gridSpan w:val="2"/>
          </w:tcPr>
          <w:p w14:paraId="249AA562" w14:textId="77777777" w:rsidR="00C055DB" w:rsidRPr="00372083" w:rsidRDefault="00C055DB" w:rsidP="0084274F">
            <w:pPr>
              <w:rPr>
                <w:b/>
                <w:sz w:val="18"/>
                <w:szCs w:val="18"/>
              </w:rPr>
            </w:pPr>
          </w:p>
        </w:tc>
        <w:tc>
          <w:tcPr>
            <w:tcW w:w="4770" w:type="dxa"/>
            <w:gridSpan w:val="2"/>
          </w:tcPr>
          <w:p w14:paraId="5BC7622A" w14:textId="6C034A73" w:rsidR="00C055DB" w:rsidRPr="00372083" w:rsidRDefault="007A1F34" w:rsidP="0084274F">
            <w:pPr>
              <w:rPr>
                <w:b/>
                <w:sz w:val="18"/>
                <w:szCs w:val="18"/>
              </w:rPr>
            </w:pPr>
            <w:r>
              <w:rPr>
                <w:rFonts w:ascii="Verdana" w:hAnsi="Verdana"/>
                <w:color w:val="333333"/>
                <w:szCs w:val="20"/>
              </w:rPr>
              <w:t xml:space="preserve">Design of appropriated incentives and obligation for the beneficiaries; in addition, previous small-scale interventions on basic skills delivery in Albania offer some lessons </w:t>
            </w:r>
            <w:r>
              <w:rPr>
                <w:rFonts w:ascii="Verdana" w:hAnsi="Verdana"/>
                <w:color w:val="333333"/>
                <w:szCs w:val="20"/>
              </w:rPr>
              <w:lastRenderedPageBreak/>
              <w:t xml:space="preserve">learnt and recommendations that will be </w:t>
            </w:r>
            <w:proofErr w:type="spellStart"/>
            <w:r>
              <w:rPr>
                <w:rFonts w:ascii="Verdana" w:hAnsi="Verdana"/>
                <w:color w:val="333333"/>
                <w:szCs w:val="20"/>
              </w:rPr>
              <w:t>capitalised</w:t>
            </w:r>
            <w:proofErr w:type="spellEnd"/>
            <w:r>
              <w:rPr>
                <w:rFonts w:ascii="Verdana" w:hAnsi="Verdana"/>
                <w:color w:val="333333"/>
                <w:szCs w:val="20"/>
              </w:rPr>
              <w:t xml:space="preserve"> in this project.</w:t>
            </w:r>
          </w:p>
        </w:tc>
      </w:tr>
      <w:tr w:rsidR="00C055DB" w14:paraId="112CD22E" w14:textId="77777777" w:rsidTr="002A2BCE">
        <w:tc>
          <w:tcPr>
            <w:tcW w:w="3510" w:type="dxa"/>
            <w:vAlign w:val="center"/>
          </w:tcPr>
          <w:p w14:paraId="290A1806" w14:textId="10C2C108" w:rsidR="00C055DB" w:rsidRPr="00372083" w:rsidRDefault="00C055DB" w:rsidP="0084274F">
            <w:pPr>
              <w:rPr>
                <w:b/>
                <w:sz w:val="18"/>
                <w:szCs w:val="18"/>
              </w:rPr>
            </w:pPr>
            <w:r>
              <w:rPr>
                <w:sz w:val="18"/>
                <w:szCs w:val="18"/>
              </w:rPr>
              <w:lastRenderedPageBreak/>
              <w:t xml:space="preserve">Risk </w:t>
            </w:r>
            <w:r w:rsidR="007A1F34">
              <w:rPr>
                <w:sz w:val="18"/>
                <w:szCs w:val="18"/>
              </w:rPr>
              <w:t xml:space="preserve">2: </w:t>
            </w:r>
            <w:r w:rsidR="007A1F34">
              <w:rPr>
                <w:rFonts w:ascii="Verdana" w:hAnsi="Verdana"/>
                <w:color w:val="333333"/>
                <w:szCs w:val="20"/>
              </w:rPr>
              <w:t>F</w:t>
            </w:r>
            <w:r w:rsidR="007A1F34" w:rsidRPr="00CE6A8C">
              <w:rPr>
                <w:rFonts w:ascii="Verdana" w:hAnsi="Verdana"/>
                <w:color w:val="333333"/>
                <w:szCs w:val="20"/>
              </w:rPr>
              <w:t>urther barrier</w:t>
            </w:r>
            <w:r w:rsidR="007A1F34">
              <w:rPr>
                <w:rFonts w:ascii="Verdana" w:hAnsi="Verdana"/>
                <w:color w:val="333333"/>
                <w:szCs w:val="20"/>
              </w:rPr>
              <w:t>s</w:t>
            </w:r>
            <w:r w:rsidR="007A1F34" w:rsidRPr="00CE6A8C">
              <w:rPr>
                <w:rFonts w:ascii="Verdana" w:hAnsi="Verdana"/>
                <w:color w:val="333333"/>
                <w:szCs w:val="20"/>
              </w:rPr>
              <w:t xml:space="preserve"> to the participation of beneficiaries</w:t>
            </w:r>
            <w:r w:rsidR="007A1F34">
              <w:rPr>
                <w:rFonts w:ascii="Verdana" w:hAnsi="Verdana"/>
                <w:color w:val="333333"/>
                <w:szCs w:val="20"/>
              </w:rPr>
              <w:t xml:space="preserve"> (vulnerable jobseekers) in the project’s activities</w:t>
            </w:r>
          </w:p>
        </w:tc>
        <w:tc>
          <w:tcPr>
            <w:tcW w:w="1080" w:type="dxa"/>
          </w:tcPr>
          <w:p w14:paraId="0348661D" w14:textId="57DFB09A" w:rsidR="00C055DB" w:rsidRPr="00C86F7C" w:rsidRDefault="00C055DB" w:rsidP="0084274F">
            <w:pPr>
              <w:rPr>
                <w:rFonts w:cs="Minion Pro"/>
                <w:sz w:val="18"/>
                <w:szCs w:val="18"/>
              </w:rPr>
            </w:pPr>
            <w:r w:rsidRPr="00C86F7C">
              <w:rPr>
                <w:rFonts w:cs="Minion Pro"/>
                <w:sz w:val="18"/>
                <w:szCs w:val="18"/>
              </w:rPr>
              <w:t xml:space="preserve">I = </w:t>
            </w:r>
            <w:r w:rsidR="007A1F34">
              <w:rPr>
                <w:rFonts w:cs="Minion Pro"/>
                <w:sz w:val="18"/>
                <w:szCs w:val="18"/>
              </w:rPr>
              <w:t>H</w:t>
            </w:r>
          </w:p>
          <w:p w14:paraId="0B822867" w14:textId="3B86EF8B" w:rsidR="00C055DB" w:rsidRPr="00C86F7C" w:rsidRDefault="00C055DB" w:rsidP="0084274F">
            <w:pPr>
              <w:rPr>
                <w:sz w:val="18"/>
                <w:szCs w:val="18"/>
              </w:rPr>
            </w:pPr>
            <w:r w:rsidRPr="00C86F7C">
              <w:rPr>
                <w:rFonts w:cs="Minion Pro"/>
                <w:sz w:val="18"/>
                <w:szCs w:val="18"/>
              </w:rPr>
              <w:t xml:space="preserve">P = </w:t>
            </w:r>
            <w:r w:rsidR="007A1F34">
              <w:rPr>
                <w:rFonts w:cs="Minion Pro"/>
                <w:sz w:val="18"/>
                <w:szCs w:val="18"/>
              </w:rPr>
              <w:t>H</w:t>
            </w:r>
          </w:p>
        </w:tc>
        <w:tc>
          <w:tcPr>
            <w:tcW w:w="1170" w:type="dxa"/>
          </w:tcPr>
          <w:p w14:paraId="1B549DF0" w14:textId="42A07B0B" w:rsidR="00C055DB" w:rsidRPr="00372083" w:rsidRDefault="007A1F34" w:rsidP="0084274F">
            <w:pPr>
              <w:rPr>
                <w:b/>
                <w:sz w:val="18"/>
                <w:szCs w:val="18"/>
              </w:rPr>
            </w:pPr>
            <w:r>
              <w:rPr>
                <w:b/>
                <w:sz w:val="18"/>
                <w:szCs w:val="18"/>
              </w:rPr>
              <w:t>H</w:t>
            </w:r>
          </w:p>
        </w:tc>
        <w:tc>
          <w:tcPr>
            <w:tcW w:w="2610" w:type="dxa"/>
            <w:gridSpan w:val="2"/>
          </w:tcPr>
          <w:p w14:paraId="183BB23C" w14:textId="77777777" w:rsidR="00C055DB" w:rsidRPr="00372083" w:rsidRDefault="00C055DB" w:rsidP="0084274F">
            <w:pPr>
              <w:rPr>
                <w:b/>
                <w:sz w:val="18"/>
                <w:szCs w:val="18"/>
              </w:rPr>
            </w:pPr>
          </w:p>
        </w:tc>
        <w:tc>
          <w:tcPr>
            <w:tcW w:w="4770" w:type="dxa"/>
            <w:gridSpan w:val="2"/>
          </w:tcPr>
          <w:p w14:paraId="453158EA" w14:textId="1E28A0E2" w:rsidR="00C055DB" w:rsidRPr="00372083" w:rsidRDefault="007A1F34" w:rsidP="0084274F">
            <w:pPr>
              <w:rPr>
                <w:b/>
                <w:sz w:val="18"/>
                <w:szCs w:val="18"/>
              </w:rPr>
            </w:pPr>
            <w:r>
              <w:rPr>
                <w:rFonts w:ascii="Verdana" w:hAnsi="Verdana"/>
                <w:color w:val="333333"/>
                <w:szCs w:val="20"/>
              </w:rPr>
              <w:t>Collaboration with other social services and integrated-case management approach (referring citizens to other social services).</w:t>
            </w:r>
          </w:p>
        </w:tc>
      </w:tr>
      <w:tr w:rsidR="00C055DB" w14:paraId="112B2C44" w14:textId="77777777" w:rsidTr="002A2BCE">
        <w:tc>
          <w:tcPr>
            <w:tcW w:w="3510" w:type="dxa"/>
            <w:vAlign w:val="center"/>
          </w:tcPr>
          <w:p w14:paraId="7F87DD50" w14:textId="235E2774" w:rsidR="00C055DB" w:rsidRPr="00372083" w:rsidRDefault="00C055DB" w:rsidP="0084274F">
            <w:pPr>
              <w:rPr>
                <w:b/>
                <w:sz w:val="18"/>
                <w:szCs w:val="18"/>
              </w:rPr>
            </w:pPr>
            <w:r>
              <w:rPr>
                <w:sz w:val="18"/>
                <w:szCs w:val="18"/>
              </w:rPr>
              <w:t>Risk 3</w:t>
            </w:r>
            <w:r w:rsidRPr="009B4F2C">
              <w:rPr>
                <w:sz w:val="18"/>
                <w:szCs w:val="18"/>
              </w:rPr>
              <w:t>:</w:t>
            </w:r>
            <w:r w:rsidR="007A1F34">
              <w:rPr>
                <w:sz w:val="18"/>
                <w:szCs w:val="18"/>
              </w:rPr>
              <w:t xml:space="preserve"> </w:t>
            </w:r>
            <w:r w:rsidR="007A1F34">
              <w:rPr>
                <w:rFonts w:ascii="Verdana" w:hAnsi="Verdana"/>
                <w:color w:val="333333"/>
                <w:szCs w:val="20"/>
              </w:rPr>
              <w:t>L</w:t>
            </w:r>
            <w:r w:rsidR="007A1F34" w:rsidRPr="00CE6A8C">
              <w:rPr>
                <w:rFonts w:ascii="Verdana" w:hAnsi="Verdana"/>
                <w:color w:val="333333"/>
                <w:szCs w:val="20"/>
              </w:rPr>
              <w:t>ack of interest of the employment offices’ staff in the project activities</w:t>
            </w:r>
          </w:p>
        </w:tc>
        <w:tc>
          <w:tcPr>
            <w:tcW w:w="1080" w:type="dxa"/>
          </w:tcPr>
          <w:p w14:paraId="1A424585" w14:textId="219D1CC8" w:rsidR="00C055DB" w:rsidRPr="00C86F7C" w:rsidRDefault="00C055DB" w:rsidP="0084274F">
            <w:pPr>
              <w:rPr>
                <w:rFonts w:cs="Minion Pro"/>
                <w:sz w:val="18"/>
                <w:szCs w:val="18"/>
              </w:rPr>
            </w:pPr>
            <w:r w:rsidRPr="00C86F7C">
              <w:rPr>
                <w:rFonts w:cs="Minion Pro"/>
                <w:sz w:val="18"/>
                <w:szCs w:val="18"/>
              </w:rPr>
              <w:t xml:space="preserve">I = </w:t>
            </w:r>
            <w:r w:rsidR="007A1F34">
              <w:rPr>
                <w:rFonts w:cs="Minion Pro"/>
                <w:sz w:val="18"/>
                <w:szCs w:val="18"/>
              </w:rPr>
              <w:t>H</w:t>
            </w:r>
          </w:p>
          <w:p w14:paraId="7B71B1BD" w14:textId="2365D895" w:rsidR="00C055DB" w:rsidRPr="00C86F7C" w:rsidRDefault="00C055DB" w:rsidP="0084274F">
            <w:pPr>
              <w:rPr>
                <w:sz w:val="18"/>
                <w:szCs w:val="18"/>
              </w:rPr>
            </w:pPr>
            <w:r w:rsidRPr="00C86F7C">
              <w:rPr>
                <w:rFonts w:cs="Minion Pro"/>
                <w:sz w:val="18"/>
                <w:szCs w:val="18"/>
              </w:rPr>
              <w:t xml:space="preserve">P = </w:t>
            </w:r>
            <w:r w:rsidR="007A1F34">
              <w:rPr>
                <w:rFonts w:cs="Minion Pro"/>
                <w:sz w:val="18"/>
                <w:szCs w:val="18"/>
              </w:rPr>
              <w:t>M</w:t>
            </w:r>
          </w:p>
        </w:tc>
        <w:tc>
          <w:tcPr>
            <w:tcW w:w="1170" w:type="dxa"/>
          </w:tcPr>
          <w:p w14:paraId="53BCA93A" w14:textId="1532A140" w:rsidR="00C055DB" w:rsidRPr="00372083" w:rsidRDefault="007A1F34" w:rsidP="0084274F">
            <w:pPr>
              <w:rPr>
                <w:b/>
                <w:sz w:val="18"/>
                <w:szCs w:val="18"/>
              </w:rPr>
            </w:pPr>
            <w:r>
              <w:rPr>
                <w:b/>
                <w:sz w:val="18"/>
                <w:szCs w:val="18"/>
              </w:rPr>
              <w:t>M</w:t>
            </w: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199FF3E5" w:rsidR="00C055DB" w:rsidRPr="00372083" w:rsidRDefault="007A1F34" w:rsidP="0084274F">
            <w:pPr>
              <w:rPr>
                <w:b/>
                <w:sz w:val="18"/>
                <w:szCs w:val="18"/>
              </w:rPr>
            </w:pPr>
            <w:r>
              <w:rPr>
                <w:rFonts w:ascii="Verdana" w:hAnsi="Verdana"/>
                <w:color w:val="333333"/>
                <w:szCs w:val="20"/>
              </w:rPr>
              <w:t>Engagement via provision of trainings on newly introduced procedures, as well as that introduction of benefits based on performances. The introduction of such performance-based benefit will be facilitated by the restructuring of NES currently ongoing.</w:t>
            </w: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77777777" w:rsidR="00C055DB" w:rsidRPr="00372083" w:rsidRDefault="00C055DB" w:rsidP="00C055DB">
            <w:pPr>
              <w:ind w:left="-2230" w:firstLine="2230"/>
              <w:rPr>
                <w:b/>
                <w:sz w:val="18"/>
                <w:szCs w:val="18"/>
              </w:rPr>
            </w:pPr>
            <w:r w:rsidRPr="007A1F34">
              <w:rPr>
                <w:rFonts w:ascii="Segoe UI Symbol" w:hAnsi="Segoe UI Symbol" w:cs="Segoe UI Symbol"/>
                <w:b/>
                <w:szCs w:val="20"/>
                <w:highlight w:val="black"/>
              </w:rPr>
              <w:t>☐</w:t>
            </w:r>
          </w:p>
        </w:tc>
        <w:tc>
          <w:tcPr>
            <w:tcW w:w="4747" w:type="dxa"/>
          </w:tcPr>
          <w:p w14:paraId="6C195903" w14:textId="77777777" w:rsidR="00C055DB" w:rsidRPr="00372083" w:rsidRDefault="00C055DB" w:rsidP="00C055DB">
            <w:pPr>
              <w:rPr>
                <w:b/>
                <w:sz w:val="18"/>
                <w:szCs w:val="18"/>
              </w:rPr>
            </w:pP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7A1F34">
              <w:rPr>
                <w:rFonts w:ascii="Segoe UI Symbol" w:hAnsi="Segoe UI Symbol" w:cs="Segoe UI Symbol"/>
                <w:b/>
                <w:szCs w:val="20"/>
                <w:highlight w:val="black"/>
              </w:rPr>
              <w:t>☐</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7A1F34">
              <w:rPr>
                <w:rFonts w:ascii="Segoe UI Symbol" w:hAnsi="Segoe UI Symbol" w:cs="Segoe UI Symbol"/>
                <w:b/>
                <w:szCs w:val="20"/>
                <w:highlight w:val="black"/>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10C58BD0" w:rsidR="008F36AD" w:rsidRPr="002E0918" w:rsidRDefault="00687042"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0591732C" w:rsidR="00F07AAC" w:rsidRPr="002E0918" w:rsidRDefault="00687042"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37FC12D6" w:rsidR="00F07AAC" w:rsidRPr="002E0918" w:rsidRDefault="00687042"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5C6B69E4" w:rsidR="00F07AAC" w:rsidRPr="002E0918" w:rsidRDefault="00687042"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4F58769D" w:rsidR="00F07AAC" w:rsidRPr="002E0918" w:rsidRDefault="00687042" w:rsidP="00687042">
            <w:pPr>
              <w:tabs>
                <w:tab w:val="left" w:pos="810"/>
              </w:tabs>
              <w:rPr>
                <w:sz w:val="18"/>
                <w:szCs w:val="18"/>
              </w:rPr>
            </w:pPr>
            <w:r>
              <w:rPr>
                <w:sz w:val="18"/>
                <w:szCs w:val="18"/>
              </w:rPr>
              <w:t>No</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0CE9AF34" w:rsidR="00F07AAC" w:rsidRPr="002E0918" w:rsidRDefault="00687042"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7B710FE0" w:rsidR="00F07AAC" w:rsidRPr="002E0918" w:rsidRDefault="00687042"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3B7B02C8" w:rsidR="00F07AAC" w:rsidRPr="002E0918" w:rsidRDefault="00687042"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6A4D0741" w:rsidR="00F07AAC" w:rsidRPr="002E0918" w:rsidRDefault="00296145"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81C424C" w:rsidR="00F07AAC" w:rsidRPr="002E0918" w:rsidRDefault="00296145"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5F2836D9" w:rsidR="008A7431" w:rsidRPr="002E0918" w:rsidRDefault="00296145"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24CD097C" w:rsidR="00F07AAC" w:rsidRPr="002E0918" w:rsidRDefault="00296145"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68F1AE0A" w:rsidR="00F07AAC" w:rsidRPr="00310835" w:rsidRDefault="00296145"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39521DA2" w:rsidR="00F07AAC" w:rsidRPr="00310835" w:rsidRDefault="00296145"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1E47A738" w:rsidR="00F07AAC" w:rsidRPr="00310835" w:rsidRDefault="00296145"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3DE6E13E" w:rsidR="00C32720" w:rsidRPr="00310835" w:rsidRDefault="00296145"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5D5BCF74" w:rsidR="00F07AAC" w:rsidRPr="00310835" w:rsidRDefault="00296145"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26327D5E" w:rsidR="00F07AAC" w:rsidRPr="00310835" w:rsidRDefault="00296145"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7A004C06" w:rsidR="00F07AAC" w:rsidRPr="00310835" w:rsidRDefault="00296145"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787169F4" w:rsidR="00F07AAC" w:rsidRPr="00310835" w:rsidRDefault="00296145"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31FAA582"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77AC4D68"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28227F2D"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4E75A682"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128195CE"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105CCBBE"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5300EB93"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655A3F0A"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52315E44"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4AFA254D"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7975E990"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3B8E3D69"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5AD6C7F9"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7CC28BB2"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4E762F9D"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270D6EEE"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49657295"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53E99AF7"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43EAD198"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4"/>
            </w:r>
          </w:p>
        </w:tc>
        <w:tc>
          <w:tcPr>
            <w:tcW w:w="833" w:type="dxa"/>
            <w:tcBorders>
              <w:bottom w:val="single" w:sz="4" w:space="0" w:color="auto"/>
            </w:tcBorders>
            <w:shd w:val="clear" w:color="auto" w:fill="auto"/>
          </w:tcPr>
          <w:p w14:paraId="4D256CA7" w14:textId="22778239"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5DCB7B8E"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624FCEED"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2AC239DC"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783265A4"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407231AD"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77E87F4E"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2D68BBCA"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25F8EFF4"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5A1A26A0"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3848B0CD"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57B378CB" w:rsidR="00F07AAC" w:rsidRPr="00310835" w:rsidRDefault="00296145"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1B2DF929" w:rsidR="00F07AAC" w:rsidRPr="00310835" w:rsidRDefault="00296145"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4DBC6592" w:rsidR="00F07AAC" w:rsidRPr="00310835" w:rsidRDefault="00296145"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4F917D69"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1B850A27" w:rsidR="00F07AAC" w:rsidRPr="00310835" w:rsidRDefault="00296145"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F171" w14:textId="77777777" w:rsidR="00A407FD" w:rsidRDefault="00A407FD" w:rsidP="00323A56">
      <w:r>
        <w:separator/>
      </w:r>
    </w:p>
  </w:endnote>
  <w:endnote w:type="continuationSeparator" w:id="0">
    <w:p w14:paraId="47456D89" w14:textId="77777777" w:rsidR="00A407FD" w:rsidRDefault="00A407FD"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panose1 w:val="020B0300000000000000"/>
    <w:charset w:val="80"/>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inion Pro">
    <w:panose1 w:val="020B0604020202020204"/>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145">
      <w:rPr>
        <w:rStyle w:val="PageNumber"/>
        <w:noProof/>
      </w:rPr>
      <w:t>5</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EB6D" w14:textId="77777777" w:rsidR="00A407FD" w:rsidRDefault="00A407FD" w:rsidP="00323A56">
      <w:r>
        <w:separator/>
      </w:r>
    </w:p>
  </w:footnote>
  <w:footnote w:type="continuationSeparator" w:id="0">
    <w:p w14:paraId="519855DA" w14:textId="77777777" w:rsidR="00A407FD" w:rsidRDefault="00A407FD" w:rsidP="00323A56">
      <w:r>
        <w:continuationSeparator/>
      </w:r>
    </w:p>
  </w:footnote>
  <w:footnote w:id="1">
    <w:p w14:paraId="18C46332" w14:textId="77777777" w:rsidR="00C20FDA" w:rsidRPr="003C7AAE" w:rsidRDefault="00C20FDA" w:rsidP="00C20FDA">
      <w:pPr>
        <w:pStyle w:val="FootnoteText"/>
      </w:pPr>
      <w:r>
        <w:rPr>
          <w:rStyle w:val="FootnoteReference"/>
        </w:rPr>
        <w:footnoteRef/>
      </w:r>
      <w:r>
        <w:t xml:space="preserve"> </w:t>
      </w:r>
      <w:r w:rsidRPr="003C7AAE">
        <w:t>http://data.uis.unesco.org/index.aspx?queryid=168#</w:t>
      </w:r>
    </w:p>
  </w:footnote>
  <w:footnote w:id="2">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EF0"/>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4CD"/>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49A"/>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145"/>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042"/>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34"/>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1C22"/>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542"/>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07FD"/>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0FDA"/>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44C"/>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6BE"/>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4D89"/>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323A56"/>
    <w:rPr>
      <w:rFonts w:ascii="Calibri" w:eastAsia="MS Mincho" w:hAnsi="Calibri" w:cs="Times New Roman"/>
      <w:sz w:val="18"/>
      <w:szCs w:val="24"/>
    </w:rPr>
  </w:style>
  <w:style w:type="character" w:styleId="FootnoteReference">
    <w:name w:val="footnote reference"/>
    <w:aliases w:val="16 Point,Superscript 6 Point,Footnote symbol,Footnote reference number,Times 10 Point,Exposant 3 Point,EN Footnote Reference,note TESI, BVI fnr,Voetnootverwijzing,Footnote Reference Superscript,BVI fnr,Odwołanie przypisu,Footnote,number"/>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4860">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1791586824">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ATLASPDC-4-155797</_dlc_DocId>
    <_dlc_DocIdUrl xmlns="f1161f5b-24a3-4c2d-bc81-44cb9325e8ee">
      <Url>https://info.undp.org/docs/pdc/_layouts/DocIdRedir.aspx?ID=ATLASPDC-4-155797</Url>
      <Description>ATLASPDC-4-155797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55866A-0537-4D08-8829-C3F39EA16597}"/>
</file>

<file path=customXml/itemProps2.xml><?xml version="1.0" encoding="utf-8"?>
<ds:datastoreItem xmlns:ds="http://schemas.openxmlformats.org/officeDocument/2006/customXml" ds:itemID="{73125880-593F-40C7-B85D-AB7713BF3F3A}">
  <ds:schemaRefs>
    <ds:schemaRef ds:uri="http://schemas.openxmlformats.org/officeDocument/2006/bibliography"/>
  </ds:schemaRefs>
</ds:datastoreItem>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s>
</ds:datastoreItem>
</file>

<file path=customXml/itemProps4.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5.xml><?xml version="1.0" encoding="utf-8"?>
<ds:datastoreItem xmlns:ds="http://schemas.openxmlformats.org/officeDocument/2006/customXml" ds:itemID="{E77459FD-6E1D-47B2-8B4B-4F671256AE6C}"/>
</file>

<file path=docProps/app.xml><?xml version="1.0" encoding="utf-8"?>
<Properties xmlns="http://schemas.openxmlformats.org/officeDocument/2006/extended-properties" xmlns:vt="http://schemas.openxmlformats.org/officeDocument/2006/docPropsVTypes">
  <Template>Normal.dotm</Template>
  <TotalTime>29</TotalTime>
  <Pages>8</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Ada Shima</cp:lastModifiedBy>
  <cp:revision>4</cp:revision>
  <cp:lastPrinted>2014-12-09T19:35:00Z</cp:lastPrinted>
  <dcterms:created xsi:type="dcterms:W3CDTF">2020-10-05T14:22:00Z</dcterms:created>
  <dcterms:modified xsi:type="dcterms:W3CDTF">2020-10-06T14:02:00Z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(SES)|7a9dffd9-0b1f-4966-9938-9886c04c9893;#1176;#ALB|e7390ae4-a8ff-47c4-ac36-ca7bf485c156;#1;#English|7f98b732-4b5b-4b70-ba90-a0eff09b5d2d;#763;#Draft|121d40a5-e62e-4d42-82e4-d6d12003de0a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ALB|e7390ae4-a8ff-47c4-ac36-ca7bf485c156</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1176;#ALB|e7390ae4-a8ff-47c4-ac36-ca7bf485c156</vt:lpwstr>
  </property>
  <property fmtid="{D5CDD505-2E9C-101B-9397-08002B2CF9AE}" pid="14" name="_dlc_DocIdItemGuid">
    <vt:lpwstr>ca957d62-6481-44ce-987b-1a5dc7d239f5</vt:lpwstr>
  </property>
  <property fmtid="{D5CDD505-2E9C-101B-9397-08002B2CF9AE}" pid="15" name="Atlas Document Type">
    <vt:lpwstr>1189;#Social and Environmental Standards (SES)|7a9dffd9-0b1f-4966-9938-9886c04c9893</vt:lpwstr>
  </property>
  <property fmtid="{D5CDD505-2E9C-101B-9397-08002B2CF9AE}" pid="16" name="UndpProjectNo">
    <vt:lpwstr>129705</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