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FD21" w14:textId="77777777" w:rsidR="007A7720" w:rsidRDefault="007A7720" w:rsidP="007A7720">
      <w:pPr>
        <w:pStyle w:val="Heading1"/>
        <w:numPr>
          <w:ilvl w:val="0"/>
          <w:numId w:val="0"/>
        </w:numPr>
      </w:pPr>
      <w:bookmarkStart w:id="0" w:name="_Toc404528201"/>
      <w:r>
        <w:t>Social and Environmental Screening Template</w:t>
      </w:r>
      <w:bookmarkEnd w:id="0"/>
    </w:p>
    <w:p w14:paraId="7CF0D232" w14:textId="77777777" w:rsidR="007A7720" w:rsidRDefault="007A7720" w:rsidP="00DD330A">
      <w:pPr>
        <w:rPr>
          <w:i/>
          <w:szCs w:val="20"/>
        </w:rPr>
      </w:pPr>
    </w:p>
    <w:p w14:paraId="3DBCC7FE"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0E51309F"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5BC2F2F7"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596CDC3C" w14:textId="77777777" w:rsidTr="00AC2066">
        <w:tc>
          <w:tcPr>
            <w:tcW w:w="3325" w:type="dxa"/>
            <w:shd w:val="clear" w:color="auto" w:fill="C6D9F1" w:themeFill="text2" w:themeFillTint="33"/>
            <w:vAlign w:val="center"/>
          </w:tcPr>
          <w:p w14:paraId="60EFD834"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6C462100" w14:textId="77777777" w:rsidR="00DD330A" w:rsidRPr="00414FBA" w:rsidRDefault="00DD330A" w:rsidP="0084274F">
            <w:pPr>
              <w:rPr>
                <w:i/>
                <w:color w:val="000000" w:themeColor="text1"/>
                <w:szCs w:val="20"/>
              </w:rPr>
            </w:pPr>
          </w:p>
        </w:tc>
      </w:tr>
      <w:tr w:rsidR="00DD330A" w:rsidRPr="00450804" w14:paraId="20175E4B" w14:textId="77777777" w:rsidTr="00933444">
        <w:trPr>
          <w:trHeight w:val="288"/>
        </w:trPr>
        <w:tc>
          <w:tcPr>
            <w:tcW w:w="3325" w:type="dxa"/>
            <w:vAlign w:val="center"/>
          </w:tcPr>
          <w:p w14:paraId="4049BE8B"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681F9EAE" w14:textId="1A3C2099" w:rsidR="00DD330A" w:rsidRPr="00450804" w:rsidRDefault="00DE732C" w:rsidP="0084274F">
            <w:pPr>
              <w:rPr>
                <w:sz w:val="18"/>
                <w:szCs w:val="18"/>
              </w:rPr>
            </w:pPr>
            <w:r w:rsidRPr="00DE732C">
              <w:rPr>
                <w:i/>
                <w:szCs w:val="20"/>
              </w:rPr>
              <w:t>Strengthening the Role of Local Communities/Mjesne Zajednice in Bosnia and Herzegovina 2020–2024 (Phase II)</w:t>
            </w:r>
          </w:p>
        </w:tc>
      </w:tr>
      <w:tr w:rsidR="00DD330A" w:rsidRPr="00450804" w14:paraId="2DF20145" w14:textId="77777777" w:rsidTr="00AC2066">
        <w:trPr>
          <w:trHeight w:val="288"/>
        </w:trPr>
        <w:tc>
          <w:tcPr>
            <w:tcW w:w="3325" w:type="dxa"/>
            <w:vAlign w:val="center"/>
          </w:tcPr>
          <w:p w14:paraId="3B8917FF"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56A66AF" w14:textId="0B03ADAF" w:rsidR="00DD330A" w:rsidRPr="00450804" w:rsidRDefault="00933444" w:rsidP="0084274F">
            <w:pPr>
              <w:rPr>
                <w:sz w:val="18"/>
                <w:szCs w:val="18"/>
              </w:rPr>
            </w:pPr>
            <w:r>
              <w:rPr>
                <w:sz w:val="18"/>
                <w:szCs w:val="18"/>
              </w:rPr>
              <w:t>BiH10/00097541</w:t>
            </w:r>
          </w:p>
        </w:tc>
      </w:tr>
      <w:tr w:rsidR="00DD330A" w:rsidRPr="00450804" w14:paraId="617E4BAF" w14:textId="77777777" w:rsidTr="00933444">
        <w:trPr>
          <w:trHeight w:val="70"/>
        </w:trPr>
        <w:tc>
          <w:tcPr>
            <w:tcW w:w="3325" w:type="dxa"/>
            <w:vAlign w:val="center"/>
          </w:tcPr>
          <w:p w14:paraId="382788A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5FB29801" w14:textId="378F3254" w:rsidR="00DD330A" w:rsidRPr="00450804" w:rsidRDefault="00933444" w:rsidP="0084274F">
            <w:pPr>
              <w:rPr>
                <w:sz w:val="18"/>
                <w:szCs w:val="18"/>
              </w:rPr>
            </w:pPr>
            <w:r>
              <w:rPr>
                <w:sz w:val="18"/>
                <w:szCs w:val="18"/>
              </w:rPr>
              <w:t>Bosnia and Herzegovina</w:t>
            </w:r>
          </w:p>
        </w:tc>
      </w:tr>
    </w:tbl>
    <w:p w14:paraId="452A52F0" w14:textId="77777777" w:rsidR="00DD330A" w:rsidRDefault="00DD330A" w:rsidP="00DD330A">
      <w:pPr>
        <w:tabs>
          <w:tab w:val="left" w:pos="360"/>
        </w:tabs>
        <w:rPr>
          <w:szCs w:val="20"/>
        </w:rPr>
      </w:pPr>
    </w:p>
    <w:p w14:paraId="03BC9D47"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75EA6955"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3FB020E5" w14:textId="77777777" w:rsidTr="001A0CAF">
        <w:trPr>
          <w:trHeight w:val="449"/>
        </w:trPr>
        <w:tc>
          <w:tcPr>
            <w:tcW w:w="13248" w:type="dxa"/>
            <w:shd w:val="clear" w:color="auto" w:fill="0F243E" w:themeFill="text2" w:themeFillShade="80"/>
            <w:vAlign w:val="center"/>
          </w:tcPr>
          <w:p w14:paraId="3CD7D917"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64D4DF91" w14:textId="77777777" w:rsidTr="00414FBA">
        <w:tc>
          <w:tcPr>
            <w:tcW w:w="13248" w:type="dxa"/>
            <w:shd w:val="clear" w:color="auto" w:fill="C6D9F1" w:themeFill="text2" w:themeFillTint="33"/>
          </w:tcPr>
          <w:p w14:paraId="62EACD5A"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5137290B" w14:textId="77777777" w:rsidTr="0087589A">
        <w:tc>
          <w:tcPr>
            <w:tcW w:w="13248" w:type="dxa"/>
          </w:tcPr>
          <w:p w14:paraId="376DCE1A" w14:textId="1EC4A504" w:rsidR="00303F71" w:rsidRPr="008153DA" w:rsidRDefault="00303F71" w:rsidP="008153DA">
            <w:pPr>
              <w:tabs>
                <w:tab w:val="left" w:pos="432"/>
              </w:tabs>
              <w:spacing w:before="60" w:after="60"/>
              <w:rPr>
                <w:rFonts w:eastAsia="Times New Roman"/>
                <w:bCs/>
                <w:iCs/>
                <w:sz w:val="18"/>
                <w:szCs w:val="18"/>
              </w:rPr>
            </w:pPr>
            <w:r w:rsidRPr="008153DA">
              <w:rPr>
                <w:rFonts w:eastAsia="Times New Roman"/>
                <w:bCs/>
                <w:iCs/>
                <w:sz w:val="18"/>
                <w:szCs w:val="18"/>
              </w:rPr>
              <w:t>The overall goal of the second Project phase is to improve the quality of life of the citizens of Bosnia and Herzegovina through empowered, gender responsive local communities (MZs) that facilitate active citizen engagement in public life, stand for people-</w:t>
            </w:r>
            <w:r w:rsidR="008153DA" w:rsidRPr="008153DA">
              <w:rPr>
                <w:rFonts w:eastAsia="Times New Roman"/>
                <w:bCs/>
                <w:iCs/>
                <w:sz w:val="18"/>
                <w:szCs w:val="18"/>
              </w:rPr>
              <w:t>centered</w:t>
            </w:r>
            <w:r w:rsidRPr="008153DA">
              <w:rPr>
                <w:rFonts w:eastAsia="Times New Roman"/>
                <w:bCs/>
                <w:iCs/>
                <w:sz w:val="18"/>
                <w:szCs w:val="18"/>
              </w:rPr>
              <w:t xml:space="preserve"> performance of local governments and </w:t>
            </w:r>
            <w:r w:rsidR="008153DA" w:rsidRPr="008153DA">
              <w:rPr>
                <w:rFonts w:eastAsia="Times New Roman"/>
                <w:bCs/>
                <w:iCs/>
                <w:sz w:val="18"/>
                <w:szCs w:val="18"/>
              </w:rPr>
              <w:t>catalyze</w:t>
            </w:r>
            <w:r w:rsidRPr="008153DA">
              <w:rPr>
                <w:rFonts w:eastAsia="Times New Roman"/>
                <w:bCs/>
                <w:iCs/>
                <w:sz w:val="18"/>
                <w:szCs w:val="18"/>
              </w:rPr>
              <w:t xml:space="preserve"> democratic transformation at the local level. The Project focuses on encouraging community led local development and </w:t>
            </w:r>
            <w:r w:rsidR="00C3615E" w:rsidRPr="008153DA">
              <w:rPr>
                <w:rFonts w:eastAsia="Times New Roman"/>
                <w:bCs/>
                <w:iCs/>
                <w:sz w:val="18"/>
                <w:szCs w:val="18"/>
              </w:rPr>
              <w:t>revitalizing</w:t>
            </w:r>
            <w:r w:rsidRPr="008153DA">
              <w:rPr>
                <w:rFonts w:eastAsia="Times New Roman"/>
                <w:bCs/>
                <w:iCs/>
                <w:sz w:val="18"/>
                <w:szCs w:val="18"/>
              </w:rPr>
              <w:t xml:space="preserve"> community governance through </w:t>
            </w:r>
            <w:proofErr w:type="spellStart"/>
            <w:r w:rsidRPr="008153DA">
              <w:rPr>
                <w:rFonts w:eastAsia="Times New Roman"/>
                <w:bCs/>
                <w:iCs/>
                <w:sz w:val="18"/>
                <w:szCs w:val="18"/>
              </w:rPr>
              <w:t>mjesne</w:t>
            </w:r>
            <w:proofErr w:type="spellEnd"/>
            <w:r w:rsidRPr="008153DA">
              <w:rPr>
                <w:rFonts w:eastAsia="Times New Roman"/>
                <w:bCs/>
                <w:iCs/>
                <w:sz w:val="18"/>
                <w:szCs w:val="18"/>
              </w:rPr>
              <w:t xml:space="preserve"> </w:t>
            </w:r>
            <w:proofErr w:type="spellStart"/>
            <w:r w:rsidRPr="008153DA">
              <w:rPr>
                <w:rFonts w:eastAsia="Times New Roman"/>
                <w:bCs/>
                <w:iCs/>
                <w:sz w:val="18"/>
                <w:szCs w:val="18"/>
              </w:rPr>
              <w:t>zajednice</w:t>
            </w:r>
            <w:proofErr w:type="spellEnd"/>
            <w:r w:rsidRPr="008153DA">
              <w:rPr>
                <w:rFonts w:eastAsia="Times New Roman"/>
                <w:bCs/>
                <w:iCs/>
                <w:sz w:val="18"/>
                <w:szCs w:val="18"/>
              </w:rPr>
              <w:t xml:space="preserve"> in order to achieve this goal. Mjesne </w:t>
            </w:r>
            <w:proofErr w:type="spellStart"/>
            <w:r w:rsidRPr="008153DA">
              <w:rPr>
                <w:rFonts w:eastAsia="Times New Roman"/>
                <w:bCs/>
                <w:iCs/>
                <w:sz w:val="18"/>
                <w:szCs w:val="18"/>
              </w:rPr>
              <w:t>zajednice</w:t>
            </w:r>
            <w:proofErr w:type="spellEnd"/>
            <w:r w:rsidRPr="008153DA">
              <w:rPr>
                <w:rFonts w:eastAsia="Times New Roman"/>
                <w:bCs/>
                <w:iCs/>
                <w:sz w:val="18"/>
                <w:szCs w:val="18"/>
              </w:rPr>
              <w:t xml:space="preserve"> is the smallest administrative unit for direct government engagement with citizens in Bosnia and Herzegovina. The goal of the first phase of the Project has been achieved with significant and measurable progress made toward achieving the three original Project outcomes and their related outputs.</w:t>
            </w:r>
          </w:p>
          <w:p w14:paraId="5F7F3D2B" w14:textId="77777777" w:rsidR="005D6527" w:rsidRPr="008153DA" w:rsidRDefault="005D6527" w:rsidP="008153DA">
            <w:pPr>
              <w:tabs>
                <w:tab w:val="left" w:pos="432"/>
              </w:tabs>
              <w:spacing w:before="60" w:after="60"/>
              <w:rPr>
                <w:rFonts w:eastAsia="Times New Roman"/>
                <w:bCs/>
                <w:iCs/>
                <w:sz w:val="18"/>
                <w:szCs w:val="18"/>
              </w:rPr>
            </w:pPr>
            <w:r w:rsidRPr="008153DA">
              <w:rPr>
                <w:rFonts w:eastAsia="Times New Roman"/>
                <w:bCs/>
                <w:iCs/>
                <w:sz w:val="18"/>
                <w:szCs w:val="18"/>
              </w:rPr>
              <w:t xml:space="preserve">The Project will frame its work on the basis of the belief that people experience discrimination and poverty not only as a lack of income and lack of access to resources but also as a lack of social services, such as education or health care, stigma, or as a lack of dignity and participation in a community. Hence, the fight against discrimination in all its dimensions at the MZ level is a matter of civil, cultural, economic, political and social rights for all people.  </w:t>
            </w:r>
          </w:p>
          <w:p w14:paraId="2F5A78F5" w14:textId="77777777" w:rsidR="005D6527" w:rsidRPr="008153DA" w:rsidRDefault="005D6527" w:rsidP="008153DA">
            <w:pPr>
              <w:tabs>
                <w:tab w:val="left" w:pos="432"/>
              </w:tabs>
              <w:spacing w:before="60" w:after="60"/>
              <w:rPr>
                <w:rFonts w:eastAsia="Times New Roman"/>
                <w:bCs/>
                <w:iCs/>
                <w:sz w:val="18"/>
                <w:szCs w:val="18"/>
              </w:rPr>
            </w:pPr>
            <w:r w:rsidRPr="008153DA">
              <w:rPr>
                <w:rFonts w:eastAsia="Times New Roman"/>
                <w:bCs/>
                <w:iCs/>
                <w:sz w:val="18"/>
                <w:szCs w:val="18"/>
              </w:rPr>
              <w:t xml:space="preserve">The Project will encourage MZs and local governments to ground their decisions on </w:t>
            </w:r>
            <w:r w:rsidRPr="008153DA">
              <w:rPr>
                <w:rFonts w:eastAsia="Times New Roman"/>
                <w:b/>
                <w:iCs/>
                <w:sz w:val="18"/>
                <w:szCs w:val="18"/>
              </w:rPr>
              <w:t>the principles of non-discrimination, participation and accountability</w:t>
            </w:r>
            <w:r w:rsidRPr="008153DA">
              <w:rPr>
                <w:rFonts w:eastAsia="Times New Roman"/>
                <w:bCs/>
                <w:iCs/>
                <w:sz w:val="18"/>
                <w:szCs w:val="18"/>
              </w:rPr>
              <w:t xml:space="preserve">. Similarly, higher-level authorities will be encouraged to mainstream </w:t>
            </w:r>
            <w:r w:rsidRPr="008153DA">
              <w:rPr>
                <w:rFonts w:eastAsia="Times New Roman"/>
                <w:b/>
                <w:iCs/>
                <w:sz w:val="18"/>
                <w:szCs w:val="18"/>
              </w:rPr>
              <w:t>human rights into new policies</w:t>
            </w:r>
            <w:r w:rsidRPr="008153DA">
              <w:rPr>
                <w:rFonts w:eastAsia="Times New Roman"/>
                <w:bCs/>
                <w:iCs/>
                <w:sz w:val="18"/>
                <w:szCs w:val="18"/>
              </w:rPr>
              <w:t>. In practical terms this means that the Project will support local and higher-level government partners – the duty bearers – to design and implement policies and public frameworks considering realization of rights of all people, particularly of the most marginalized and vulnerable groups. In parallel, the Project will also support citizens and communities – rights holders – in their right to participate in the development process.</w:t>
            </w:r>
          </w:p>
          <w:p w14:paraId="5591B0C4" w14:textId="57036348" w:rsidR="005D6527" w:rsidRPr="008C711F" w:rsidRDefault="00812C57" w:rsidP="009510AA">
            <w:pPr>
              <w:spacing w:before="60"/>
              <w:rPr>
                <w:sz w:val="18"/>
                <w:szCs w:val="18"/>
              </w:rPr>
            </w:pPr>
            <w:r>
              <w:rPr>
                <w:sz w:val="18"/>
                <w:szCs w:val="18"/>
              </w:rPr>
              <w:t xml:space="preserve">   </w:t>
            </w:r>
          </w:p>
        </w:tc>
      </w:tr>
      <w:tr w:rsidR="00414FBA" w:rsidRPr="003843AE" w14:paraId="29A5E583" w14:textId="77777777" w:rsidTr="00414FBA">
        <w:trPr>
          <w:trHeight w:val="296"/>
        </w:trPr>
        <w:tc>
          <w:tcPr>
            <w:tcW w:w="13248" w:type="dxa"/>
            <w:shd w:val="clear" w:color="auto" w:fill="C6D9F1" w:themeFill="text2" w:themeFillTint="33"/>
          </w:tcPr>
          <w:p w14:paraId="4C2E5CAB"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51A0F04F" w14:textId="77777777" w:rsidTr="0087589A">
        <w:tc>
          <w:tcPr>
            <w:tcW w:w="13248" w:type="dxa"/>
          </w:tcPr>
          <w:p w14:paraId="00FB56A8" w14:textId="5F3D7A78" w:rsidR="00D14A20" w:rsidRPr="008153DA" w:rsidRDefault="00D14A20" w:rsidP="00D14A20">
            <w:pPr>
              <w:autoSpaceDE w:val="0"/>
              <w:autoSpaceDN w:val="0"/>
              <w:adjustRightInd w:val="0"/>
              <w:spacing w:before="120" w:after="120"/>
              <w:rPr>
                <w:rFonts w:eastAsia="Times New Roman"/>
                <w:bCs/>
                <w:iCs/>
                <w:sz w:val="18"/>
                <w:szCs w:val="18"/>
              </w:rPr>
            </w:pPr>
            <w:r w:rsidRPr="008153DA">
              <w:rPr>
                <w:rFonts w:eastAsia="Times New Roman"/>
                <w:bCs/>
                <w:iCs/>
                <w:sz w:val="18"/>
                <w:szCs w:val="18"/>
              </w:rPr>
              <w:lastRenderedPageBreak/>
              <w:t>Gender equality principles are at the core of the mandate of both Swiss and Swedish Governments, while UNDP with its corporate Gender Equality Strategy (2018-2021)</w:t>
            </w:r>
            <w:r w:rsidRPr="008153DA">
              <w:rPr>
                <w:rFonts w:eastAsia="Times New Roman"/>
                <w:bCs/>
                <w:iCs/>
                <w:sz w:val="18"/>
                <w:szCs w:val="18"/>
              </w:rPr>
              <w:footnoteReference w:id="1"/>
            </w:r>
            <w:r w:rsidRPr="008153DA">
              <w:rPr>
                <w:rFonts w:eastAsia="Times New Roman"/>
                <w:bCs/>
                <w:iCs/>
                <w:sz w:val="18"/>
                <w:szCs w:val="18"/>
              </w:rPr>
              <w:t xml:space="preserve"> puts forward the promotion of gender equality and the empowerment of women at the </w:t>
            </w:r>
            <w:r w:rsidR="00C3615E" w:rsidRPr="008153DA">
              <w:rPr>
                <w:rFonts w:eastAsia="Times New Roman"/>
                <w:bCs/>
                <w:iCs/>
                <w:sz w:val="18"/>
                <w:szCs w:val="18"/>
              </w:rPr>
              <w:t>center</w:t>
            </w:r>
            <w:r w:rsidRPr="008153DA">
              <w:rPr>
                <w:rFonts w:eastAsia="Times New Roman"/>
                <w:bCs/>
                <w:iCs/>
                <w:sz w:val="18"/>
                <w:szCs w:val="18"/>
              </w:rPr>
              <w:t xml:space="preserve"> of its development approach. Gender equality is one of UNDP’s 6 Signature Solutions</w:t>
            </w:r>
            <w:r w:rsidRPr="008153DA">
              <w:rPr>
                <w:rFonts w:eastAsia="Times New Roman"/>
                <w:bCs/>
                <w:iCs/>
                <w:sz w:val="18"/>
                <w:szCs w:val="18"/>
              </w:rPr>
              <w:footnoteReference w:id="2"/>
            </w:r>
            <w:r w:rsidRPr="008153DA">
              <w:rPr>
                <w:rFonts w:eastAsia="Times New Roman"/>
                <w:bCs/>
                <w:iCs/>
                <w:sz w:val="18"/>
                <w:szCs w:val="18"/>
              </w:rPr>
              <w:t xml:space="preserve"> for achieving the Agenda 2030, which envisions a world “of universal respect for human rights and human dignity” in which “every woman and girl enjoys full gender equality and all legal, social and economic barriers to their empowerment have been removed.” The SDG 5 focuses exclusively on gender with 9</w:t>
            </w:r>
            <w:r w:rsidRPr="008153DA">
              <w:rPr>
                <w:rFonts w:eastAsia="Times New Roman"/>
                <w:bCs/>
                <w:iCs/>
                <w:sz w:val="18"/>
                <w:szCs w:val="18"/>
              </w:rPr>
              <w:footnoteReference w:id="3"/>
            </w:r>
            <w:r w:rsidRPr="008153DA">
              <w:rPr>
                <w:rFonts w:eastAsia="Times New Roman"/>
                <w:bCs/>
                <w:iCs/>
                <w:sz w:val="18"/>
                <w:szCs w:val="18"/>
              </w:rPr>
              <w:t xml:space="preserve"> gender equality targets, while gender is also a cross-cutting issue, with 24 gender targets across 11 SDGs clustered for high impact. The breadth of the agenda implies a need to go beyond silos and take an integrated approach to development interventions and gender equality - is no longer content with reducing gender inequality but pushes toward its elimination. The Project has been demonstrating how these concepts can be applied in practice, as </w:t>
            </w:r>
            <w:r w:rsidRPr="00494B0E">
              <w:rPr>
                <w:rFonts w:eastAsia="Times New Roman"/>
                <w:b/>
                <w:iCs/>
                <w:sz w:val="18"/>
                <w:szCs w:val="18"/>
              </w:rPr>
              <w:t>community level has proven as an effective entry point for tackling the root causes of gender inequality</w:t>
            </w:r>
            <w:r w:rsidRPr="008153DA">
              <w:rPr>
                <w:rFonts w:eastAsia="Times New Roman"/>
                <w:bCs/>
                <w:iCs/>
                <w:sz w:val="18"/>
                <w:szCs w:val="18"/>
              </w:rPr>
              <w:t xml:space="preserve">, activating agency and releasing leadership potential of women, as well as addressing the last mile of exclusion. </w:t>
            </w:r>
          </w:p>
          <w:p w14:paraId="453824A7" w14:textId="77777777" w:rsidR="00D14A20" w:rsidRPr="008153DA" w:rsidRDefault="00D14A20" w:rsidP="00D14A20">
            <w:pPr>
              <w:autoSpaceDE w:val="0"/>
              <w:autoSpaceDN w:val="0"/>
              <w:adjustRightInd w:val="0"/>
              <w:spacing w:before="120" w:after="120"/>
              <w:rPr>
                <w:rFonts w:eastAsia="Times New Roman"/>
                <w:bCs/>
                <w:iCs/>
                <w:sz w:val="18"/>
                <w:szCs w:val="18"/>
              </w:rPr>
            </w:pPr>
            <w:r w:rsidRPr="008153DA">
              <w:rPr>
                <w:rFonts w:eastAsia="Times New Roman"/>
                <w:bCs/>
                <w:iCs/>
                <w:sz w:val="18"/>
                <w:szCs w:val="18"/>
              </w:rPr>
              <w:t xml:space="preserve">The Project will give emphasis to working with </w:t>
            </w:r>
            <w:r w:rsidRPr="00494B0E">
              <w:rPr>
                <w:rFonts w:eastAsia="Times New Roman"/>
                <w:b/>
                <w:iCs/>
                <w:sz w:val="18"/>
                <w:szCs w:val="18"/>
              </w:rPr>
              <w:t>motivated agents of change</w:t>
            </w:r>
            <w:r w:rsidRPr="008153DA">
              <w:rPr>
                <w:rFonts w:eastAsia="Times New Roman"/>
                <w:bCs/>
                <w:iCs/>
                <w:sz w:val="18"/>
                <w:szCs w:val="18"/>
              </w:rPr>
              <w:t>. The success of the Project will to a large extent depend on a motivated political leadership in partner LGs. Therefore, the forthcoming Local Elections in 2020 may represent a fresh opportunity for the Project to engage with new local leaderships, committed to positive change and ready to take moderate political risks to achieve development results in their communities.</w:t>
            </w:r>
          </w:p>
          <w:p w14:paraId="15E2E84C" w14:textId="05E074A8" w:rsidR="00D14A20" w:rsidRPr="008153DA" w:rsidRDefault="00D14A20" w:rsidP="00D14A20">
            <w:pPr>
              <w:autoSpaceDE w:val="0"/>
              <w:autoSpaceDN w:val="0"/>
              <w:adjustRightInd w:val="0"/>
              <w:spacing w:before="120" w:after="120"/>
              <w:rPr>
                <w:rFonts w:eastAsia="Times New Roman"/>
                <w:bCs/>
                <w:iCs/>
                <w:sz w:val="18"/>
                <w:szCs w:val="18"/>
              </w:rPr>
            </w:pPr>
            <w:r w:rsidRPr="008153DA">
              <w:rPr>
                <w:rFonts w:eastAsia="Times New Roman"/>
                <w:bCs/>
                <w:iCs/>
                <w:sz w:val="18"/>
                <w:szCs w:val="18"/>
              </w:rPr>
              <w:t xml:space="preserve">For all the above reasons, </w:t>
            </w:r>
            <w:r w:rsidRPr="00494B0E">
              <w:rPr>
                <w:rFonts w:eastAsia="Times New Roman"/>
                <w:b/>
                <w:iCs/>
                <w:sz w:val="18"/>
                <w:szCs w:val="18"/>
              </w:rPr>
              <w:t>empowerment of women and gender equality principles will continue to be used as an important accelerator for societal transformation</w:t>
            </w:r>
            <w:r w:rsidRPr="008153DA">
              <w:rPr>
                <w:rFonts w:eastAsia="Times New Roman"/>
                <w:bCs/>
                <w:iCs/>
                <w:sz w:val="18"/>
                <w:szCs w:val="18"/>
              </w:rPr>
              <w:t>. While implementing Outcome 1, spaces for voices and perspectives of women will be persistently created, while their equal participation in all decision-making processes will actively be advocated for when working with local governments to secure pro-active engagement of MZs in decision-making and community-led local development. Women’s heavy dependence on local community resources and its associated services also means that they often have more at stake than men when these are degraded, redundant or access to them is covertly denied</w:t>
            </w:r>
            <w:r w:rsidRPr="008153DA">
              <w:rPr>
                <w:rFonts w:eastAsia="Times New Roman"/>
                <w:bCs/>
                <w:iCs/>
                <w:sz w:val="18"/>
                <w:szCs w:val="18"/>
              </w:rPr>
              <w:footnoteReference w:id="4"/>
            </w:r>
            <w:r w:rsidRPr="008153DA">
              <w:rPr>
                <w:rFonts w:eastAsia="Times New Roman"/>
                <w:bCs/>
                <w:iCs/>
                <w:sz w:val="18"/>
                <w:szCs w:val="18"/>
              </w:rPr>
              <w:t xml:space="preserve">. On the other hand, </w:t>
            </w:r>
            <w:r w:rsidRPr="00494B0E">
              <w:rPr>
                <w:rFonts w:eastAsia="Times New Roman"/>
                <w:b/>
                <w:iCs/>
                <w:sz w:val="18"/>
                <w:szCs w:val="18"/>
              </w:rPr>
              <w:t>the insight, experience and know-how of women</w:t>
            </w:r>
            <w:r w:rsidRPr="008153DA">
              <w:rPr>
                <w:rFonts w:eastAsia="Times New Roman"/>
                <w:bCs/>
                <w:iCs/>
                <w:sz w:val="18"/>
                <w:szCs w:val="18"/>
              </w:rPr>
              <w:t xml:space="preserve"> - who are at the source of needs and </w:t>
            </w:r>
            <w:r w:rsidR="008153DA" w:rsidRPr="008153DA">
              <w:rPr>
                <w:rFonts w:eastAsia="Times New Roman"/>
                <w:bCs/>
                <w:iCs/>
                <w:sz w:val="18"/>
                <w:szCs w:val="18"/>
              </w:rPr>
              <w:t>organization</w:t>
            </w:r>
            <w:r w:rsidRPr="008153DA">
              <w:rPr>
                <w:rFonts w:eastAsia="Times New Roman"/>
                <w:bCs/>
                <w:iCs/>
                <w:sz w:val="18"/>
                <w:szCs w:val="18"/>
              </w:rPr>
              <w:t xml:space="preserve"> of family and community life - will be an important resource for </w:t>
            </w:r>
            <w:r w:rsidR="008153DA" w:rsidRPr="008153DA">
              <w:rPr>
                <w:rFonts w:eastAsia="Times New Roman"/>
                <w:bCs/>
                <w:iCs/>
                <w:sz w:val="18"/>
                <w:szCs w:val="18"/>
              </w:rPr>
              <w:t>contextualizing</w:t>
            </w:r>
            <w:r w:rsidRPr="008153DA">
              <w:rPr>
                <w:rFonts w:eastAsia="Times New Roman"/>
                <w:bCs/>
                <w:iCs/>
                <w:sz w:val="18"/>
                <w:szCs w:val="18"/>
              </w:rPr>
              <w:t xml:space="preserve">, applying and bringing to life the vision for local-level-grown </w:t>
            </w:r>
            <w:r w:rsidR="008153DA" w:rsidRPr="008153DA">
              <w:rPr>
                <w:rFonts w:eastAsia="Times New Roman"/>
                <w:bCs/>
                <w:iCs/>
                <w:sz w:val="18"/>
                <w:szCs w:val="18"/>
              </w:rPr>
              <w:t>institutionalized</w:t>
            </w:r>
            <w:r w:rsidRPr="008153DA">
              <w:rPr>
                <w:rFonts w:eastAsia="Times New Roman"/>
                <w:bCs/>
                <w:iCs/>
                <w:sz w:val="18"/>
                <w:szCs w:val="18"/>
              </w:rPr>
              <w:t xml:space="preserve"> community governance models to be </w:t>
            </w:r>
            <w:r w:rsidR="008153DA" w:rsidRPr="008153DA">
              <w:rPr>
                <w:rFonts w:eastAsia="Times New Roman"/>
                <w:bCs/>
                <w:iCs/>
                <w:sz w:val="18"/>
                <w:szCs w:val="18"/>
              </w:rPr>
              <w:t>operationalized</w:t>
            </w:r>
            <w:r w:rsidRPr="008153DA">
              <w:rPr>
                <w:rFonts w:eastAsia="Times New Roman"/>
                <w:bCs/>
                <w:iCs/>
                <w:sz w:val="18"/>
                <w:szCs w:val="18"/>
              </w:rPr>
              <w:t xml:space="preserve"> under Outcome 2. Affirmation and activation of resources and agency of women is an important strategy for achieving </w:t>
            </w:r>
            <w:r w:rsidR="008153DA" w:rsidRPr="008153DA">
              <w:rPr>
                <w:rFonts w:eastAsia="Times New Roman"/>
                <w:bCs/>
                <w:iCs/>
                <w:sz w:val="18"/>
                <w:szCs w:val="18"/>
              </w:rPr>
              <w:t>behavioral</w:t>
            </w:r>
            <w:r w:rsidRPr="008153DA">
              <w:rPr>
                <w:rFonts w:eastAsia="Times New Roman"/>
                <w:bCs/>
                <w:iCs/>
                <w:sz w:val="18"/>
                <w:szCs w:val="18"/>
              </w:rPr>
              <w:t xml:space="preserve"> change within communities, which is the key focus of this Outcome and Project at large, having in mind its long-term duration that made space for interventions that build momentum over time to shift power relations and yield incremental change in gender praxis. This ambitious agenda will be reinforced and complemented by the “Women in Elections” Project by working in 10 common localities and offering capacity development for social, economic and political empowerment of women at the local level, adding value to the MZ models through gender action plans.  </w:t>
            </w:r>
          </w:p>
          <w:p w14:paraId="3CF67171" w14:textId="0EE8161E" w:rsidR="00D14A20" w:rsidRPr="008153DA" w:rsidRDefault="00D14A20" w:rsidP="00D14A20">
            <w:pPr>
              <w:autoSpaceDE w:val="0"/>
              <w:autoSpaceDN w:val="0"/>
              <w:adjustRightInd w:val="0"/>
              <w:spacing w:before="120" w:after="120"/>
              <w:rPr>
                <w:rFonts w:eastAsia="Times New Roman"/>
                <w:bCs/>
                <w:iCs/>
                <w:sz w:val="18"/>
                <w:szCs w:val="18"/>
              </w:rPr>
            </w:pPr>
            <w:r w:rsidRPr="008153DA">
              <w:rPr>
                <w:rFonts w:eastAsia="Times New Roman"/>
                <w:bCs/>
                <w:iCs/>
                <w:sz w:val="18"/>
                <w:szCs w:val="18"/>
              </w:rPr>
              <w:t xml:space="preserve">All the above will be achieved by </w:t>
            </w:r>
            <w:r w:rsidR="008153DA" w:rsidRPr="008153DA">
              <w:rPr>
                <w:rFonts w:eastAsia="Times New Roman"/>
                <w:bCs/>
                <w:iCs/>
                <w:sz w:val="18"/>
                <w:szCs w:val="18"/>
              </w:rPr>
              <w:t>capitalizing</w:t>
            </w:r>
            <w:r w:rsidRPr="008153DA">
              <w:rPr>
                <w:rFonts w:eastAsia="Times New Roman"/>
                <w:bCs/>
                <w:iCs/>
                <w:sz w:val="18"/>
                <w:szCs w:val="18"/>
              </w:rPr>
              <w:t xml:space="preserve"> on the gains achieved in the previous Project phase and extensively relying on </w:t>
            </w:r>
            <w:r w:rsidRPr="00494B0E">
              <w:rPr>
                <w:rFonts w:eastAsia="Times New Roman"/>
                <w:b/>
                <w:iCs/>
                <w:sz w:val="18"/>
                <w:szCs w:val="18"/>
              </w:rPr>
              <w:t>the pool of women leaders</w:t>
            </w:r>
            <w:r w:rsidRPr="008153DA">
              <w:rPr>
                <w:rFonts w:eastAsia="Times New Roman"/>
                <w:bCs/>
                <w:iCs/>
                <w:sz w:val="18"/>
                <w:szCs w:val="18"/>
              </w:rPr>
              <w:t xml:space="preserve"> that have thus been nurtured in each local community and collectively. As a result, MZs will continue to be affirmed as gender-sensitive spaces where citizens engage to commune, consult and workout problems, but also to find a common voice that includes all, to permeate their municipalities by partaking in its plans, decisions and budgets in a gender responsive manner.</w:t>
            </w:r>
          </w:p>
          <w:p w14:paraId="556AE0FA" w14:textId="76F5453F" w:rsidR="00D14A20" w:rsidRPr="008153DA" w:rsidRDefault="00D14A20" w:rsidP="00D14A20">
            <w:pPr>
              <w:autoSpaceDE w:val="0"/>
              <w:autoSpaceDN w:val="0"/>
              <w:adjustRightInd w:val="0"/>
              <w:spacing w:before="120" w:after="120"/>
              <w:rPr>
                <w:rFonts w:eastAsia="Times New Roman"/>
                <w:bCs/>
                <w:iCs/>
                <w:sz w:val="18"/>
                <w:szCs w:val="18"/>
              </w:rPr>
            </w:pPr>
            <w:r w:rsidRPr="00494B0E">
              <w:rPr>
                <w:rFonts w:eastAsia="Times New Roman"/>
                <w:b/>
                <w:iCs/>
                <w:sz w:val="18"/>
                <w:szCs w:val="18"/>
              </w:rPr>
              <w:t>Gender-responsive planned actions</w:t>
            </w:r>
            <w:r w:rsidRPr="008153DA">
              <w:rPr>
                <w:rFonts w:eastAsia="Times New Roman"/>
                <w:bCs/>
                <w:iCs/>
                <w:sz w:val="18"/>
                <w:szCs w:val="18"/>
              </w:rPr>
              <w:t xml:space="preserve">, as elaborated in detail in the Project log frame, will integrate measures for promoting gender equality in regulatory framework and policy design anticipated in Outcomes 1 and 3, ensuring that their impact yields equal opportunities, and social and economic benefits for women and men alike. With this approach, both, gender impact of Project interventions and the know-how, concerns and experiences of men and women alike will be considered in the design, implementation, and monitoring and evaluation of all projects and initiatives taken by the Project. This is an important strategy for going beyond acknowledging gender gaps and doing concrete things to address these discrepancies. While women as drivers of change approach is to be deployed as accelerator for social transformation, and clear gender responsive objectives, indicators, targets and budgets are being set in the gender responsive Project log frame, a </w:t>
            </w:r>
            <w:r w:rsidRPr="00494B0E">
              <w:rPr>
                <w:rFonts w:eastAsia="Times New Roman"/>
                <w:b/>
                <w:iCs/>
                <w:sz w:val="18"/>
                <w:szCs w:val="18"/>
              </w:rPr>
              <w:t>Gender Strategy</w:t>
            </w:r>
            <w:r w:rsidRPr="008153DA">
              <w:rPr>
                <w:rFonts w:eastAsia="Times New Roman"/>
                <w:bCs/>
                <w:iCs/>
                <w:sz w:val="18"/>
                <w:szCs w:val="18"/>
              </w:rPr>
              <w:t xml:space="preserve"> will be produced in first six months of Project implementation in order to </w:t>
            </w:r>
            <w:r w:rsidR="008153DA" w:rsidRPr="008153DA">
              <w:rPr>
                <w:rFonts w:eastAsia="Times New Roman"/>
                <w:bCs/>
                <w:iCs/>
                <w:sz w:val="18"/>
                <w:szCs w:val="18"/>
              </w:rPr>
              <w:t>maximize</w:t>
            </w:r>
            <w:r w:rsidRPr="008153DA">
              <w:rPr>
                <w:rFonts w:eastAsia="Times New Roman"/>
                <w:bCs/>
                <w:iCs/>
                <w:sz w:val="18"/>
                <w:szCs w:val="18"/>
              </w:rPr>
              <w:t xml:space="preserve"> impact of interventions and to </w:t>
            </w:r>
            <w:r w:rsidR="008153DA" w:rsidRPr="008153DA">
              <w:rPr>
                <w:rFonts w:eastAsia="Times New Roman"/>
                <w:bCs/>
                <w:iCs/>
                <w:sz w:val="18"/>
                <w:szCs w:val="18"/>
              </w:rPr>
              <w:t>operationalize</w:t>
            </w:r>
            <w:r w:rsidRPr="008153DA">
              <w:rPr>
                <w:rFonts w:eastAsia="Times New Roman"/>
                <w:bCs/>
                <w:iCs/>
                <w:sz w:val="18"/>
                <w:szCs w:val="18"/>
              </w:rPr>
              <w:t xml:space="preserve"> the gender mainstreaming across board. Finally, the Project anticipates design and implementation of additional gender specific interventions when perceived that those could significantly enlarge the Project results and help create a multiplier effect.</w:t>
            </w:r>
          </w:p>
          <w:p w14:paraId="400B0830" w14:textId="77777777" w:rsidR="00414FBA" w:rsidRPr="008153DA" w:rsidRDefault="00414FBA" w:rsidP="009B03D7">
            <w:pPr>
              <w:pStyle w:val="ListParagraph"/>
              <w:spacing w:before="120"/>
              <w:ind w:left="0"/>
              <w:rPr>
                <w:rFonts w:eastAsia="Times New Roman"/>
                <w:bCs/>
                <w:iCs/>
                <w:sz w:val="18"/>
                <w:szCs w:val="18"/>
              </w:rPr>
            </w:pPr>
          </w:p>
          <w:p w14:paraId="0245FA53" w14:textId="77777777" w:rsidR="00B97D19" w:rsidRPr="008153DA" w:rsidRDefault="00B97D19" w:rsidP="009B03D7">
            <w:pPr>
              <w:pStyle w:val="ListParagraph"/>
              <w:spacing w:before="120"/>
              <w:ind w:left="0"/>
              <w:rPr>
                <w:rFonts w:eastAsia="Times New Roman"/>
                <w:bCs/>
                <w:iCs/>
                <w:sz w:val="18"/>
                <w:szCs w:val="18"/>
              </w:rPr>
            </w:pPr>
          </w:p>
        </w:tc>
      </w:tr>
      <w:tr w:rsidR="00414FBA" w:rsidRPr="00CF674A" w14:paraId="1524FE0E" w14:textId="77777777" w:rsidTr="00414FBA">
        <w:trPr>
          <w:trHeight w:val="305"/>
        </w:trPr>
        <w:tc>
          <w:tcPr>
            <w:tcW w:w="13248" w:type="dxa"/>
            <w:shd w:val="clear" w:color="auto" w:fill="C6D9F1" w:themeFill="text2" w:themeFillTint="33"/>
          </w:tcPr>
          <w:p w14:paraId="262FDC59"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585736F2" w14:textId="77777777" w:rsidTr="0087589A">
        <w:tc>
          <w:tcPr>
            <w:tcW w:w="13248" w:type="dxa"/>
          </w:tcPr>
          <w:p w14:paraId="08B0E08D" w14:textId="62D6FE0F" w:rsidR="000C3FBE" w:rsidRPr="000C3FBE" w:rsidRDefault="000C3FBE" w:rsidP="000C3FBE">
            <w:pPr>
              <w:autoSpaceDE w:val="0"/>
              <w:autoSpaceDN w:val="0"/>
              <w:adjustRightInd w:val="0"/>
              <w:spacing w:before="120" w:after="120"/>
              <w:rPr>
                <w:rFonts w:eastAsia="Times New Roman"/>
                <w:bCs/>
                <w:iCs/>
                <w:sz w:val="18"/>
                <w:szCs w:val="18"/>
              </w:rPr>
            </w:pPr>
            <w:r w:rsidRPr="000C3FBE">
              <w:rPr>
                <w:rFonts w:eastAsia="Times New Roman"/>
                <w:bCs/>
                <w:iCs/>
                <w:sz w:val="18"/>
                <w:szCs w:val="18"/>
              </w:rPr>
              <w:t xml:space="preserve">The Project will address disaster risk reduction (DRR) as a transversal theme. It will </w:t>
            </w:r>
            <w:proofErr w:type="gramStart"/>
            <w:r w:rsidRPr="000C3FBE">
              <w:rPr>
                <w:rFonts w:eastAsia="Times New Roman"/>
                <w:bCs/>
                <w:iCs/>
                <w:sz w:val="18"/>
                <w:szCs w:val="18"/>
              </w:rPr>
              <w:t>make a contribution</w:t>
            </w:r>
            <w:proofErr w:type="gramEnd"/>
            <w:r w:rsidRPr="000C3FBE">
              <w:rPr>
                <w:rFonts w:eastAsia="Times New Roman"/>
                <w:bCs/>
                <w:iCs/>
                <w:sz w:val="18"/>
                <w:szCs w:val="18"/>
              </w:rPr>
              <w:t xml:space="preserve"> to DRR mostly by facilitating and strengthening the vital role of MZs and their institutional links with civil protection units and LGs for the times of natural disasters. In doing so, the Project will seek to partner with local governments which are introducing the </w:t>
            </w:r>
            <w:hyperlink r:id="rId13" w:history="1">
              <w:r w:rsidRPr="000C3FBE">
                <w:rPr>
                  <w:rFonts w:eastAsia="Times New Roman"/>
                  <w:bCs/>
                  <w:iCs/>
                  <w:sz w:val="18"/>
                  <w:szCs w:val="18"/>
                </w:rPr>
                <w:t>DRAS system</w:t>
              </w:r>
            </w:hyperlink>
            <w:r w:rsidRPr="000C3FBE">
              <w:rPr>
                <w:rFonts w:eastAsia="Times New Roman"/>
                <w:bCs/>
                <w:iCs/>
                <w:szCs w:val="18"/>
              </w:rPr>
              <w:footnoteReference w:id="5"/>
            </w:r>
            <w:r w:rsidRPr="000C3FBE">
              <w:rPr>
                <w:rFonts w:eastAsia="Times New Roman"/>
                <w:bCs/>
                <w:iCs/>
                <w:sz w:val="18"/>
                <w:szCs w:val="18"/>
              </w:rPr>
              <w:t xml:space="preserve"> (with support by the government of Switzerland). The Project will apply risk-informed and climate-smart development choices in all stages of project management and, </w:t>
            </w:r>
            <w:proofErr w:type="gramStart"/>
            <w:r w:rsidRPr="000C3FBE">
              <w:rPr>
                <w:rFonts w:eastAsia="Times New Roman"/>
                <w:bCs/>
                <w:iCs/>
                <w:sz w:val="18"/>
                <w:szCs w:val="18"/>
              </w:rPr>
              <w:t>in particular in</w:t>
            </w:r>
            <w:proofErr w:type="gramEnd"/>
            <w:r w:rsidRPr="000C3FBE">
              <w:rPr>
                <w:rFonts w:eastAsia="Times New Roman"/>
                <w:bCs/>
                <w:iCs/>
                <w:sz w:val="18"/>
                <w:szCs w:val="18"/>
              </w:rPr>
              <w:t xml:space="preserve"> the activities with beneficiaries. For example, MZ role in the early warning systems at the local level will be strengthened so that they are able to generate and disseminate timely and meaningful warning information (that promptly takes into account vulnerabilities of specific MZ population) of the possible extreme events or disasters (e.g. floods, drought, fire, earthquake and tsunamis), while investments in infrastructure will be disaster-smart to ensure sustainability of public assets. </w:t>
            </w:r>
          </w:p>
          <w:p w14:paraId="04A33441" w14:textId="77777777" w:rsidR="000C3FBE" w:rsidRPr="000C3FBE" w:rsidRDefault="000C3FBE" w:rsidP="000C3FBE">
            <w:pPr>
              <w:autoSpaceDE w:val="0"/>
              <w:autoSpaceDN w:val="0"/>
              <w:adjustRightInd w:val="0"/>
              <w:spacing w:before="120" w:after="240"/>
              <w:rPr>
                <w:rFonts w:eastAsia="Times New Roman"/>
                <w:bCs/>
                <w:iCs/>
                <w:sz w:val="18"/>
                <w:szCs w:val="18"/>
              </w:rPr>
            </w:pPr>
            <w:r w:rsidRPr="000C3FBE">
              <w:rPr>
                <w:rFonts w:eastAsia="Times New Roman"/>
                <w:bCs/>
                <w:iCs/>
                <w:sz w:val="18"/>
                <w:szCs w:val="18"/>
              </w:rPr>
              <w:t xml:space="preserve">The DRR activities will be closely connected to the strengthening of community systems for environmental protection. The Project will support MZs to embed the relevant projects in the environmental sectoral plans within the local integrated development strategies. In addition, environmental considerations will be mainstreamed in all infrastructure initiatives, supported by the Project, as well as in capacity building and other activities. </w:t>
            </w:r>
          </w:p>
          <w:p w14:paraId="0C05DF61" w14:textId="0ED4755E" w:rsidR="00414FBA" w:rsidRPr="008C711F" w:rsidRDefault="00414FBA" w:rsidP="007D5EAA">
            <w:pPr>
              <w:spacing w:before="120" w:after="120"/>
              <w:rPr>
                <w:rFonts w:eastAsia="Times New Roman"/>
                <w:color w:val="595959" w:themeColor="text1" w:themeTint="A6"/>
                <w:sz w:val="18"/>
                <w:szCs w:val="18"/>
              </w:rPr>
            </w:pPr>
          </w:p>
        </w:tc>
      </w:tr>
    </w:tbl>
    <w:p w14:paraId="24E3D049" w14:textId="77777777" w:rsidR="00DD330A" w:rsidRPr="00FC7D8A" w:rsidRDefault="00DD330A" w:rsidP="00DD330A">
      <w:pPr>
        <w:rPr>
          <w:b/>
          <w:szCs w:val="20"/>
        </w:rPr>
      </w:pPr>
    </w:p>
    <w:p w14:paraId="52BA4959"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w:t>
      </w:r>
      <w:r w:rsidR="001A0CAF" w:rsidRPr="002B4DFC">
        <w:rPr>
          <w:b/>
          <w:color w:val="365F91" w:themeColor="accent1" w:themeShade="BF"/>
          <w:sz w:val="24"/>
        </w:rPr>
        <w:t>Social and Environmental Risks</w:t>
      </w:r>
    </w:p>
    <w:p w14:paraId="4F9CCA73"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0035A56A" w14:textId="77777777" w:rsidTr="002A2BCE">
        <w:trPr>
          <w:trHeight w:val="1061"/>
        </w:trPr>
        <w:tc>
          <w:tcPr>
            <w:tcW w:w="3510" w:type="dxa"/>
            <w:shd w:val="clear" w:color="auto" w:fill="0F243E" w:themeFill="text2" w:themeFillShade="80"/>
          </w:tcPr>
          <w:p w14:paraId="4D0F85ED"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6791C15E" w14:textId="77777777"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5DB41F0B"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6217D86A"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47D6382B"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250116EF" w14:textId="77777777" w:rsidTr="002A2BCE">
        <w:tc>
          <w:tcPr>
            <w:tcW w:w="3510" w:type="dxa"/>
            <w:shd w:val="clear" w:color="auto" w:fill="C6D9F1" w:themeFill="text2" w:themeFillTint="33"/>
          </w:tcPr>
          <w:p w14:paraId="2517742E"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0FD0C3AF"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56EFD090" w14:textId="77777777" w:rsidR="00C055DB" w:rsidRPr="00414FBA" w:rsidRDefault="00C055DB" w:rsidP="0084274F">
            <w:pPr>
              <w:rPr>
                <w:b/>
                <w:i/>
                <w:sz w:val="18"/>
                <w:szCs w:val="18"/>
              </w:rPr>
            </w:pPr>
            <w:r w:rsidRPr="00414FBA">
              <w:rPr>
                <w:b/>
                <w:i/>
                <w:sz w:val="18"/>
                <w:szCs w:val="18"/>
              </w:rPr>
              <w:t>Significance</w:t>
            </w:r>
          </w:p>
          <w:p w14:paraId="492102CC"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127527D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338589B8"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764E6C6A" w14:textId="77777777" w:rsidTr="00B70B80">
        <w:trPr>
          <w:trHeight w:val="350"/>
        </w:trPr>
        <w:tc>
          <w:tcPr>
            <w:tcW w:w="3510" w:type="dxa"/>
            <w:vAlign w:val="center"/>
          </w:tcPr>
          <w:p w14:paraId="35D9A66B" w14:textId="77777777" w:rsidR="00C055DB" w:rsidRPr="00B70B80" w:rsidRDefault="00C77307" w:rsidP="0084274F">
            <w:pPr>
              <w:rPr>
                <w:sz w:val="18"/>
                <w:szCs w:val="18"/>
              </w:rPr>
            </w:pPr>
            <w:r w:rsidRPr="00B70B80">
              <w:rPr>
                <w:sz w:val="18"/>
                <w:szCs w:val="18"/>
              </w:rPr>
              <w:t>Risk 1-</w:t>
            </w:r>
            <w:r w:rsidRPr="00B70B80">
              <w:rPr>
                <w:rFonts w:eastAsia="Times New Roman"/>
                <w:sz w:val="18"/>
                <w:szCs w:val="18"/>
              </w:rPr>
              <w:t xml:space="preserve"> Duty-bearers do not have the capacity to meet their obligations in the Project?</w:t>
            </w:r>
          </w:p>
        </w:tc>
        <w:tc>
          <w:tcPr>
            <w:tcW w:w="1080" w:type="dxa"/>
          </w:tcPr>
          <w:p w14:paraId="79D2174E" w14:textId="77777777" w:rsidR="00C055DB" w:rsidRPr="00B70B80" w:rsidRDefault="00B70B80" w:rsidP="0084274F">
            <w:pPr>
              <w:rPr>
                <w:rFonts w:cs="Minion Pro"/>
                <w:sz w:val="18"/>
                <w:szCs w:val="18"/>
              </w:rPr>
            </w:pPr>
            <w:r w:rsidRPr="00B70B80">
              <w:rPr>
                <w:rFonts w:cs="Minion Pro"/>
                <w:sz w:val="18"/>
                <w:szCs w:val="18"/>
              </w:rPr>
              <w:t>I=4</w:t>
            </w:r>
          </w:p>
          <w:p w14:paraId="0BD513A2" w14:textId="77777777" w:rsidR="00B70B80" w:rsidRPr="00B70B80" w:rsidRDefault="00B70B80" w:rsidP="0084274F">
            <w:pPr>
              <w:rPr>
                <w:rFonts w:cs="Minion Pro"/>
                <w:sz w:val="18"/>
                <w:szCs w:val="18"/>
              </w:rPr>
            </w:pPr>
            <w:r w:rsidRPr="00B70B80">
              <w:rPr>
                <w:rFonts w:cs="Minion Pro"/>
                <w:sz w:val="18"/>
                <w:szCs w:val="18"/>
              </w:rPr>
              <w:t>P=2</w:t>
            </w:r>
          </w:p>
        </w:tc>
        <w:tc>
          <w:tcPr>
            <w:tcW w:w="1170" w:type="dxa"/>
          </w:tcPr>
          <w:p w14:paraId="085EF0EB" w14:textId="77777777" w:rsidR="00C055DB" w:rsidRPr="00B70B80" w:rsidRDefault="00C77307" w:rsidP="0084274F">
            <w:pPr>
              <w:rPr>
                <w:b/>
                <w:sz w:val="18"/>
                <w:szCs w:val="18"/>
              </w:rPr>
            </w:pPr>
            <w:r w:rsidRPr="00B70B80">
              <w:rPr>
                <w:b/>
                <w:sz w:val="18"/>
                <w:szCs w:val="18"/>
              </w:rPr>
              <w:t>Moderate</w:t>
            </w:r>
          </w:p>
        </w:tc>
        <w:tc>
          <w:tcPr>
            <w:tcW w:w="2610" w:type="dxa"/>
            <w:gridSpan w:val="2"/>
          </w:tcPr>
          <w:p w14:paraId="3D4D0A4A" w14:textId="77777777" w:rsidR="00C055DB" w:rsidRPr="00B70B80" w:rsidRDefault="00C055DB" w:rsidP="0084274F">
            <w:pPr>
              <w:rPr>
                <w:b/>
                <w:sz w:val="18"/>
                <w:szCs w:val="18"/>
              </w:rPr>
            </w:pPr>
          </w:p>
        </w:tc>
        <w:tc>
          <w:tcPr>
            <w:tcW w:w="4770" w:type="dxa"/>
            <w:gridSpan w:val="2"/>
          </w:tcPr>
          <w:p w14:paraId="4F908516" w14:textId="0992E85A" w:rsidR="00C055DB" w:rsidRPr="00B70B80" w:rsidRDefault="00C055DB" w:rsidP="0084274F">
            <w:pPr>
              <w:rPr>
                <w:b/>
                <w:sz w:val="18"/>
                <w:szCs w:val="18"/>
              </w:rPr>
            </w:pPr>
          </w:p>
        </w:tc>
      </w:tr>
      <w:tr w:rsidR="00C055DB" w14:paraId="250F34F3" w14:textId="77777777" w:rsidTr="002A2BCE">
        <w:tc>
          <w:tcPr>
            <w:tcW w:w="3510" w:type="dxa"/>
            <w:vAlign w:val="center"/>
          </w:tcPr>
          <w:p w14:paraId="39A20D07" w14:textId="77777777" w:rsidR="00C055DB" w:rsidRPr="00C77307" w:rsidRDefault="00C055DB" w:rsidP="0084274F">
            <w:pPr>
              <w:rPr>
                <w:b/>
                <w:sz w:val="18"/>
                <w:szCs w:val="18"/>
                <w:highlight w:val="yellow"/>
              </w:rPr>
            </w:pPr>
          </w:p>
        </w:tc>
        <w:tc>
          <w:tcPr>
            <w:tcW w:w="1080" w:type="dxa"/>
          </w:tcPr>
          <w:p w14:paraId="18DA9C63" w14:textId="77777777" w:rsidR="00C055DB" w:rsidRPr="00C77307" w:rsidRDefault="00C055DB" w:rsidP="0084274F">
            <w:pPr>
              <w:rPr>
                <w:sz w:val="18"/>
                <w:szCs w:val="18"/>
                <w:highlight w:val="yellow"/>
              </w:rPr>
            </w:pPr>
          </w:p>
        </w:tc>
        <w:tc>
          <w:tcPr>
            <w:tcW w:w="1170" w:type="dxa"/>
          </w:tcPr>
          <w:p w14:paraId="15AE4973" w14:textId="77777777" w:rsidR="00C055DB" w:rsidRPr="00C77307" w:rsidRDefault="00C055DB" w:rsidP="0084274F">
            <w:pPr>
              <w:rPr>
                <w:b/>
                <w:sz w:val="18"/>
                <w:szCs w:val="18"/>
                <w:highlight w:val="yellow"/>
              </w:rPr>
            </w:pPr>
          </w:p>
        </w:tc>
        <w:tc>
          <w:tcPr>
            <w:tcW w:w="2610" w:type="dxa"/>
            <w:gridSpan w:val="2"/>
          </w:tcPr>
          <w:p w14:paraId="5A447F31" w14:textId="77777777" w:rsidR="00C055DB" w:rsidRPr="00C77307" w:rsidRDefault="00C055DB" w:rsidP="0084274F">
            <w:pPr>
              <w:rPr>
                <w:b/>
                <w:sz w:val="18"/>
                <w:szCs w:val="18"/>
                <w:highlight w:val="yellow"/>
              </w:rPr>
            </w:pPr>
          </w:p>
        </w:tc>
        <w:tc>
          <w:tcPr>
            <w:tcW w:w="4770" w:type="dxa"/>
            <w:gridSpan w:val="2"/>
          </w:tcPr>
          <w:p w14:paraId="10D06068" w14:textId="77777777" w:rsidR="00C055DB" w:rsidRPr="00C77307" w:rsidRDefault="00C055DB" w:rsidP="0084274F">
            <w:pPr>
              <w:rPr>
                <w:b/>
                <w:sz w:val="18"/>
                <w:szCs w:val="18"/>
                <w:highlight w:val="yellow"/>
              </w:rPr>
            </w:pPr>
          </w:p>
        </w:tc>
      </w:tr>
      <w:tr w:rsidR="00C055DB" w14:paraId="23C2C7F0" w14:textId="77777777" w:rsidTr="002A2BCE">
        <w:tc>
          <w:tcPr>
            <w:tcW w:w="3510" w:type="dxa"/>
            <w:vAlign w:val="center"/>
          </w:tcPr>
          <w:p w14:paraId="536F0679" w14:textId="77777777" w:rsidR="00C055DB" w:rsidRPr="00C77307" w:rsidRDefault="00C055DB" w:rsidP="0084274F">
            <w:pPr>
              <w:rPr>
                <w:b/>
                <w:sz w:val="18"/>
                <w:szCs w:val="18"/>
                <w:highlight w:val="yellow"/>
              </w:rPr>
            </w:pPr>
          </w:p>
        </w:tc>
        <w:tc>
          <w:tcPr>
            <w:tcW w:w="1080" w:type="dxa"/>
          </w:tcPr>
          <w:p w14:paraId="655832A3" w14:textId="77777777" w:rsidR="00C055DB" w:rsidRPr="00C77307" w:rsidRDefault="00C055DB" w:rsidP="0084274F">
            <w:pPr>
              <w:rPr>
                <w:sz w:val="18"/>
                <w:szCs w:val="18"/>
                <w:highlight w:val="yellow"/>
              </w:rPr>
            </w:pPr>
          </w:p>
        </w:tc>
        <w:tc>
          <w:tcPr>
            <w:tcW w:w="1170" w:type="dxa"/>
          </w:tcPr>
          <w:p w14:paraId="039B7986" w14:textId="77777777" w:rsidR="00C055DB" w:rsidRPr="00C77307" w:rsidRDefault="00C055DB" w:rsidP="0084274F">
            <w:pPr>
              <w:rPr>
                <w:b/>
                <w:sz w:val="18"/>
                <w:szCs w:val="18"/>
                <w:highlight w:val="yellow"/>
              </w:rPr>
            </w:pPr>
          </w:p>
        </w:tc>
        <w:tc>
          <w:tcPr>
            <w:tcW w:w="2610" w:type="dxa"/>
            <w:gridSpan w:val="2"/>
          </w:tcPr>
          <w:p w14:paraId="7E91C924" w14:textId="77777777" w:rsidR="00C055DB" w:rsidRPr="00C77307" w:rsidRDefault="00C055DB" w:rsidP="0084274F">
            <w:pPr>
              <w:rPr>
                <w:b/>
                <w:sz w:val="18"/>
                <w:szCs w:val="18"/>
                <w:highlight w:val="yellow"/>
              </w:rPr>
            </w:pPr>
          </w:p>
        </w:tc>
        <w:tc>
          <w:tcPr>
            <w:tcW w:w="4770" w:type="dxa"/>
            <w:gridSpan w:val="2"/>
          </w:tcPr>
          <w:p w14:paraId="39DE6483" w14:textId="77777777" w:rsidR="00C055DB" w:rsidRPr="00C77307" w:rsidRDefault="00C055DB" w:rsidP="0084274F">
            <w:pPr>
              <w:rPr>
                <w:b/>
                <w:sz w:val="18"/>
                <w:szCs w:val="18"/>
                <w:highlight w:val="yellow"/>
              </w:rPr>
            </w:pPr>
          </w:p>
        </w:tc>
      </w:tr>
      <w:tr w:rsidR="00C055DB" w14:paraId="08DE96FB" w14:textId="77777777" w:rsidTr="002A2BCE">
        <w:tc>
          <w:tcPr>
            <w:tcW w:w="3510" w:type="dxa"/>
            <w:vAlign w:val="center"/>
          </w:tcPr>
          <w:p w14:paraId="027D0D92" w14:textId="77777777" w:rsidR="00C055DB" w:rsidRPr="00C77307" w:rsidRDefault="00C055DB" w:rsidP="0084274F">
            <w:pPr>
              <w:rPr>
                <w:b/>
                <w:sz w:val="18"/>
                <w:szCs w:val="18"/>
                <w:highlight w:val="yellow"/>
              </w:rPr>
            </w:pPr>
          </w:p>
        </w:tc>
        <w:tc>
          <w:tcPr>
            <w:tcW w:w="1080" w:type="dxa"/>
          </w:tcPr>
          <w:p w14:paraId="127E432E" w14:textId="77777777" w:rsidR="00C055DB" w:rsidRPr="00C77307" w:rsidRDefault="00C055DB" w:rsidP="0084274F">
            <w:pPr>
              <w:rPr>
                <w:sz w:val="18"/>
                <w:szCs w:val="18"/>
                <w:highlight w:val="yellow"/>
              </w:rPr>
            </w:pPr>
          </w:p>
        </w:tc>
        <w:tc>
          <w:tcPr>
            <w:tcW w:w="1170" w:type="dxa"/>
          </w:tcPr>
          <w:p w14:paraId="10E3E47A" w14:textId="77777777" w:rsidR="00C055DB" w:rsidRPr="00C77307" w:rsidRDefault="00C055DB" w:rsidP="0084274F">
            <w:pPr>
              <w:rPr>
                <w:b/>
                <w:sz w:val="18"/>
                <w:szCs w:val="18"/>
                <w:highlight w:val="yellow"/>
              </w:rPr>
            </w:pPr>
          </w:p>
        </w:tc>
        <w:tc>
          <w:tcPr>
            <w:tcW w:w="2610" w:type="dxa"/>
            <w:gridSpan w:val="2"/>
          </w:tcPr>
          <w:p w14:paraId="11C0DF9C" w14:textId="77777777" w:rsidR="00C055DB" w:rsidRPr="00C77307" w:rsidRDefault="00C055DB" w:rsidP="0084274F">
            <w:pPr>
              <w:rPr>
                <w:b/>
                <w:sz w:val="18"/>
                <w:szCs w:val="18"/>
                <w:highlight w:val="yellow"/>
              </w:rPr>
            </w:pPr>
          </w:p>
        </w:tc>
        <w:tc>
          <w:tcPr>
            <w:tcW w:w="4770" w:type="dxa"/>
            <w:gridSpan w:val="2"/>
          </w:tcPr>
          <w:p w14:paraId="2F4F1B7F" w14:textId="77777777" w:rsidR="00C055DB" w:rsidRPr="00C77307" w:rsidRDefault="00C055DB" w:rsidP="0084274F">
            <w:pPr>
              <w:rPr>
                <w:b/>
                <w:sz w:val="18"/>
                <w:szCs w:val="18"/>
                <w:highlight w:val="yellow"/>
              </w:rPr>
            </w:pPr>
          </w:p>
        </w:tc>
      </w:tr>
      <w:tr w:rsidR="00C055DB" w14:paraId="4E1EFB10" w14:textId="77777777" w:rsidTr="002A2BCE">
        <w:tc>
          <w:tcPr>
            <w:tcW w:w="3510" w:type="dxa"/>
            <w:vAlign w:val="center"/>
          </w:tcPr>
          <w:p w14:paraId="5E52C55E" w14:textId="77777777" w:rsidR="00C055DB" w:rsidRDefault="00E60F9A" w:rsidP="0084274F">
            <w:pPr>
              <w:rPr>
                <w:sz w:val="18"/>
                <w:szCs w:val="18"/>
              </w:rPr>
            </w:pPr>
            <w:r>
              <w:rPr>
                <w:sz w:val="18"/>
                <w:szCs w:val="18"/>
              </w:rPr>
              <w:t>[add additional rows as needed]</w:t>
            </w:r>
          </w:p>
        </w:tc>
        <w:tc>
          <w:tcPr>
            <w:tcW w:w="1080" w:type="dxa"/>
          </w:tcPr>
          <w:p w14:paraId="286A8B1B" w14:textId="77777777" w:rsidR="00C055DB" w:rsidRPr="00C86F7C" w:rsidRDefault="00C055DB" w:rsidP="0084274F">
            <w:pPr>
              <w:rPr>
                <w:rFonts w:cs="Minion Pro"/>
                <w:sz w:val="18"/>
                <w:szCs w:val="18"/>
              </w:rPr>
            </w:pPr>
          </w:p>
        </w:tc>
        <w:tc>
          <w:tcPr>
            <w:tcW w:w="1170" w:type="dxa"/>
          </w:tcPr>
          <w:p w14:paraId="1A674A20" w14:textId="77777777" w:rsidR="00C055DB" w:rsidRPr="00372083" w:rsidRDefault="00C055DB" w:rsidP="0084274F">
            <w:pPr>
              <w:rPr>
                <w:b/>
                <w:sz w:val="18"/>
                <w:szCs w:val="18"/>
              </w:rPr>
            </w:pPr>
          </w:p>
        </w:tc>
        <w:tc>
          <w:tcPr>
            <w:tcW w:w="2610" w:type="dxa"/>
            <w:gridSpan w:val="2"/>
          </w:tcPr>
          <w:p w14:paraId="079373C3" w14:textId="77777777" w:rsidR="00C055DB" w:rsidRPr="00372083" w:rsidRDefault="00C055DB" w:rsidP="0084274F">
            <w:pPr>
              <w:rPr>
                <w:b/>
                <w:sz w:val="18"/>
                <w:szCs w:val="18"/>
              </w:rPr>
            </w:pPr>
          </w:p>
        </w:tc>
        <w:tc>
          <w:tcPr>
            <w:tcW w:w="4770" w:type="dxa"/>
            <w:gridSpan w:val="2"/>
          </w:tcPr>
          <w:p w14:paraId="3ECCB3EA" w14:textId="77777777" w:rsidR="00C055DB" w:rsidRPr="00372083" w:rsidRDefault="00C055DB" w:rsidP="0084274F">
            <w:pPr>
              <w:rPr>
                <w:b/>
                <w:sz w:val="18"/>
                <w:szCs w:val="18"/>
              </w:rPr>
            </w:pPr>
          </w:p>
        </w:tc>
      </w:tr>
      <w:tr w:rsidR="00C055DB" w14:paraId="213F05C8" w14:textId="77777777" w:rsidTr="002A2BCE">
        <w:trPr>
          <w:trHeight w:val="593"/>
        </w:trPr>
        <w:tc>
          <w:tcPr>
            <w:tcW w:w="3510" w:type="dxa"/>
            <w:vMerge w:val="restart"/>
          </w:tcPr>
          <w:p w14:paraId="1592739A" w14:textId="77777777" w:rsidR="00C055DB" w:rsidRDefault="00C055DB" w:rsidP="00C055DB">
            <w:pPr>
              <w:rPr>
                <w:b/>
                <w:szCs w:val="20"/>
              </w:rPr>
            </w:pPr>
          </w:p>
        </w:tc>
        <w:tc>
          <w:tcPr>
            <w:tcW w:w="9630" w:type="dxa"/>
            <w:gridSpan w:val="6"/>
            <w:shd w:val="clear" w:color="auto" w:fill="0F243E" w:themeFill="text2" w:themeFillShade="80"/>
          </w:tcPr>
          <w:p w14:paraId="2E6985CE"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0D2410C0" w14:textId="77777777" w:rsidTr="002A2BCE">
        <w:tc>
          <w:tcPr>
            <w:tcW w:w="3510" w:type="dxa"/>
            <w:vMerge/>
          </w:tcPr>
          <w:p w14:paraId="09CD8A40" w14:textId="77777777" w:rsidR="00483E64" w:rsidRPr="00372083" w:rsidRDefault="00483E64" w:rsidP="00C055DB">
            <w:pPr>
              <w:rPr>
                <w:sz w:val="18"/>
                <w:szCs w:val="18"/>
                <w:u w:val="single"/>
              </w:rPr>
            </w:pPr>
          </w:p>
        </w:tc>
        <w:tc>
          <w:tcPr>
            <w:tcW w:w="4883" w:type="dxa"/>
            <w:gridSpan w:val="5"/>
          </w:tcPr>
          <w:p w14:paraId="2D3D5C65" w14:textId="77777777"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260E4970" w14:textId="77777777" w:rsidR="00483E64" w:rsidRPr="00372083" w:rsidRDefault="00483E64" w:rsidP="00C055DB">
            <w:pPr>
              <w:jc w:val="center"/>
              <w:rPr>
                <w:b/>
                <w:sz w:val="18"/>
                <w:szCs w:val="18"/>
              </w:rPr>
            </w:pPr>
            <w:r>
              <w:rPr>
                <w:b/>
                <w:sz w:val="18"/>
                <w:szCs w:val="18"/>
              </w:rPr>
              <w:t>Comments</w:t>
            </w:r>
          </w:p>
        </w:tc>
      </w:tr>
      <w:tr w:rsidR="00483E64" w14:paraId="402E3D6D" w14:textId="77777777" w:rsidTr="002A2BCE">
        <w:trPr>
          <w:trHeight w:val="251"/>
        </w:trPr>
        <w:tc>
          <w:tcPr>
            <w:tcW w:w="3510" w:type="dxa"/>
            <w:vMerge/>
          </w:tcPr>
          <w:p w14:paraId="3BA35F08" w14:textId="77777777" w:rsidR="00C055DB" w:rsidRDefault="00C055DB" w:rsidP="00C055DB">
            <w:pPr>
              <w:rPr>
                <w:rFonts w:cs="Minion Pro"/>
                <w:sz w:val="18"/>
                <w:szCs w:val="18"/>
              </w:rPr>
            </w:pPr>
          </w:p>
        </w:tc>
        <w:tc>
          <w:tcPr>
            <w:tcW w:w="4343" w:type="dxa"/>
            <w:gridSpan w:val="3"/>
            <w:shd w:val="clear" w:color="auto" w:fill="auto"/>
          </w:tcPr>
          <w:p w14:paraId="0581821D"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54693B98"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42024BC" w14:textId="77777777" w:rsidR="00C055DB" w:rsidRPr="00372083" w:rsidRDefault="00C055DB" w:rsidP="00C055DB">
            <w:pPr>
              <w:rPr>
                <w:b/>
                <w:sz w:val="18"/>
                <w:szCs w:val="18"/>
              </w:rPr>
            </w:pPr>
          </w:p>
        </w:tc>
      </w:tr>
      <w:tr w:rsidR="00483E64" w14:paraId="7E2AF456" w14:textId="77777777" w:rsidTr="002A2BCE">
        <w:tc>
          <w:tcPr>
            <w:tcW w:w="3510" w:type="dxa"/>
            <w:vMerge/>
          </w:tcPr>
          <w:p w14:paraId="48F76579" w14:textId="77777777" w:rsidR="00C055DB" w:rsidRDefault="00C055DB" w:rsidP="00C055DB">
            <w:pPr>
              <w:rPr>
                <w:rFonts w:cs="Minion Pro"/>
                <w:sz w:val="18"/>
                <w:szCs w:val="18"/>
              </w:rPr>
            </w:pPr>
          </w:p>
        </w:tc>
        <w:tc>
          <w:tcPr>
            <w:tcW w:w="4343" w:type="dxa"/>
            <w:gridSpan w:val="3"/>
            <w:shd w:val="clear" w:color="auto" w:fill="auto"/>
          </w:tcPr>
          <w:p w14:paraId="55FCBBDB"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5BBFA5C9" w14:textId="70626906" w:rsidR="00C055DB" w:rsidRPr="00372083" w:rsidRDefault="00D14A20" w:rsidP="00C055DB">
            <w:pPr>
              <w:ind w:left="-2230" w:firstLine="2230"/>
              <w:rPr>
                <w:b/>
                <w:sz w:val="18"/>
                <w:szCs w:val="18"/>
              </w:rPr>
            </w:pPr>
            <w:r w:rsidRPr="00372083">
              <w:rPr>
                <w:rFonts w:ascii="Segoe UI Symbol" w:hAnsi="Segoe UI Symbol" w:cs="Segoe UI Symbol"/>
                <w:b/>
                <w:szCs w:val="20"/>
              </w:rPr>
              <w:t>☐</w:t>
            </w:r>
          </w:p>
        </w:tc>
        <w:tc>
          <w:tcPr>
            <w:tcW w:w="4747" w:type="dxa"/>
          </w:tcPr>
          <w:p w14:paraId="6247F911" w14:textId="17D93517" w:rsidR="00C055DB" w:rsidRPr="00372083" w:rsidRDefault="00C055DB" w:rsidP="00C055DB">
            <w:pPr>
              <w:rPr>
                <w:b/>
                <w:sz w:val="18"/>
                <w:szCs w:val="18"/>
              </w:rPr>
            </w:pPr>
          </w:p>
        </w:tc>
      </w:tr>
      <w:tr w:rsidR="00483E64" w14:paraId="1B9BFE16" w14:textId="77777777" w:rsidTr="002A2BCE">
        <w:tc>
          <w:tcPr>
            <w:tcW w:w="3510" w:type="dxa"/>
            <w:vMerge/>
          </w:tcPr>
          <w:p w14:paraId="50EC8E6A" w14:textId="77777777" w:rsidR="00C055DB" w:rsidRDefault="00C055DB" w:rsidP="00C055DB">
            <w:pPr>
              <w:rPr>
                <w:rFonts w:cs="Minion Pro"/>
                <w:sz w:val="18"/>
                <w:szCs w:val="18"/>
              </w:rPr>
            </w:pPr>
          </w:p>
        </w:tc>
        <w:tc>
          <w:tcPr>
            <w:tcW w:w="4343" w:type="dxa"/>
            <w:gridSpan w:val="3"/>
            <w:shd w:val="clear" w:color="auto" w:fill="auto"/>
          </w:tcPr>
          <w:p w14:paraId="1E204610"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572C8736"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24C13AF" w14:textId="77777777" w:rsidR="00C055DB" w:rsidRPr="00372083" w:rsidRDefault="00C055DB" w:rsidP="00C055DB">
            <w:pPr>
              <w:rPr>
                <w:b/>
                <w:sz w:val="18"/>
                <w:szCs w:val="18"/>
              </w:rPr>
            </w:pPr>
          </w:p>
        </w:tc>
      </w:tr>
      <w:tr w:rsidR="00773AD2" w:rsidRPr="00EA5477" w14:paraId="23759E52" w14:textId="77777777" w:rsidTr="002A2BCE">
        <w:trPr>
          <w:trHeight w:val="782"/>
        </w:trPr>
        <w:tc>
          <w:tcPr>
            <w:tcW w:w="3510" w:type="dxa"/>
            <w:vMerge w:val="restart"/>
            <w:shd w:val="clear" w:color="auto" w:fill="FFFFFF" w:themeFill="background1"/>
          </w:tcPr>
          <w:p w14:paraId="4A6F5FD8"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2DBCB0BF"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3AD5499B" w14:textId="77777777" w:rsidR="00773AD2" w:rsidRPr="00EA5477" w:rsidRDefault="00773AD2" w:rsidP="00C055DB">
            <w:pPr>
              <w:tabs>
                <w:tab w:val="left" w:pos="360"/>
              </w:tabs>
              <w:jc w:val="center"/>
              <w:rPr>
                <w:b/>
                <w:szCs w:val="20"/>
              </w:rPr>
            </w:pPr>
          </w:p>
        </w:tc>
      </w:tr>
      <w:tr w:rsidR="002248F9" w:rsidRPr="00EF0E8F" w14:paraId="75146CEC" w14:textId="77777777" w:rsidTr="002A2BCE">
        <w:trPr>
          <w:trHeight w:val="296"/>
        </w:trPr>
        <w:tc>
          <w:tcPr>
            <w:tcW w:w="3510" w:type="dxa"/>
            <w:vMerge/>
            <w:shd w:val="clear" w:color="auto" w:fill="FFFFFF" w:themeFill="background1"/>
          </w:tcPr>
          <w:p w14:paraId="72476F8D" w14:textId="77777777" w:rsidR="002248F9" w:rsidRPr="00372083" w:rsidRDefault="002248F9" w:rsidP="00C055DB">
            <w:pPr>
              <w:rPr>
                <w:sz w:val="18"/>
                <w:szCs w:val="18"/>
                <w:u w:val="single"/>
              </w:rPr>
            </w:pPr>
          </w:p>
        </w:tc>
        <w:tc>
          <w:tcPr>
            <w:tcW w:w="4883" w:type="dxa"/>
            <w:gridSpan w:val="5"/>
          </w:tcPr>
          <w:p w14:paraId="398F642B"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4D02877C"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5C4E999E" w14:textId="77777777" w:rsidTr="002A2BCE">
        <w:tc>
          <w:tcPr>
            <w:tcW w:w="3510" w:type="dxa"/>
            <w:vMerge/>
            <w:shd w:val="clear" w:color="auto" w:fill="FFFFFF" w:themeFill="background1"/>
          </w:tcPr>
          <w:p w14:paraId="2BA38183"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AAC4818" w14:textId="77777777" w:rsidR="00F536BB" w:rsidRPr="007A770F" w:rsidRDefault="00F536BB" w:rsidP="00C055DB">
            <w:pPr>
              <w:tabs>
                <w:tab w:val="left" w:pos="270"/>
              </w:tabs>
              <w:ind w:left="270" w:hanging="270"/>
              <w:rPr>
                <w:b/>
                <w:i/>
                <w:sz w:val="18"/>
                <w:szCs w:val="18"/>
                <w:highlight w:val="yellow"/>
              </w:rPr>
            </w:pPr>
            <w:r w:rsidRPr="007A770F">
              <w:rPr>
                <w:b/>
                <w:i/>
                <w:sz w:val="18"/>
                <w:szCs w:val="18"/>
                <w:highlight w:val="yellow"/>
              </w:rPr>
              <w:t>Principle 1: Human Rights</w:t>
            </w:r>
          </w:p>
        </w:tc>
        <w:tc>
          <w:tcPr>
            <w:tcW w:w="540" w:type="dxa"/>
            <w:gridSpan w:val="2"/>
            <w:vAlign w:val="center"/>
          </w:tcPr>
          <w:p w14:paraId="7E56A1D3" w14:textId="77777777" w:rsidR="00F536BB" w:rsidRPr="007A770F" w:rsidRDefault="00010799" w:rsidP="00C055DB">
            <w:pPr>
              <w:tabs>
                <w:tab w:val="left" w:pos="360"/>
              </w:tabs>
              <w:rPr>
                <w:sz w:val="18"/>
                <w:szCs w:val="18"/>
                <w:highlight w:val="yellow"/>
              </w:rPr>
            </w:pPr>
            <w:r w:rsidRPr="007A770F">
              <w:rPr>
                <w:rFonts w:ascii="Segoe UI Symbol" w:hAnsi="Segoe UI Symbol" w:cs="Segoe UI Symbol"/>
                <w:b/>
                <w:szCs w:val="20"/>
                <w:highlight w:val="yellow"/>
              </w:rPr>
              <w:t>x</w:t>
            </w:r>
          </w:p>
        </w:tc>
        <w:tc>
          <w:tcPr>
            <w:tcW w:w="4747" w:type="dxa"/>
          </w:tcPr>
          <w:p w14:paraId="5C8B0513" w14:textId="77777777" w:rsidR="00F536BB" w:rsidRPr="007A770F" w:rsidRDefault="00010799" w:rsidP="00C055DB">
            <w:pPr>
              <w:tabs>
                <w:tab w:val="left" w:pos="360"/>
              </w:tabs>
              <w:rPr>
                <w:sz w:val="18"/>
                <w:szCs w:val="18"/>
                <w:highlight w:val="yellow"/>
              </w:rPr>
            </w:pPr>
            <w:r w:rsidRPr="007A770F">
              <w:rPr>
                <w:sz w:val="18"/>
                <w:szCs w:val="18"/>
                <w:highlight w:val="yellow"/>
              </w:rPr>
              <w:t>Yes</w:t>
            </w:r>
          </w:p>
        </w:tc>
      </w:tr>
      <w:tr w:rsidR="00483E64" w:rsidRPr="00EF0E8F" w14:paraId="5893C495" w14:textId="77777777" w:rsidTr="002A2BCE">
        <w:tc>
          <w:tcPr>
            <w:tcW w:w="3510" w:type="dxa"/>
            <w:vMerge/>
            <w:shd w:val="clear" w:color="auto" w:fill="FFFFFF" w:themeFill="background1"/>
          </w:tcPr>
          <w:p w14:paraId="4E683BEE"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0FD00B21" w14:textId="77777777" w:rsidR="00F536BB" w:rsidRPr="007A770F" w:rsidRDefault="00F536BB" w:rsidP="00C055DB">
            <w:pPr>
              <w:tabs>
                <w:tab w:val="left" w:pos="270"/>
              </w:tabs>
              <w:ind w:left="270" w:hanging="270"/>
              <w:rPr>
                <w:b/>
                <w:i/>
                <w:sz w:val="18"/>
                <w:szCs w:val="18"/>
              </w:rPr>
            </w:pPr>
            <w:r w:rsidRPr="007A770F">
              <w:rPr>
                <w:b/>
                <w:i/>
                <w:sz w:val="18"/>
                <w:szCs w:val="18"/>
              </w:rPr>
              <w:t>Principle 2: Gender Equality and Women’s Empowerment</w:t>
            </w:r>
          </w:p>
        </w:tc>
        <w:tc>
          <w:tcPr>
            <w:tcW w:w="540" w:type="dxa"/>
            <w:gridSpan w:val="2"/>
            <w:vAlign w:val="center"/>
          </w:tcPr>
          <w:p w14:paraId="3B47B985" w14:textId="45F782C0" w:rsidR="00F536BB" w:rsidRPr="007A770F" w:rsidRDefault="00260E91" w:rsidP="00C055DB">
            <w:pPr>
              <w:tabs>
                <w:tab w:val="left" w:pos="360"/>
              </w:tabs>
              <w:rPr>
                <w:sz w:val="18"/>
                <w:szCs w:val="18"/>
              </w:rPr>
            </w:pPr>
            <w:r>
              <w:rPr>
                <w:rFonts w:ascii="Segoe UI Symbol" w:hAnsi="Segoe UI Symbol" w:cs="Segoe UI Symbol"/>
                <w:b/>
                <w:szCs w:val="20"/>
              </w:rPr>
              <w:t>x</w:t>
            </w:r>
          </w:p>
        </w:tc>
        <w:tc>
          <w:tcPr>
            <w:tcW w:w="4747" w:type="dxa"/>
          </w:tcPr>
          <w:p w14:paraId="49A4F690" w14:textId="12CAEFBE" w:rsidR="00F536BB" w:rsidRPr="007A770F" w:rsidRDefault="00260E91" w:rsidP="00C055DB">
            <w:pPr>
              <w:tabs>
                <w:tab w:val="left" w:pos="360"/>
              </w:tabs>
              <w:rPr>
                <w:sz w:val="18"/>
                <w:szCs w:val="18"/>
              </w:rPr>
            </w:pPr>
            <w:r>
              <w:rPr>
                <w:sz w:val="18"/>
                <w:szCs w:val="18"/>
              </w:rPr>
              <w:t>YES</w:t>
            </w:r>
          </w:p>
        </w:tc>
      </w:tr>
      <w:tr w:rsidR="00483E64" w:rsidRPr="00EF0E8F" w14:paraId="01463390" w14:textId="77777777" w:rsidTr="002A2BCE">
        <w:tc>
          <w:tcPr>
            <w:tcW w:w="3510" w:type="dxa"/>
            <w:vMerge/>
            <w:shd w:val="clear" w:color="auto" w:fill="FFFFFF" w:themeFill="background1"/>
          </w:tcPr>
          <w:p w14:paraId="37E972E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1E9DB8B"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53980BE2"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B0CB346" w14:textId="77777777" w:rsidR="00F536BB" w:rsidRPr="00EF0E8F" w:rsidRDefault="00474BFA" w:rsidP="00C055DB">
            <w:pPr>
              <w:tabs>
                <w:tab w:val="left" w:pos="360"/>
              </w:tabs>
              <w:rPr>
                <w:sz w:val="18"/>
                <w:szCs w:val="18"/>
              </w:rPr>
            </w:pPr>
            <w:r>
              <w:rPr>
                <w:sz w:val="18"/>
                <w:szCs w:val="18"/>
              </w:rPr>
              <w:t>No</w:t>
            </w:r>
          </w:p>
        </w:tc>
      </w:tr>
      <w:tr w:rsidR="00483E64" w:rsidRPr="00EF0E8F" w14:paraId="6195EB36" w14:textId="77777777" w:rsidTr="002A2BCE">
        <w:tc>
          <w:tcPr>
            <w:tcW w:w="3510" w:type="dxa"/>
            <w:vMerge/>
            <w:shd w:val="clear" w:color="auto" w:fill="FFFFFF" w:themeFill="background1"/>
          </w:tcPr>
          <w:p w14:paraId="7D34D873"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F60BC5F"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6D2772F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D730BBC" w14:textId="77777777" w:rsidR="00F536BB" w:rsidRPr="00EF0E8F" w:rsidRDefault="00474BFA" w:rsidP="00C055DB">
            <w:pPr>
              <w:tabs>
                <w:tab w:val="left" w:pos="360"/>
              </w:tabs>
              <w:rPr>
                <w:sz w:val="18"/>
                <w:szCs w:val="18"/>
              </w:rPr>
            </w:pPr>
            <w:r>
              <w:rPr>
                <w:sz w:val="18"/>
                <w:szCs w:val="18"/>
              </w:rPr>
              <w:t>No</w:t>
            </w:r>
          </w:p>
        </w:tc>
      </w:tr>
      <w:tr w:rsidR="00483E64" w:rsidRPr="00EF0E8F" w14:paraId="6797FCC7" w14:textId="77777777" w:rsidTr="002A2BCE">
        <w:tc>
          <w:tcPr>
            <w:tcW w:w="3510" w:type="dxa"/>
            <w:vMerge/>
            <w:shd w:val="clear" w:color="auto" w:fill="FFFFFF" w:themeFill="background1"/>
          </w:tcPr>
          <w:p w14:paraId="4F6D4E2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2F5B4E30"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5CD34720" w14:textId="51711635" w:rsidR="00F536BB" w:rsidRPr="00EF0E8F" w:rsidRDefault="00BF0D0F" w:rsidP="00C055DB">
            <w:pPr>
              <w:tabs>
                <w:tab w:val="left" w:pos="360"/>
              </w:tabs>
              <w:rPr>
                <w:sz w:val="18"/>
                <w:szCs w:val="18"/>
              </w:rPr>
            </w:pPr>
            <w:r w:rsidRPr="00372083">
              <w:rPr>
                <w:rFonts w:ascii="Segoe UI Symbol" w:hAnsi="Segoe UI Symbol" w:cs="Segoe UI Symbol"/>
                <w:b/>
                <w:szCs w:val="20"/>
              </w:rPr>
              <w:t>☐</w:t>
            </w:r>
          </w:p>
        </w:tc>
        <w:tc>
          <w:tcPr>
            <w:tcW w:w="4747" w:type="dxa"/>
          </w:tcPr>
          <w:p w14:paraId="305C7F9A" w14:textId="77777777" w:rsidR="00F536BB" w:rsidRPr="00EF0E8F" w:rsidRDefault="00474BFA" w:rsidP="00C055DB">
            <w:pPr>
              <w:tabs>
                <w:tab w:val="left" w:pos="360"/>
              </w:tabs>
              <w:rPr>
                <w:sz w:val="18"/>
                <w:szCs w:val="18"/>
              </w:rPr>
            </w:pPr>
            <w:r>
              <w:rPr>
                <w:sz w:val="18"/>
                <w:szCs w:val="18"/>
              </w:rPr>
              <w:t>Yes</w:t>
            </w:r>
          </w:p>
        </w:tc>
      </w:tr>
      <w:tr w:rsidR="00483E64" w:rsidRPr="00EF0E8F" w14:paraId="606D5311" w14:textId="77777777" w:rsidTr="002A2BCE">
        <w:tc>
          <w:tcPr>
            <w:tcW w:w="3510" w:type="dxa"/>
            <w:vMerge/>
            <w:shd w:val="clear" w:color="auto" w:fill="FFFFFF" w:themeFill="background1"/>
          </w:tcPr>
          <w:p w14:paraId="4CC943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024AEE2"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7A55F162"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E1A4246" w14:textId="77777777" w:rsidR="00F536BB" w:rsidRPr="00EF0E8F" w:rsidRDefault="00474BFA" w:rsidP="00C055DB">
            <w:pPr>
              <w:tabs>
                <w:tab w:val="left" w:pos="360"/>
              </w:tabs>
              <w:rPr>
                <w:sz w:val="18"/>
                <w:szCs w:val="18"/>
              </w:rPr>
            </w:pPr>
            <w:r>
              <w:rPr>
                <w:sz w:val="18"/>
                <w:szCs w:val="18"/>
              </w:rPr>
              <w:t>No</w:t>
            </w:r>
          </w:p>
        </w:tc>
      </w:tr>
      <w:tr w:rsidR="00483E64" w:rsidRPr="00EF0E8F" w14:paraId="75BB23A3" w14:textId="77777777" w:rsidTr="002A2BCE">
        <w:tc>
          <w:tcPr>
            <w:tcW w:w="3510" w:type="dxa"/>
            <w:vMerge/>
            <w:shd w:val="clear" w:color="auto" w:fill="FFFFFF" w:themeFill="background1"/>
          </w:tcPr>
          <w:p w14:paraId="5D1892A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2BE3A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26D43ED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77A9BE3" w14:textId="77777777" w:rsidR="00F536BB" w:rsidRPr="00EF0E8F" w:rsidRDefault="00474BFA" w:rsidP="00C055DB">
            <w:pPr>
              <w:tabs>
                <w:tab w:val="left" w:pos="360"/>
              </w:tabs>
              <w:rPr>
                <w:sz w:val="18"/>
                <w:szCs w:val="18"/>
              </w:rPr>
            </w:pPr>
            <w:r>
              <w:rPr>
                <w:sz w:val="18"/>
                <w:szCs w:val="18"/>
              </w:rPr>
              <w:t>No</w:t>
            </w:r>
          </w:p>
        </w:tc>
      </w:tr>
      <w:tr w:rsidR="00483E64" w:rsidRPr="00EF0E8F" w14:paraId="71B2C77C" w14:textId="77777777" w:rsidTr="002A2BCE">
        <w:tc>
          <w:tcPr>
            <w:tcW w:w="3510" w:type="dxa"/>
            <w:vMerge/>
            <w:shd w:val="clear" w:color="auto" w:fill="FFFFFF" w:themeFill="background1"/>
          </w:tcPr>
          <w:p w14:paraId="27530BB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7F4594C"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341283D7" w14:textId="77777777" w:rsidR="00F536BB" w:rsidRPr="00376868" w:rsidRDefault="00F536BB" w:rsidP="00C055DB">
            <w:pPr>
              <w:tabs>
                <w:tab w:val="left" w:pos="360"/>
              </w:tabs>
              <w:rPr>
                <w:sz w:val="18"/>
                <w:szCs w:val="18"/>
              </w:rPr>
            </w:pPr>
            <w:r w:rsidRPr="00376868">
              <w:rPr>
                <w:rFonts w:ascii="Segoe UI Symbol" w:hAnsi="Segoe UI Symbol" w:cs="Segoe UI Symbol"/>
                <w:b/>
                <w:szCs w:val="20"/>
              </w:rPr>
              <w:t>☐</w:t>
            </w:r>
          </w:p>
        </w:tc>
        <w:tc>
          <w:tcPr>
            <w:tcW w:w="4747" w:type="dxa"/>
          </w:tcPr>
          <w:p w14:paraId="455890AB" w14:textId="77777777" w:rsidR="00F536BB" w:rsidRPr="001C0DDC" w:rsidRDefault="00474BFA" w:rsidP="00C055DB">
            <w:pPr>
              <w:tabs>
                <w:tab w:val="left" w:pos="360"/>
              </w:tabs>
              <w:rPr>
                <w:sz w:val="18"/>
                <w:szCs w:val="18"/>
              </w:rPr>
            </w:pPr>
            <w:r w:rsidRPr="001C0DDC">
              <w:rPr>
                <w:sz w:val="18"/>
                <w:szCs w:val="18"/>
              </w:rPr>
              <w:t>No</w:t>
            </w:r>
          </w:p>
        </w:tc>
      </w:tr>
      <w:tr w:rsidR="00483E64" w:rsidRPr="00EF0E8F" w14:paraId="43C9AFEE" w14:textId="77777777" w:rsidTr="002A2BCE">
        <w:tc>
          <w:tcPr>
            <w:tcW w:w="3510" w:type="dxa"/>
            <w:vMerge/>
            <w:shd w:val="clear" w:color="auto" w:fill="FFFFFF" w:themeFill="background1"/>
          </w:tcPr>
          <w:p w14:paraId="729BD84E"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FC616B4"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D61E6A9" w14:textId="77777777" w:rsidR="00F536BB" w:rsidRPr="00376868" w:rsidRDefault="002619DA" w:rsidP="00C055DB">
            <w:pPr>
              <w:tabs>
                <w:tab w:val="left" w:pos="360"/>
              </w:tabs>
              <w:rPr>
                <w:sz w:val="18"/>
                <w:szCs w:val="18"/>
              </w:rPr>
            </w:pPr>
            <w:r w:rsidRPr="00376868">
              <w:rPr>
                <w:rFonts w:ascii="Segoe UI Symbol" w:hAnsi="Segoe UI Symbol" w:cs="Segoe UI Symbol"/>
                <w:b/>
                <w:szCs w:val="20"/>
              </w:rPr>
              <w:t>☐</w:t>
            </w:r>
          </w:p>
        </w:tc>
        <w:tc>
          <w:tcPr>
            <w:tcW w:w="4747" w:type="dxa"/>
          </w:tcPr>
          <w:p w14:paraId="3FDAB11E" w14:textId="77777777" w:rsidR="00F536BB" w:rsidRPr="001C0DDC" w:rsidRDefault="002619DA" w:rsidP="00C055DB">
            <w:pPr>
              <w:tabs>
                <w:tab w:val="left" w:pos="360"/>
              </w:tabs>
              <w:rPr>
                <w:sz w:val="18"/>
                <w:szCs w:val="18"/>
              </w:rPr>
            </w:pPr>
            <w:r w:rsidRPr="001C0DDC">
              <w:rPr>
                <w:sz w:val="18"/>
                <w:szCs w:val="18"/>
              </w:rPr>
              <w:t>No</w:t>
            </w:r>
          </w:p>
        </w:tc>
      </w:tr>
    </w:tbl>
    <w:p w14:paraId="2B6F03BF"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5CEF7866"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3B64DCDC" w14:textId="77777777" w:rsidTr="00C1348E">
        <w:tc>
          <w:tcPr>
            <w:tcW w:w="2875" w:type="dxa"/>
            <w:shd w:val="clear" w:color="auto" w:fill="C6D9F1" w:themeFill="text2" w:themeFillTint="33"/>
          </w:tcPr>
          <w:p w14:paraId="69EABBDE"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6D36132E"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4E8ABC41"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766BA3EE" w14:textId="77777777" w:rsidTr="00C1348E">
        <w:trPr>
          <w:trHeight w:val="629"/>
        </w:trPr>
        <w:tc>
          <w:tcPr>
            <w:tcW w:w="2875" w:type="dxa"/>
          </w:tcPr>
          <w:p w14:paraId="2779B632"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034F6094" w14:textId="77777777" w:rsidR="00F84586" w:rsidRPr="00BD03F6" w:rsidRDefault="00F84586" w:rsidP="00DD330A">
            <w:pPr>
              <w:tabs>
                <w:tab w:val="left" w:pos="360"/>
                <w:tab w:val="left" w:pos="4320"/>
              </w:tabs>
              <w:rPr>
                <w:szCs w:val="20"/>
              </w:rPr>
            </w:pPr>
          </w:p>
        </w:tc>
        <w:tc>
          <w:tcPr>
            <w:tcW w:w="8725" w:type="dxa"/>
          </w:tcPr>
          <w:p w14:paraId="1738BB06"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0A974A50" w14:textId="77777777" w:rsidTr="00C1348E">
        <w:tc>
          <w:tcPr>
            <w:tcW w:w="2875" w:type="dxa"/>
          </w:tcPr>
          <w:p w14:paraId="1A7CCEA2"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10FE95B" w14:textId="77777777" w:rsidR="00F84586" w:rsidRPr="00BD03F6" w:rsidRDefault="00F84586" w:rsidP="00DD330A">
            <w:pPr>
              <w:tabs>
                <w:tab w:val="left" w:pos="360"/>
                <w:tab w:val="left" w:pos="4320"/>
              </w:tabs>
              <w:rPr>
                <w:szCs w:val="20"/>
              </w:rPr>
            </w:pPr>
          </w:p>
        </w:tc>
        <w:tc>
          <w:tcPr>
            <w:tcW w:w="8725" w:type="dxa"/>
          </w:tcPr>
          <w:p w14:paraId="1A780CFF"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059540A" w14:textId="77777777" w:rsidTr="00C1348E">
        <w:tc>
          <w:tcPr>
            <w:tcW w:w="2875" w:type="dxa"/>
          </w:tcPr>
          <w:p w14:paraId="690A90F6" w14:textId="77777777" w:rsidR="00F84586" w:rsidRPr="00BD03F6" w:rsidRDefault="002B4DFC" w:rsidP="00DD330A">
            <w:pPr>
              <w:tabs>
                <w:tab w:val="left" w:pos="360"/>
                <w:tab w:val="left" w:pos="4320"/>
              </w:tabs>
              <w:rPr>
                <w:szCs w:val="20"/>
              </w:rPr>
            </w:pPr>
            <w:r>
              <w:rPr>
                <w:szCs w:val="20"/>
              </w:rPr>
              <w:t>L</w:t>
            </w:r>
            <w:r w:rsidR="00F84586" w:rsidRPr="00BD03F6">
              <w:rPr>
                <w:szCs w:val="20"/>
              </w:rPr>
              <w:t>PAC Chair</w:t>
            </w:r>
          </w:p>
        </w:tc>
        <w:tc>
          <w:tcPr>
            <w:tcW w:w="1350" w:type="dxa"/>
          </w:tcPr>
          <w:p w14:paraId="55682C85" w14:textId="77777777" w:rsidR="00F84586" w:rsidRPr="00BD03F6" w:rsidRDefault="00F84586" w:rsidP="00DD330A">
            <w:pPr>
              <w:tabs>
                <w:tab w:val="left" w:pos="360"/>
                <w:tab w:val="left" w:pos="4320"/>
              </w:tabs>
              <w:rPr>
                <w:szCs w:val="20"/>
              </w:rPr>
            </w:pPr>
          </w:p>
        </w:tc>
        <w:tc>
          <w:tcPr>
            <w:tcW w:w="8725" w:type="dxa"/>
          </w:tcPr>
          <w:p w14:paraId="1880CD86"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DF9CC9E" w14:textId="77777777" w:rsidR="00ED54B8" w:rsidRDefault="00ED54B8" w:rsidP="003947BC">
      <w:pPr>
        <w:sectPr w:rsidR="00ED54B8" w:rsidSect="002B4DFC">
          <w:pgSz w:w="15840" w:h="12240" w:orient="landscape"/>
          <w:pgMar w:top="1080" w:right="1440" w:bottom="1440" w:left="1440" w:header="720" w:footer="720" w:gutter="0"/>
          <w:cols w:space="720"/>
          <w:titlePg/>
          <w:docGrid w:linePitch="360"/>
        </w:sectPr>
      </w:pPr>
    </w:p>
    <w:p w14:paraId="132B79BB"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05E9B47B" w14:textId="77777777" w:rsidR="00C96C3D" w:rsidRDefault="00C96C3D" w:rsidP="000E4A7F"/>
    <w:p w14:paraId="71BD9957"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6BD1D60C" w14:textId="77777777" w:rsidTr="00E603E0">
        <w:tc>
          <w:tcPr>
            <w:tcW w:w="8635" w:type="dxa"/>
            <w:tcBorders>
              <w:bottom w:val="single" w:sz="4" w:space="0" w:color="auto"/>
            </w:tcBorders>
            <w:shd w:val="clear" w:color="auto" w:fill="8DB3E2" w:themeFill="text2" w:themeFillTint="66"/>
          </w:tcPr>
          <w:p w14:paraId="11B08376"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3BB00C3A" w14:textId="77777777" w:rsidR="00F07AAC" w:rsidRPr="009D2BD0" w:rsidRDefault="00F07AAC" w:rsidP="00E336CC">
            <w:pPr>
              <w:tabs>
                <w:tab w:val="left" w:pos="810"/>
              </w:tabs>
              <w:rPr>
                <w:rFonts w:eastAsia="Times New Roman"/>
                <w:sz w:val="22"/>
                <w:szCs w:val="22"/>
              </w:rPr>
            </w:pPr>
          </w:p>
        </w:tc>
      </w:tr>
      <w:tr w:rsidR="00F07AAC" w:rsidRPr="002E0918" w14:paraId="45A82879" w14:textId="77777777" w:rsidTr="00E603E0">
        <w:tc>
          <w:tcPr>
            <w:tcW w:w="8635" w:type="dxa"/>
            <w:tcBorders>
              <w:bottom w:val="single" w:sz="4" w:space="0" w:color="auto"/>
            </w:tcBorders>
            <w:shd w:val="clear" w:color="auto" w:fill="DBE5F1" w:themeFill="accent1" w:themeFillTint="33"/>
          </w:tcPr>
          <w:p w14:paraId="6C0D876A"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E10CD7D"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3EAD29D2" w14:textId="77777777" w:rsidTr="00E603E0">
        <w:tc>
          <w:tcPr>
            <w:tcW w:w="8635" w:type="dxa"/>
            <w:tcBorders>
              <w:bottom w:val="single" w:sz="4" w:space="0" w:color="auto"/>
            </w:tcBorders>
            <w:shd w:val="clear" w:color="auto" w:fill="auto"/>
          </w:tcPr>
          <w:p w14:paraId="5F2591A8"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3F51C2DB" w14:textId="77777777" w:rsidR="008F36AD" w:rsidRPr="002E0918" w:rsidRDefault="00474BFA" w:rsidP="00D0789F">
            <w:pPr>
              <w:tabs>
                <w:tab w:val="left" w:pos="810"/>
              </w:tabs>
              <w:rPr>
                <w:sz w:val="18"/>
                <w:szCs w:val="18"/>
              </w:rPr>
            </w:pPr>
            <w:r>
              <w:rPr>
                <w:sz w:val="18"/>
                <w:szCs w:val="18"/>
              </w:rPr>
              <w:t>No</w:t>
            </w:r>
          </w:p>
        </w:tc>
      </w:tr>
      <w:tr w:rsidR="00F07AAC" w:rsidRPr="002E0918" w14:paraId="326F228F" w14:textId="77777777" w:rsidTr="00E603E0">
        <w:tc>
          <w:tcPr>
            <w:tcW w:w="8635" w:type="dxa"/>
            <w:tcBorders>
              <w:bottom w:val="single" w:sz="4" w:space="0" w:color="auto"/>
            </w:tcBorders>
            <w:shd w:val="clear" w:color="auto" w:fill="auto"/>
          </w:tcPr>
          <w:p w14:paraId="142A241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6"/>
            </w:r>
            <w:r w:rsidR="006C7126">
              <w:rPr>
                <w:rFonts w:eastAsia="Times New Roman"/>
                <w:sz w:val="18"/>
                <w:szCs w:val="18"/>
              </w:rPr>
              <w:t xml:space="preserve"> </w:t>
            </w:r>
          </w:p>
        </w:tc>
        <w:tc>
          <w:tcPr>
            <w:tcW w:w="833" w:type="dxa"/>
            <w:tcBorders>
              <w:bottom w:val="single" w:sz="4" w:space="0" w:color="auto"/>
            </w:tcBorders>
            <w:shd w:val="clear" w:color="auto" w:fill="auto"/>
          </w:tcPr>
          <w:p w14:paraId="2FB79F83" w14:textId="77777777" w:rsidR="00F07AAC" w:rsidRPr="002E0918" w:rsidRDefault="00474BFA" w:rsidP="00D0789F">
            <w:pPr>
              <w:tabs>
                <w:tab w:val="left" w:pos="810"/>
              </w:tabs>
              <w:rPr>
                <w:sz w:val="18"/>
                <w:szCs w:val="18"/>
              </w:rPr>
            </w:pPr>
            <w:r>
              <w:rPr>
                <w:sz w:val="18"/>
                <w:szCs w:val="18"/>
              </w:rPr>
              <w:t>No</w:t>
            </w:r>
          </w:p>
        </w:tc>
      </w:tr>
      <w:tr w:rsidR="00F07AAC" w:rsidRPr="002E0918" w14:paraId="0CE4D866" w14:textId="77777777" w:rsidTr="00E603E0">
        <w:tc>
          <w:tcPr>
            <w:tcW w:w="8635" w:type="dxa"/>
            <w:tcBorders>
              <w:bottom w:val="single" w:sz="4" w:space="0" w:color="auto"/>
            </w:tcBorders>
            <w:shd w:val="clear" w:color="auto" w:fill="auto"/>
          </w:tcPr>
          <w:p w14:paraId="6C8D83BD"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0C03E7EB" w14:textId="77777777" w:rsidR="00F07AAC" w:rsidRPr="002E0918" w:rsidRDefault="00474BFA" w:rsidP="00D0789F">
            <w:pPr>
              <w:tabs>
                <w:tab w:val="left" w:pos="810"/>
              </w:tabs>
              <w:rPr>
                <w:sz w:val="18"/>
                <w:szCs w:val="18"/>
              </w:rPr>
            </w:pPr>
            <w:r>
              <w:rPr>
                <w:sz w:val="18"/>
                <w:szCs w:val="18"/>
              </w:rPr>
              <w:t>No</w:t>
            </w:r>
          </w:p>
        </w:tc>
      </w:tr>
      <w:tr w:rsidR="00F07AAC" w:rsidRPr="002E0918" w14:paraId="3BB497BC" w14:textId="77777777" w:rsidTr="00E603E0">
        <w:tc>
          <w:tcPr>
            <w:tcW w:w="8635" w:type="dxa"/>
            <w:tcBorders>
              <w:bottom w:val="single" w:sz="4" w:space="0" w:color="auto"/>
            </w:tcBorders>
            <w:shd w:val="clear" w:color="auto" w:fill="auto"/>
          </w:tcPr>
          <w:p w14:paraId="424E731B"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56A2B989" w14:textId="77777777" w:rsidR="00F07AAC" w:rsidRPr="002E0918" w:rsidRDefault="00474BFA" w:rsidP="00D0789F">
            <w:pPr>
              <w:tabs>
                <w:tab w:val="left" w:pos="810"/>
              </w:tabs>
              <w:rPr>
                <w:sz w:val="18"/>
                <w:szCs w:val="18"/>
              </w:rPr>
            </w:pPr>
            <w:r>
              <w:rPr>
                <w:sz w:val="18"/>
                <w:szCs w:val="18"/>
              </w:rPr>
              <w:t>No</w:t>
            </w:r>
          </w:p>
        </w:tc>
      </w:tr>
      <w:tr w:rsidR="00F07AAC" w:rsidRPr="002E0918" w14:paraId="3A6ABFB0" w14:textId="77777777" w:rsidTr="00E603E0">
        <w:tc>
          <w:tcPr>
            <w:tcW w:w="8635" w:type="dxa"/>
            <w:tcBorders>
              <w:bottom w:val="single" w:sz="4" w:space="0" w:color="auto"/>
            </w:tcBorders>
            <w:shd w:val="clear" w:color="auto" w:fill="auto"/>
          </w:tcPr>
          <w:p w14:paraId="1A2DCE68" w14:textId="77777777" w:rsidR="00F07AAC" w:rsidRPr="00376868" w:rsidDel="00074D34" w:rsidRDefault="00C01EFE" w:rsidP="006C5B0D">
            <w:pPr>
              <w:tabs>
                <w:tab w:val="left" w:pos="900"/>
              </w:tabs>
              <w:spacing w:before="60" w:after="60"/>
              <w:ind w:left="567" w:hanging="567"/>
              <w:rPr>
                <w:rFonts w:eastAsia="Times New Roman"/>
                <w:sz w:val="18"/>
                <w:szCs w:val="18"/>
              </w:rPr>
            </w:pPr>
            <w:r w:rsidRPr="00376868">
              <w:rPr>
                <w:rFonts w:eastAsia="Times New Roman"/>
                <w:sz w:val="18"/>
                <w:szCs w:val="18"/>
              </w:rPr>
              <w:t>5</w:t>
            </w:r>
            <w:r w:rsidR="00F07AAC" w:rsidRPr="00376868">
              <w:rPr>
                <w:rFonts w:eastAsia="Times New Roman"/>
                <w:sz w:val="18"/>
                <w:szCs w:val="18"/>
              </w:rPr>
              <w:t>.</w:t>
            </w:r>
            <w:r w:rsidR="00F07AAC" w:rsidRPr="00376868">
              <w:rPr>
                <w:rFonts w:eastAsia="Times New Roman"/>
                <w:sz w:val="18"/>
                <w:szCs w:val="18"/>
              </w:rPr>
              <w:tab/>
            </w:r>
            <w:r w:rsidR="006C5B0D" w:rsidRPr="00376868">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A542DB7" w14:textId="77777777" w:rsidR="00F07AAC" w:rsidRPr="007A770F" w:rsidRDefault="00C77307" w:rsidP="00D0789F">
            <w:pPr>
              <w:tabs>
                <w:tab w:val="left" w:pos="810"/>
              </w:tabs>
              <w:rPr>
                <w:b/>
                <w:bCs/>
                <w:sz w:val="18"/>
                <w:szCs w:val="18"/>
              </w:rPr>
            </w:pPr>
            <w:r w:rsidRPr="007A770F">
              <w:rPr>
                <w:b/>
                <w:bCs/>
                <w:sz w:val="18"/>
                <w:szCs w:val="18"/>
              </w:rPr>
              <w:t>Yes</w:t>
            </w:r>
          </w:p>
        </w:tc>
      </w:tr>
      <w:tr w:rsidR="00F07AAC" w:rsidRPr="002E0918" w14:paraId="0017BFCD" w14:textId="77777777" w:rsidTr="00E603E0">
        <w:tc>
          <w:tcPr>
            <w:tcW w:w="8635" w:type="dxa"/>
            <w:tcBorders>
              <w:bottom w:val="single" w:sz="4" w:space="0" w:color="auto"/>
            </w:tcBorders>
            <w:shd w:val="clear" w:color="auto" w:fill="auto"/>
          </w:tcPr>
          <w:p w14:paraId="2C48A698"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7A2BDF05" w14:textId="77777777" w:rsidR="00F07AAC" w:rsidRPr="002E0918" w:rsidRDefault="00474BFA" w:rsidP="00D0789F">
            <w:pPr>
              <w:tabs>
                <w:tab w:val="left" w:pos="810"/>
              </w:tabs>
              <w:rPr>
                <w:sz w:val="18"/>
                <w:szCs w:val="18"/>
              </w:rPr>
            </w:pPr>
            <w:r>
              <w:rPr>
                <w:sz w:val="18"/>
                <w:szCs w:val="18"/>
              </w:rPr>
              <w:t>No</w:t>
            </w:r>
          </w:p>
        </w:tc>
      </w:tr>
      <w:tr w:rsidR="00F07AAC" w:rsidRPr="002E0918" w14:paraId="524D879D" w14:textId="77777777" w:rsidTr="00E603E0">
        <w:tc>
          <w:tcPr>
            <w:tcW w:w="8635" w:type="dxa"/>
            <w:tcBorders>
              <w:bottom w:val="single" w:sz="4" w:space="0" w:color="auto"/>
            </w:tcBorders>
            <w:shd w:val="clear" w:color="auto" w:fill="auto"/>
          </w:tcPr>
          <w:p w14:paraId="2A25CE0D"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075E9382" w14:textId="77777777" w:rsidR="00F07AAC" w:rsidRPr="002E0918" w:rsidRDefault="00474BFA" w:rsidP="00D0789F">
            <w:pPr>
              <w:tabs>
                <w:tab w:val="left" w:pos="810"/>
              </w:tabs>
              <w:rPr>
                <w:sz w:val="18"/>
                <w:szCs w:val="18"/>
              </w:rPr>
            </w:pPr>
            <w:r>
              <w:rPr>
                <w:sz w:val="18"/>
                <w:szCs w:val="18"/>
              </w:rPr>
              <w:t>No</w:t>
            </w:r>
          </w:p>
        </w:tc>
      </w:tr>
      <w:tr w:rsidR="00F07AAC" w:rsidRPr="002E0918" w14:paraId="75F6E1FE" w14:textId="77777777" w:rsidTr="00E603E0">
        <w:tc>
          <w:tcPr>
            <w:tcW w:w="8635" w:type="dxa"/>
            <w:tcBorders>
              <w:bottom w:val="single" w:sz="4" w:space="0" w:color="auto"/>
            </w:tcBorders>
            <w:shd w:val="clear" w:color="auto" w:fill="auto"/>
          </w:tcPr>
          <w:p w14:paraId="03588461"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5DB37C1" w14:textId="77777777" w:rsidR="00F07AAC" w:rsidRPr="002E0918" w:rsidRDefault="00474BFA" w:rsidP="00D0789F">
            <w:pPr>
              <w:tabs>
                <w:tab w:val="left" w:pos="810"/>
              </w:tabs>
              <w:rPr>
                <w:sz w:val="18"/>
                <w:szCs w:val="18"/>
              </w:rPr>
            </w:pPr>
            <w:r>
              <w:rPr>
                <w:sz w:val="18"/>
                <w:szCs w:val="18"/>
              </w:rPr>
              <w:t>No</w:t>
            </w:r>
          </w:p>
        </w:tc>
      </w:tr>
      <w:tr w:rsidR="00F07AAC" w:rsidRPr="002E0918" w14:paraId="1252A9A9" w14:textId="77777777" w:rsidTr="00E603E0">
        <w:tc>
          <w:tcPr>
            <w:tcW w:w="8635" w:type="dxa"/>
            <w:tcBorders>
              <w:bottom w:val="single" w:sz="4" w:space="0" w:color="auto"/>
            </w:tcBorders>
            <w:shd w:val="clear" w:color="auto" w:fill="DBE5F1" w:themeFill="accent1" w:themeFillTint="33"/>
          </w:tcPr>
          <w:p w14:paraId="1B48C948"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525E9A4F" w14:textId="77777777" w:rsidR="00F07AAC" w:rsidRPr="008E105C" w:rsidRDefault="00F07AAC" w:rsidP="008E105C">
            <w:pPr>
              <w:tabs>
                <w:tab w:val="left" w:pos="810"/>
              </w:tabs>
              <w:spacing w:before="120" w:after="120"/>
              <w:rPr>
                <w:b/>
                <w:sz w:val="18"/>
                <w:szCs w:val="18"/>
              </w:rPr>
            </w:pPr>
          </w:p>
        </w:tc>
      </w:tr>
      <w:tr w:rsidR="00F07AAC" w:rsidRPr="002E0918" w14:paraId="69D5FB8E" w14:textId="77777777" w:rsidTr="00E603E0">
        <w:tc>
          <w:tcPr>
            <w:tcW w:w="8635" w:type="dxa"/>
            <w:tcBorders>
              <w:bottom w:val="single" w:sz="4" w:space="0" w:color="auto"/>
            </w:tcBorders>
            <w:shd w:val="clear" w:color="auto" w:fill="auto"/>
          </w:tcPr>
          <w:p w14:paraId="08436D86"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1DCD58D7" w14:textId="77777777" w:rsidR="00F07AAC" w:rsidRPr="002E0918" w:rsidRDefault="00474BFA" w:rsidP="00D0789F">
            <w:pPr>
              <w:tabs>
                <w:tab w:val="left" w:pos="810"/>
              </w:tabs>
              <w:rPr>
                <w:sz w:val="18"/>
                <w:szCs w:val="18"/>
              </w:rPr>
            </w:pPr>
            <w:r>
              <w:rPr>
                <w:sz w:val="18"/>
                <w:szCs w:val="18"/>
              </w:rPr>
              <w:t>No</w:t>
            </w:r>
          </w:p>
        </w:tc>
      </w:tr>
      <w:tr w:rsidR="00F07AAC" w:rsidRPr="002E0918" w14:paraId="305A5666" w14:textId="77777777" w:rsidTr="00E603E0">
        <w:tc>
          <w:tcPr>
            <w:tcW w:w="8635" w:type="dxa"/>
            <w:tcBorders>
              <w:bottom w:val="single" w:sz="4" w:space="0" w:color="auto"/>
            </w:tcBorders>
            <w:shd w:val="clear" w:color="auto" w:fill="auto"/>
          </w:tcPr>
          <w:p w14:paraId="5120736A"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4F89ADF" w14:textId="77777777" w:rsidR="00F07AAC" w:rsidRPr="002E0918" w:rsidRDefault="00474BFA" w:rsidP="00D0789F">
            <w:pPr>
              <w:tabs>
                <w:tab w:val="left" w:pos="810"/>
              </w:tabs>
              <w:rPr>
                <w:sz w:val="18"/>
                <w:szCs w:val="18"/>
              </w:rPr>
            </w:pPr>
            <w:r>
              <w:rPr>
                <w:sz w:val="18"/>
                <w:szCs w:val="18"/>
              </w:rPr>
              <w:t>No</w:t>
            </w:r>
          </w:p>
        </w:tc>
      </w:tr>
      <w:tr w:rsidR="008A7431" w:rsidRPr="002E0918" w14:paraId="1CF8833A" w14:textId="77777777" w:rsidTr="00E603E0">
        <w:tc>
          <w:tcPr>
            <w:tcW w:w="8635" w:type="dxa"/>
            <w:tcBorders>
              <w:bottom w:val="single" w:sz="4" w:space="0" w:color="auto"/>
            </w:tcBorders>
            <w:shd w:val="clear" w:color="auto" w:fill="auto"/>
          </w:tcPr>
          <w:p w14:paraId="14B1446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6F9AB401" w14:textId="77777777" w:rsidR="008A7431" w:rsidRPr="002E0918" w:rsidRDefault="00474BFA" w:rsidP="00D0789F">
            <w:pPr>
              <w:tabs>
                <w:tab w:val="left" w:pos="810"/>
              </w:tabs>
              <w:rPr>
                <w:sz w:val="18"/>
                <w:szCs w:val="18"/>
              </w:rPr>
            </w:pPr>
            <w:r>
              <w:rPr>
                <w:sz w:val="18"/>
                <w:szCs w:val="18"/>
              </w:rPr>
              <w:t>No</w:t>
            </w:r>
          </w:p>
        </w:tc>
      </w:tr>
      <w:tr w:rsidR="00F07AAC" w:rsidRPr="002E0918" w14:paraId="7357A41D" w14:textId="77777777" w:rsidTr="00E603E0">
        <w:tc>
          <w:tcPr>
            <w:tcW w:w="8635" w:type="dxa"/>
            <w:tcBorders>
              <w:bottom w:val="single" w:sz="4" w:space="0" w:color="auto"/>
            </w:tcBorders>
            <w:shd w:val="clear" w:color="auto" w:fill="auto"/>
          </w:tcPr>
          <w:p w14:paraId="04CEFB1A"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1383BC4F"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DBEE74" w14:textId="77777777" w:rsidR="00F07AAC" w:rsidRPr="002E0918" w:rsidRDefault="00474BFA" w:rsidP="00D0789F">
            <w:pPr>
              <w:tabs>
                <w:tab w:val="left" w:pos="810"/>
              </w:tabs>
              <w:rPr>
                <w:sz w:val="18"/>
                <w:szCs w:val="18"/>
              </w:rPr>
            </w:pPr>
            <w:r>
              <w:rPr>
                <w:sz w:val="18"/>
                <w:szCs w:val="18"/>
              </w:rPr>
              <w:t>No</w:t>
            </w:r>
          </w:p>
        </w:tc>
      </w:tr>
      <w:tr w:rsidR="00F07AAC" w:rsidRPr="002E0918" w14:paraId="2DADB7DD" w14:textId="77777777" w:rsidTr="00E603E0">
        <w:tc>
          <w:tcPr>
            <w:tcW w:w="8635" w:type="dxa"/>
            <w:tcBorders>
              <w:bottom w:val="single" w:sz="4" w:space="0" w:color="auto"/>
            </w:tcBorders>
            <w:shd w:val="clear" w:color="auto" w:fill="DBE5F1" w:themeFill="accent1" w:themeFillTint="33"/>
          </w:tcPr>
          <w:p w14:paraId="043FF3C9"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24781441" w14:textId="77777777" w:rsidR="00F07AAC" w:rsidRPr="002E0918" w:rsidRDefault="00F07AAC" w:rsidP="00D0789F">
            <w:pPr>
              <w:tabs>
                <w:tab w:val="left" w:pos="810"/>
              </w:tabs>
              <w:rPr>
                <w:sz w:val="18"/>
                <w:szCs w:val="18"/>
              </w:rPr>
            </w:pPr>
          </w:p>
        </w:tc>
      </w:tr>
      <w:tr w:rsidR="00F07AAC" w:rsidRPr="002E0918" w14:paraId="400854B4" w14:textId="77777777" w:rsidTr="00E603E0">
        <w:tc>
          <w:tcPr>
            <w:tcW w:w="8635" w:type="dxa"/>
            <w:tcBorders>
              <w:bottom w:val="single" w:sz="4" w:space="0" w:color="auto"/>
            </w:tcBorders>
            <w:shd w:val="clear" w:color="auto" w:fill="auto"/>
          </w:tcPr>
          <w:p w14:paraId="7C73603D"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714004E2" w14:textId="77777777" w:rsidR="00F07AAC" w:rsidRPr="002E0918" w:rsidRDefault="00F07AAC" w:rsidP="00D0789F">
            <w:pPr>
              <w:tabs>
                <w:tab w:val="left" w:pos="810"/>
              </w:tabs>
              <w:rPr>
                <w:sz w:val="18"/>
                <w:szCs w:val="18"/>
              </w:rPr>
            </w:pPr>
          </w:p>
        </w:tc>
      </w:tr>
      <w:tr w:rsidR="00F07AAC" w:rsidRPr="00310835" w14:paraId="6CBE3780" w14:textId="77777777" w:rsidTr="00E603E0">
        <w:tc>
          <w:tcPr>
            <w:tcW w:w="8635" w:type="dxa"/>
            <w:tcBorders>
              <w:bottom w:val="single" w:sz="4" w:space="0" w:color="auto"/>
            </w:tcBorders>
            <w:shd w:val="clear" w:color="auto" w:fill="DBE5F1" w:themeFill="accent1" w:themeFillTint="33"/>
            <w:vAlign w:val="center"/>
          </w:tcPr>
          <w:p w14:paraId="1AA647F2"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7822DE7C" w14:textId="77777777" w:rsidR="00F07AAC" w:rsidRPr="00310835" w:rsidRDefault="00F07AAC" w:rsidP="00D0789F">
            <w:pPr>
              <w:rPr>
                <w:rFonts w:eastAsia="Times New Roman"/>
                <w:b/>
                <w:sz w:val="18"/>
                <w:szCs w:val="18"/>
              </w:rPr>
            </w:pPr>
          </w:p>
        </w:tc>
      </w:tr>
      <w:tr w:rsidR="00F07AAC" w:rsidRPr="00310835" w14:paraId="33500379" w14:textId="77777777" w:rsidTr="00E603E0">
        <w:tc>
          <w:tcPr>
            <w:tcW w:w="8635" w:type="dxa"/>
            <w:shd w:val="clear" w:color="auto" w:fill="auto"/>
          </w:tcPr>
          <w:p w14:paraId="58641E76"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13F1838A" w14:textId="77777777" w:rsidR="00F07AAC" w:rsidRPr="00310835" w:rsidRDefault="00474BFA" w:rsidP="00D0789F">
            <w:pPr>
              <w:rPr>
                <w:rFonts w:eastAsia="Times New Roman"/>
                <w:sz w:val="18"/>
                <w:szCs w:val="18"/>
              </w:rPr>
            </w:pPr>
            <w:r>
              <w:rPr>
                <w:rFonts w:eastAsia="Times New Roman"/>
                <w:sz w:val="18"/>
                <w:szCs w:val="18"/>
              </w:rPr>
              <w:lastRenderedPageBreak/>
              <w:t>No</w:t>
            </w:r>
          </w:p>
        </w:tc>
      </w:tr>
      <w:tr w:rsidR="00F07AAC" w:rsidRPr="00310835" w14:paraId="67C4640C" w14:textId="77777777" w:rsidTr="00E603E0">
        <w:tc>
          <w:tcPr>
            <w:tcW w:w="8635" w:type="dxa"/>
            <w:tcBorders>
              <w:bottom w:val="single" w:sz="4" w:space="0" w:color="auto"/>
            </w:tcBorders>
            <w:shd w:val="clear" w:color="auto" w:fill="auto"/>
          </w:tcPr>
          <w:p w14:paraId="1FA21798"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286FE582"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586DE5F3" w14:textId="77777777" w:rsidTr="00E603E0">
        <w:tc>
          <w:tcPr>
            <w:tcW w:w="8635" w:type="dxa"/>
            <w:tcBorders>
              <w:bottom w:val="single" w:sz="4" w:space="0" w:color="auto"/>
            </w:tcBorders>
            <w:shd w:val="clear" w:color="auto" w:fill="auto"/>
          </w:tcPr>
          <w:p w14:paraId="743F068F"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30EB92DD" w14:textId="77777777" w:rsidR="00F07AAC" w:rsidRPr="00310835" w:rsidRDefault="00AD3243" w:rsidP="00D0789F">
            <w:pPr>
              <w:rPr>
                <w:rFonts w:eastAsia="Times New Roman"/>
                <w:sz w:val="18"/>
                <w:szCs w:val="18"/>
              </w:rPr>
            </w:pPr>
            <w:r>
              <w:rPr>
                <w:rFonts w:eastAsia="Times New Roman"/>
                <w:sz w:val="18"/>
                <w:szCs w:val="18"/>
              </w:rPr>
              <w:t>No</w:t>
            </w:r>
          </w:p>
        </w:tc>
      </w:tr>
      <w:tr w:rsidR="00C32720" w:rsidRPr="00310835" w14:paraId="6A4679FC" w14:textId="77777777" w:rsidTr="00E603E0">
        <w:tc>
          <w:tcPr>
            <w:tcW w:w="8635" w:type="dxa"/>
            <w:tcBorders>
              <w:bottom w:val="single" w:sz="4" w:space="0" w:color="auto"/>
            </w:tcBorders>
            <w:shd w:val="clear" w:color="auto" w:fill="auto"/>
          </w:tcPr>
          <w:p w14:paraId="0B1B87ED"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3A3A511C" w14:textId="77777777" w:rsidR="00C32720" w:rsidRPr="00310835" w:rsidRDefault="00AD3243" w:rsidP="00D0789F">
            <w:pPr>
              <w:rPr>
                <w:rFonts w:eastAsia="Times New Roman"/>
                <w:sz w:val="18"/>
                <w:szCs w:val="18"/>
              </w:rPr>
            </w:pPr>
            <w:r>
              <w:rPr>
                <w:rFonts w:eastAsia="Times New Roman"/>
                <w:sz w:val="18"/>
                <w:szCs w:val="18"/>
              </w:rPr>
              <w:t>No</w:t>
            </w:r>
          </w:p>
        </w:tc>
      </w:tr>
      <w:tr w:rsidR="00F07AAC" w:rsidRPr="00310835" w14:paraId="0471034C" w14:textId="77777777" w:rsidTr="00E603E0">
        <w:tc>
          <w:tcPr>
            <w:tcW w:w="8635" w:type="dxa"/>
            <w:tcBorders>
              <w:bottom w:val="single" w:sz="4" w:space="0" w:color="auto"/>
            </w:tcBorders>
            <w:shd w:val="clear" w:color="auto" w:fill="auto"/>
          </w:tcPr>
          <w:p w14:paraId="2CC29815"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405127CF"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51A40B9F" w14:textId="77777777" w:rsidTr="00E603E0">
        <w:tc>
          <w:tcPr>
            <w:tcW w:w="8635" w:type="dxa"/>
            <w:tcBorders>
              <w:bottom w:val="single" w:sz="4" w:space="0" w:color="auto"/>
            </w:tcBorders>
            <w:shd w:val="clear" w:color="auto" w:fill="auto"/>
          </w:tcPr>
          <w:p w14:paraId="7E983EF1"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31B39691"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6037E586" w14:textId="77777777" w:rsidTr="00E603E0">
        <w:tc>
          <w:tcPr>
            <w:tcW w:w="8635" w:type="dxa"/>
            <w:tcBorders>
              <w:bottom w:val="single" w:sz="4" w:space="0" w:color="auto"/>
            </w:tcBorders>
            <w:shd w:val="clear" w:color="auto" w:fill="auto"/>
          </w:tcPr>
          <w:p w14:paraId="1D5EAF86"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4807C93"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1A7A4950" w14:textId="77777777" w:rsidTr="00E603E0">
        <w:tc>
          <w:tcPr>
            <w:tcW w:w="8635" w:type="dxa"/>
            <w:tcBorders>
              <w:bottom w:val="single" w:sz="4" w:space="0" w:color="auto"/>
            </w:tcBorders>
            <w:shd w:val="clear" w:color="auto" w:fill="auto"/>
          </w:tcPr>
          <w:p w14:paraId="5B6D2284"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04D1FDD2"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070308EE"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5A6E3269" w14:textId="77777777" w:rsidTr="00E603E0">
        <w:tc>
          <w:tcPr>
            <w:tcW w:w="8635" w:type="dxa"/>
            <w:tcBorders>
              <w:bottom w:val="single" w:sz="4" w:space="0" w:color="auto"/>
            </w:tcBorders>
            <w:shd w:val="clear" w:color="auto" w:fill="auto"/>
          </w:tcPr>
          <w:p w14:paraId="605B340A"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25E84365"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ECA3A2" w14:textId="77777777" w:rsidTr="00E603E0">
        <w:tc>
          <w:tcPr>
            <w:tcW w:w="8635" w:type="dxa"/>
            <w:tcBorders>
              <w:bottom w:val="single" w:sz="4" w:space="0" w:color="auto"/>
            </w:tcBorders>
            <w:shd w:val="clear" w:color="auto" w:fill="auto"/>
          </w:tcPr>
          <w:p w14:paraId="5090D33D"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5F04B6FB"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3B36F8D" w14:textId="77777777" w:rsidTr="00E603E0">
        <w:tc>
          <w:tcPr>
            <w:tcW w:w="8635" w:type="dxa"/>
            <w:tcBorders>
              <w:bottom w:val="single" w:sz="4" w:space="0" w:color="auto"/>
            </w:tcBorders>
            <w:shd w:val="clear" w:color="auto" w:fill="auto"/>
          </w:tcPr>
          <w:p w14:paraId="5B4E5FA2"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68B7A54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684BEC41"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F45F8E7" w14:textId="77777777" w:rsidTr="00E603E0">
        <w:trPr>
          <w:trHeight w:val="530"/>
        </w:trPr>
        <w:tc>
          <w:tcPr>
            <w:tcW w:w="8635" w:type="dxa"/>
            <w:tcBorders>
              <w:bottom w:val="single" w:sz="4" w:space="0" w:color="auto"/>
            </w:tcBorders>
            <w:shd w:val="clear" w:color="auto" w:fill="DBE5F1" w:themeFill="accent1" w:themeFillTint="33"/>
            <w:vAlign w:val="center"/>
          </w:tcPr>
          <w:p w14:paraId="55CB4A50" w14:textId="77777777"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72EED3F3"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01145264" w14:textId="77777777" w:rsidTr="00E603E0">
        <w:tc>
          <w:tcPr>
            <w:tcW w:w="8635" w:type="dxa"/>
            <w:tcBorders>
              <w:bottom w:val="single" w:sz="4" w:space="0" w:color="auto"/>
            </w:tcBorders>
            <w:shd w:val="clear" w:color="auto" w:fill="auto"/>
          </w:tcPr>
          <w:p w14:paraId="4A6A97D9"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7"/>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650492E"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4DC32E3" w14:textId="77777777" w:rsidTr="00E603E0">
        <w:tc>
          <w:tcPr>
            <w:tcW w:w="8635" w:type="dxa"/>
            <w:tcBorders>
              <w:bottom w:val="single" w:sz="4" w:space="0" w:color="auto"/>
            </w:tcBorders>
            <w:shd w:val="clear" w:color="auto" w:fill="auto"/>
          </w:tcPr>
          <w:p w14:paraId="03A9705E"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164875CF"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13A98F5" w14:textId="77777777" w:rsidTr="00E603E0">
        <w:tc>
          <w:tcPr>
            <w:tcW w:w="8635" w:type="dxa"/>
            <w:tcBorders>
              <w:bottom w:val="single" w:sz="4" w:space="0" w:color="auto"/>
            </w:tcBorders>
            <w:shd w:val="clear" w:color="auto" w:fill="auto"/>
          </w:tcPr>
          <w:p w14:paraId="3E99213D"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139CE71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05596314"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DC2CEE5" w14:textId="77777777" w:rsidTr="00E603E0">
        <w:trPr>
          <w:trHeight w:val="539"/>
        </w:trPr>
        <w:tc>
          <w:tcPr>
            <w:tcW w:w="8635" w:type="dxa"/>
            <w:tcBorders>
              <w:bottom w:val="single" w:sz="4" w:space="0" w:color="auto"/>
            </w:tcBorders>
            <w:shd w:val="clear" w:color="auto" w:fill="DBE5F1" w:themeFill="accent1" w:themeFillTint="33"/>
            <w:vAlign w:val="center"/>
          </w:tcPr>
          <w:p w14:paraId="500ACCAA"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495A718B"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A05D934" w14:textId="77777777" w:rsidTr="00E603E0">
        <w:tc>
          <w:tcPr>
            <w:tcW w:w="8635" w:type="dxa"/>
            <w:tcBorders>
              <w:bottom w:val="single" w:sz="4" w:space="0" w:color="auto"/>
            </w:tcBorders>
            <w:shd w:val="clear" w:color="auto" w:fill="auto"/>
          </w:tcPr>
          <w:p w14:paraId="2587E229"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68FC16DC"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3E31BF5" w14:textId="77777777" w:rsidTr="00E603E0">
        <w:tc>
          <w:tcPr>
            <w:tcW w:w="8635" w:type="dxa"/>
            <w:tcBorders>
              <w:bottom w:val="single" w:sz="4" w:space="0" w:color="auto"/>
            </w:tcBorders>
            <w:shd w:val="clear" w:color="auto" w:fill="auto"/>
          </w:tcPr>
          <w:p w14:paraId="3D6A6D38" w14:textId="77777777" w:rsidR="00F07AAC" w:rsidRPr="006B5767" w:rsidRDefault="00F07AAC" w:rsidP="00D0789F">
            <w:pPr>
              <w:tabs>
                <w:tab w:val="left" w:pos="585"/>
              </w:tabs>
              <w:spacing w:before="60" w:after="60"/>
              <w:ind w:left="567" w:hanging="567"/>
              <w:rPr>
                <w:rFonts w:eastAsia="Times New Roman"/>
                <w:sz w:val="18"/>
                <w:szCs w:val="18"/>
                <w:highlight w:val="yellow"/>
              </w:rPr>
            </w:pPr>
            <w:r w:rsidRPr="002619DA">
              <w:rPr>
                <w:sz w:val="18"/>
                <w:szCs w:val="18"/>
              </w:rPr>
              <w:t>3.2</w:t>
            </w:r>
            <w:r w:rsidRPr="002619DA">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36ECC234" w14:textId="77777777" w:rsidR="00F07AAC" w:rsidRPr="00310835" w:rsidRDefault="0091060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B855BF" w14:textId="77777777" w:rsidTr="00E603E0">
        <w:tc>
          <w:tcPr>
            <w:tcW w:w="8635" w:type="dxa"/>
            <w:tcBorders>
              <w:bottom w:val="single" w:sz="4" w:space="0" w:color="auto"/>
            </w:tcBorders>
            <w:shd w:val="clear" w:color="auto" w:fill="auto"/>
          </w:tcPr>
          <w:p w14:paraId="2AB46264"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652F6EBE"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72032CA" w14:textId="77777777" w:rsidTr="00E603E0">
        <w:tc>
          <w:tcPr>
            <w:tcW w:w="8635" w:type="dxa"/>
            <w:tcBorders>
              <w:bottom w:val="single" w:sz="4" w:space="0" w:color="auto"/>
            </w:tcBorders>
            <w:shd w:val="clear" w:color="auto" w:fill="auto"/>
          </w:tcPr>
          <w:p w14:paraId="25BE81B7"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18831097"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0CAB044" w14:textId="77777777" w:rsidTr="00E603E0">
        <w:tc>
          <w:tcPr>
            <w:tcW w:w="8635" w:type="dxa"/>
            <w:tcBorders>
              <w:bottom w:val="single" w:sz="4" w:space="0" w:color="auto"/>
            </w:tcBorders>
            <w:shd w:val="clear" w:color="auto" w:fill="auto"/>
          </w:tcPr>
          <w:p w14:paraId="2949699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0064A997"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B1240E5" w14:textId="77777777" w:rsidTr="00E603E0">
        <w:tc>
          <w:tcPr>
            <w:tcW w:w="8635" w:type="dxa"/>
            <w:tcBorders>
              <w:bottom w:val="single" w:sz="4" w:space="0" w:color="auto"/>
            </w:tcBorders>
            <w:shd w:val="clear" w:color="auto" w:fill="auto"/>
          </w:tcPr>
          <w:p w14:paraId="6AD8F33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1FF6D33B" w14:textId="77777777" w:rsidR="00F07AAC" w:rsidRPr="00310835" w:rsidRDefault="0091060D"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72FE5B3" w14:textId="77777777" w:rsidTr="00E603E0">
        <w:tc>
          <w:tcPr>
            <w:tcW w:w="8635" w:type="dxa"/>
            <w:tcBorders>
              <w:bottom w:val="single" w:sz="4" w:space="0" w:color="auto"/>
            </w:tcBorders>
            <w:shd w:val="clear" w:color="auto" w:fill="auto"/>
          </w:tcPr>
          <w:p w14:paraId="66506F7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36D07BF3"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B6D36C4" w14:textId="77777777" w:rsidTr="00E603E0">
        <w:tc>
          <w:tcPr>
            <w:tcW w:w="8635" w:type="dxa"/>
            <w:tcBorders>
              <w:bottom w:val="single" w:sz="4" w:space="0" w:color="auto"/>
            </w:tcBorders>
            <w:shd w:val="clear" w:color="auto" w:fill="auto"/>
          </w:tcPr>
          <w:p w14:paraId="038C0EB9"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2F1D8B13"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BEA1E5" w14:textId="77777777" w:rsidTr="00E603E0">
        <w:tc>
          <w:tcPr>
            <w:tcW w:w="8635" w:type="dxa"/>
            <w:tcBorders>
              <w:bottom w:val="single" w:sz="4" w:space="0" w:color="auto"/>
            </w:tcBorders>
            <w:shd w:val="clear" w:color="auto" w:fill="auto"/>
          </w:tcPr>
          <w:p w14:paraId="47DAAF08"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2B7997BB"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8114DE5" w14:textId="77777777" w:rsidTr="00E603E0">
        <w:trPr>
          <w:trHeight w:val="503"/>
        </w:trPr>
        <w:tc>
          <w:tcPr>
            <w:tcW w:w="8635" w:type="dxa"/>
            <w:tcBorders>
              <w:bottom w:val="single" w:sz="4" w:space="0" w:color="auto"/>
            </w:tcBorders>
            <w:shd w:val="clear" w:color="auto" w:fill="DBE5F1" w:themeFill="accent1" w:themeFillTint="33"/>
            <w:vAlign w:val="center"/>
          </w:tcPr>
          <w:p w14:paraId="1655BA8A"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71E20CC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73F774D1" w14:textId="77777777" w:rsidTr="00E603E0">
        <w:tc>
          <w:tcPr>
            <w:tcW w:w="8635" w:type="dxa"/>
            <w:tcBorders>
              <w:bottom w:val="single" w:sz="4" w:space="0" w:color="auto"/>
            </w:tcBorders>
            <w:shd w:val="clear" w:color="auto" w:fill="auto"/>
          </w:tcPr>
          <w:p w14:paraId="1AE5F9C6"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03ABE186"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B05C941" w14:textId="77777777" w:rsidTr="00E603E0">
        <w:tc>
          <w:tcPr>
            <w:tcW w:w="8635" w:type="dxa"/>
            <w:tcBorders>
              <w:bottom w:val="single" w:sz="4" w:space="0" w:color="auto"/>
            </w:tcBorders>
            <w:shd w:val="clear" w:color="auto" w:fill="auto"/>
          </w:tcPr>
          <w:p w14:paraId="77497D6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95C751D"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C9837AE" w14:textId="77777777" w:rsidTr="00E603E0">
        <w:trPr>
          <w:trHeight w:val="566"/>
        </w:trPr>
        <w:tc>
          <w:tcPr>
            <w:tcW w:w="8635" w:type="dxa"/>
            <w:tcBorders>
              <w:bottom w:val="single" w:sz="4" w:space="0" w:color="auto"/>
            </w:tcBorders>
            <w:shd w:val="clear" w:color="auto" w:fill="DBE5F1" w:themeFill="accent1" w:themeFillTint="33"/>
            <w:vAlign w:val="center"/>
          </w:tcPr>
          <w:p w14:paraId="380695C9"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6FAD0B52"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35AAB9B9" w14:textId="77777777" w:rsidTr="00E603E0">
        <w:tc>
          <w:tcPr>
            <w:tcW w:w="8635" w:type="dxa"/>
            <w:tcBorders>
              <w:bottom w:val="single" w:sz="4" w:space="0" w:color="auto"/>
            </w:tcBorders>
            <w:shd w:val="clear" w:color="auto" w:fill="auto"/>
          </w:tcPr>
          <w:p w14:paraId="569D07D2"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6141D58F"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3D2572" w14:textId="77777777" w:rsidTr="00E603E0">
        <w:tc>
          <w:tcPr>
            <w:tcW w:w="8635" w:type="dxa"/>
            <w:tcBorders>
              <w:bottom w:val="single" w:sz="4" w:space="0" w:color="auto"/>
            </w:tcBorders>
            <w:shd w:val="clear" w:color="auto" w:fill="auto"/>
          </w:tcPr>
          <w:p w14:paraId="71A3C1D3"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324FB0C4"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19715" w14:textId="77777777" w:rsidTr="00E603E0">
        <w:tc>
          <w:tcPr>
            <w:tcW w:w="8635" w:type="dxa"/>
            <w:tcBorders>
              <w:bottom w:val="single" w:sz="4" w:space="0" w:color="auto"/>
            </w:tcBorders>
            <w:shd w:val="clear" w:color="auto" w:fill="auto"/>
          </w:tcPr>
          <w:p w14:paraId="62D262E0"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8"/>
            </w:r>
          </w:p>
        </w:tc>
        <w:tc>
          <w:tcPr>
            <w:tcW w:w="833" w:type="dxa"/>
            <w:tcBorders>
              <w:bottom w:val="single" w:sz="4" w:space="0" w:color="auto"/>
            </w:tcBorders>
            <w:shd w:val="clear" w:color="auto" w:fill="auto"/>
          </w:tcPr>
          <w:p w14:paraId="3C280AC2"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BF7F30F" w14:textId="77777777" w:rsidTr="00E603E0">
        <w:tc>
          <w:tcPr>
            <w:tcW w:w="8635" w:type="dxa"/>
            <w:tcBorders>
              <w:bottom w:val="single" w:sz="4" w:space="0" w:color="auto"/>
            </w:tcBorders>
            <w:shd w:val="clear" w:color="auto" w:fill="auto"/>
          </w:tcPr>
          <w:p w14:paraId="747DDBF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1B6C7CAF"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67530A2" w14:textId="77777777" w:rsidTr="00E603E0">
        <w:trPr>
          <w:trHeight w:val="584"/>
        </w:trPr>
        <w:tc>
          <w:tcPr>
            <w:tcW w:w="8635" w:type="dxa"/>
            <w:tcBorders>
              <w:bottom w:val="single" w:sz="4" w:space="0" w:color="auto"/>
            </w:tcBorders>
            <w:shd w:val="clear" w:color="auto" w:fill="DBE5F1" w:themeFill="accent1" w:themeFillTint="33"/>
            <w:vAlign w:val="center"/>
          </w:tcPr>
          <w:p w14:paraId="623443BD"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1799D5"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3AA9DE29" w14:textId="77777777" w:rsidTr="00E603E0">
        <w:tc>
          <w:tcPr>
            <w:tcW w:w="8635" w:type="dxa"/>
            <w:tcBorders>
              <w:bottom w:val="single" w:sz="4" w:space="0" w:color="auto"/>
            </w:tcBorders>
            <w:shd w:val="clear" w:color="auto" w:fill="auto"/>
          </w:tcPr>
          <w:p w14:paraId="18D78FCB"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20B42987"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FB1C1FE" w14:textId="77777777" w:rsidTr="00E603E0">
        <w:tc>
          <w:tcPr>
            <w:tcW w:w="8635" w:type="dxa"/>
            <w:tcBorders>
              <w:bottom w:val="single" w:sz="4" w:space="0" w:color="auto"/>
            </w:tcBorders>
            <w:shd w:val="clear" w:color="auto" w:fill="auto"/>
          </w:tcPr>
          <w:p w14:paraId="21BC94A0"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5A9E8DC6"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4567D66" w14:textId="77777777" w:rsidTr="00E603E0">
        <w:tc>
          <w:tcPr>
            <w:tcW w:w="8635" w:type="dxa"/>
            <w:tcBorders>
              <w:bottom w:val="single" w:sz="4" w:space="0" w:color="auto"/>
            </w:tcBorders>
            <w:shd w:val="clear" w:color="auto" w:fill="auto"/>
          </w:tcPr>
          <w:p w14:paraId="316BF7AE"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16098FDA"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07E0562C"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885AA43" w14:textId="77777777" w:rsidTr="00E603E0">
        <w:tc>
          <w:tcPr>
            <w:tcW w:w="8635" w:type="dxa"/>
            <w:tcBorders>
              <w:bottom w:val="single" w:sz="4" w:space="0" w:color="auto"/>
            </w:tcBorders>
            <w:shd w:val="clear" w:color="auto" w:fill="auto"/>
          </w:tcPr>
          <w:p w14:paraId="45157A5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64040020"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377BE7" w14:textId="77777777" w:rsidTr="00E603E0">
        <w:tc>
          <w:tcPr>
            <w:tcW w:w="8635" w:type="dxa"/>
            <w:tcBorders>
              <w:bottom w:val="single" w:sz="4" w:space="0" w:color="auto"/>
            </w:tcBorders>
            <w:shd w:val="clear" w:color="auto" w:fill="auto"/>
          </w:tcPr>
          <w:p w14:paraId="0AE18FA1"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0A4FCB50"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753EAC1" w14:textId="77777777" w:rsidTr="00E603E0">
        <w:tc>
          <w:tcPr>
            <w:tcW w:w="8635" w:type="dxa"/>
            <w:tcBorders>
              <w:bottom w:val="single" w:sz="4" w:space="0" w:color="auto"/>
            </w:tcBorders>
            <w:shd w:val="clear" w:color="auto" w:fill="auto"/>
          </w:tcPr>
          <w:p w14:paraId="15991D78"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E0C4230"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CEEE635" w14:textId="77777777" w:rsidTr="00E603E0">
        <w:tc>
          <w:tcPr>
            <w:tcW w:w="8635" w:type="dxa"/>
            <w:tcBorders>
              <w:bottom w:val="single" w:sz="4" w:space="0" w:color="auto"/>
            </w:tcBorders>
            <w:shd w:val="clear" w:color="auto" w:fill="auto"/>
          </w:tcPr>
          <w:p w14:paraId="5961B43F"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144CAF54"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6828580" w14:textId="77777777" w:rsidTr="00E603E0">
        <w:tc>
          <w:tcPr>
            <w:tcW w:w="8635" w:type="dxa"/>
            <w:tcBorders>
              <w:bottom w:val="single" w:sz="4" w:space="0" w:color="auto"/>
            </w:tcBorders>
            <w:shd w:val="clear" w:color="auto" w:fill="auto"/>
          </w:tcPr>
          <w:p w14:paraId="54025E0A"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9DE76DA"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BE9B9F1" w14:textId="77777777" w:rsidTr="00E603E0">
        <w:tc>
          <w:tcPr>
            <w:tcW w:w="8635" w:type="dxa"/>
            <w:tcBorders>
              <w:bottom w:val="single" w:sz="4" w:space="0" w:color="auto"/>
            </w:tcBorders>
            <w:shd w:val="clear" w:color="auto" w:fill="auto"/>
          </w:tcPr>
          <w:p w14:paraId="38486687"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4C921984"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0628E28" w14:textId="77777777" w:rsidTr="00E603E0">
        <w:trPr>
          <w:trHeight w:val="602"/>
        </w:trPr>
        <w:tc>
          <w:tcPr>
            <w:tcW w:w="8635" w:type="dxa"/>
            <w:tcBorders>
              <w:bottom w:val="single" w:sz="4" w:space="0" w:color="auto"/>
            </w:tcBorders>
            <w:shd w:val="clear" w:color="auto" w:fill="DBE5F1" w:themeFill="accent1" w:themeFillTint="33"/>
            <w:vAlign w:val="center"/>
          </w:tcPr>
          <w:p w14:paraId="708F15FC"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C4B50AB" w14:textId="77777777" w:rsidR="00F07AAC" w:rsidRPr="00310835" w:rsidRDefault="00F07AAC" w:rsidP="009D2D88">
            <w:pPr>
              <w:rPr>
                <w:rFonts w:eastAsia="Times New Roman"/>
                <w:b/>
                <w:i/>
                <w:sz w:val="18"/>
                <w:szCs w:val="18"/>
              </w:rPr>
            </w:pPr>
          </w:p>
        </w:tc>
      </w:tr>
      <w:tr w:rsidR="00F07AAC" w:rsidRPr="00310835" w14:paraId="3A55A8C3" w14:textId="77777777" w:rsidTr="00E603E0">
        <w:tc>
          <w:tcPr>
            <w:tcW w:w="8635" w:type="dxa"/>
            <w:shd w:val="clear" w:color="auto" w:fill="auto"/>
          </w:tcPr>
          <w:p w14:paraId="4FF46CCC"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6EFEA6E6"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16E269EC" w14:textId="77777777" w:rsidTr="00E603E0">
        <w:tc>
          <w:tcPr>
            <w:tcW w:w="8635" w:type="dxa"/>
            <w:tcBorders>
              <w:bottom w:val="single" w:sz="4" w:space="0" w:color="auto"/>
            </w:tcBorders>
            <w:shd w:val="clear" w:color="auto" w:fill="auto"/>
          </w:tcPr>
          <w:p w14:paraId="03380734"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1778F883" w14:textId="77777777" w:rsidR="00F07AAC" w:rsidRPr="00310835" w:rsidRDefault="00BB16E7" w:rsidP="00D0789F">
            <w:pPr>
              <w:rPr>
                <w:rFonts w:eastAsia="Times New Roman"/>
                <w:sz w:val="18"/>
                <w:szCs w:val="18"/>
              </w:rPr>
            </w:pPr>
            <w:r>
              <w:rPr>
                <w:rFonts w:eastAsia="Times New Roman"/>
                <w:sz w:val="18"/>
                <w:szCs w:val="18"/>
              </w:rPr>
              <w:t>N</w:t>
            </w:r>
            <w:r w:rsidR="0091060D">
              <w:rPr>
                <w:rFonts w:eastAsia="Times New Roman"/>
                <w:sz w:val="18"/>
                <w:szCs w:val="18"/>
              </w:rPr>
              <w:t>o</w:t>
            </w:r>
          </w:p>
        </w:tc>
      </w:tr>
      <w:tr w:rsidR="00F07AAC" w:rsidRPr="00310835" w14:paraId="09D20955" w14:textId="77777777" w:rsidTr="00E603E0">
        <w:trPr>
          <w:trHeight w:val="402"/>
        </w:trPr>
        <w:tc>
          <w:tcPr>
            <w:tcW w:w="8635" w:type="dxa"/>
            <w:tcBorders>
              <w:bottom w:val="single" w:sz="4" w:space="0" w:color="auto"/>
            </w:tcBorders>
            <w:shd w:val="clear" w:color="auto" w:fill="auto"/>
          </w:tcPr>
          <w:p w14:paraId="07065349"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18B5D51D"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12BD78DA" w14:textId="77777777" w:rsidR="00F07AAC" w:rsidRPr="00310835" w:rsidRDefault="00AD3243" w:rsidP="00D0789F">
            <w:pPr>
              <w:rPr>
                <w:rFonts w:eastAsia="Times New Roman"/>
                <w:sz w:val="18"/>
                <w:szCs w:val="18"/>
              </w:rPr>
            </w:pPr>
            <w:r>
              <w:rPr>
                <w:rFonts w:eastAsia="Times New Roman"/>
                <w:sz w:val="18"/>
                <w:szCs w:val="18"/>
              </w:rPr>
              <w:t>No</w:t>
            </w:r>
          </w:p>
        </w:tc>
      </w:tr>
      <w:tr w:rsidR="00F07AAC" w:rsidRPr="00310835" w14:paraId="24FB6F73" w14:textId="77777777" w:rsidTr="00E603E0">
        <w:tc>
          <w:tcPr>
            <w:tcW w:w="8635" w:type="dxa"/>
            <w:tcBorders>
              <w:bottom w:val="single" w:sz="4" w:space="0" w:color="auto"/>
            </w:tcBorders>
            <w:shd w:val="clear" w:color="auto" w:fill="auto"/>
          </w:tcPr>
          <w:p w14:paraId="59BCB5F4"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379D34B2"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4AC581" w14:textId="77777777" w:rsidTr="00E603E0">
        <w:tc>
          <w:tcPr>
            <w:tcW w:w="8635" w:type="dxa"/>
            <w:tcBorders>
              <w:bottom w:val="single" w:sz="4" w:space="0" w:color="auto"/>
            </w:tcBorders>
            <w:shd w:val="clear" w:color="auto" w:fill="auto"/>
          </w:tcPr>
          <w:p w14:paraId="5CEF6000"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6642B5F1" w14:textId="77777777" w:rsidR="00F07AAC" w:rsidRPr="00310835" w:rsidRDefault="00AD3243"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5787AF5E"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127E" w14:textId="77777777" w:rsidR="008141E2" w:rsidRDefault="008141E2" w:rsidP="00323A56">
      <w:r>
        <w:separator/>
      </w:r>
    </w:p>
  </w:endnote>
  <w:endnote w:type="continuationSeparator" w:id="0">
    <w:p w14:paraId="752E52E3" w14:textId="77777777" w:rsidR="008141E2" w:rsidRDefault="008141E2"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9FA2"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4CCD7"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D732"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D1D">
      <w:rPr>
        <w:rStyle w:val="PageNumber"/>
        <w:noProof/>
      </w:rPr>
      <w:t>7</w:t>
    </w:r>
    <w:r>
      <w:rPr>
        <w:rStyle w:val="PageNumber"/>
      </w:rPr>
      <w:fldChar w:fldCharType="end"/>
    </w:r>
  </w:p>
  <w:p w14:paraId="397F6837"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71EF" w14:textId="77777777" w:rsidR="008141E2" w:rsidRDefault="008141E2" w:rsidP="00323A56">
      <w:r>
        <w:separator/>
      </w:r>
    </w:p>
  </w:footnote>
  <w:footnote w:type="continuationSeparator" w:id="0">
    <w:p w14:paraId="609B3A79" w14:textId="77777777" w:rsidR="008141E2" w:rsidRDefault="008141E2" w:rsidP="00323A56">
      <w:r>
        <w:continuationSeparator/>
      </w:r>
    </w:p>
  </w:footnote>
  <w:footnote w:id="1">
    <w:p w14:paraId="0045CA5D" w14:textId="77777777" w:rsidR="00D14A20" w:rsidRPr="009B2335" w:rsidRDefault="00D14A20" w:rsidP="00D14A20">
      <w:pPr>
        <w:pStyle w:val="FootnoteText"/>
        <w:rPr>
          <w:rFonts w:asciiTheme="minorHAnsi" w:hAnsiTheme="minorHAnsi" w:cstheme="minorHAnsi"/>
          <w:sz w:val="16"/>
          <w:szCs w:val="16"/>
        </w:rPr>
      </w:pPr>
      <w:r w:rsidRPr="009B2335">
        <w:rPr>
          <w:rStyle w:val="FootnoteReference"/>
          <w:rFonts w:asciiTheme="minorHAnsi" w:hAnsiTheme="minorHAnsi" w:cstheme="minorHAnsi"/>
          <w:sz w:val="16"/>
          <w:szCs w:val="16"/>
        </w:rPr>
        <w:footnoteRef/>
      </w:r>
      <w:r w:rsidRPr="009B2335">
        <w:rPr>
          <w:rFonts w:asciiTheme="minorHAnsi" w:hAnsiTheme="minorHAnsi" w:cstheme="minorHAnsi"/>
          <w:sz w:val="16"/>
          <w:szCs w:val="16"/>
        </w:rPr>
        <w:t xml:space="preserve"> Reference: </w:t>
      </w:r>
      <w:hyperlink r:id="rId1" w:history="1">
        <w:r w:rsidRPr="009B2335">
          <w:rPr>
            <w:rStyle w:val="Hyperlink"/>
            <w:rFonts w:asciiTheme="minorHAnsi" w:hAnsiTheme="minorHAnsi" w:cstheme="minorHAnsi"/>
            <w:sz w:val="16"/>
            <w:szCs w:val="16"/>
            <w:lang w:val="hr-HR"/>
          </w:rPr>
          <w:t>https://www.undp.org/content/undp/en/home/librarypage/womens-empowerment/undp-gender-equality-strategy-2018-2021.html</w:t>
        </w:r>
      </w:hyperlink>
      <w:r w:rsidRPr="009B2335">
        <w:rPr>
          <w:rFonts w:asciiTheme="minorHAnsi" w:hAnsiTheme="minorHAnsi" w:cstheme="minorHAnsi"/>
          <w:sz w:val="16"/>
          <w:szCs w:val="16"/>
          <w:lang w:val="hr-HR"/>
        </w:rPr>
        <w:t xml:space="preserve">. </w:t>
      </w:r>
    </w:p>
  </w:footnote>
  <w:footnote w:id="2">
    <w:p w14:paraId="107108B6" w14:textId="77777777" w:rsidR="00D14A20" w:rsidRPr="009B2335" w:rsidRDefault="00D14A20" w:rsidP="00D14A20">
      <w:pPr>
        <w:pStyle w:val="FootnoteText"/>
        <w:rPr>
          <w:rFonts w:asciiTheme="minorHAnsi" w:hAnsiTheme="minorHAnsi" w:cstheme="minorHAnsi"/>
          <w:sz w:val="16"/>
          <w:szCs w:val="16"/>
        </w:rPr>
      </w:pPr>
      <w:r w:rsidRPr="009B2335">
        <w:rPr>
          <w:rStyle w:val="FootnoteReference"/>
          <w:rFonts w:asciiTheme="minorHAnsi" w:hAnsiTheme="minorHAnsi" w:cstheme="minorHAnsi"/>
          <w:sz w:val="16"/>
          <w:szCs w:val="16"/>
        </w:rPr>
        <w:footnoteRef/>
      </w:r>
      <w:r w:rsidRPr="009B2335">
        <w:rPr>
          <w:rFonts w:asciiTheme="minorHAnsi" w:hAnsiTheme="minorHAnsi" w:cstheme="minorHAnsi"/>
          <w:sz w:val="16"/>
          <w:szCs w:val="16"/>
        </w:rPr>
        <w:t xml:space="preserve"> Reference: </w:t>
      </w:r>
      <w:hyperlink r:id="rId2" w:history="1">
        <w:r w:rsidRPr="009B2335">
          <w:rPr>
            <w:rStyle w:val="Hyperlink"/>
            <w:rFonts w:asciiTheme="minorHAnsi" w:hAnsiTheme="minorHAnsi" w:cstheme="minorHAnsi"/>
            <w:sz w:val="16"/>
            <w:szCs w:val="16"/>
            <w:lang w:val="hr-HR"/>
          </w:rPr>
          <w:t>https://www.undp.org/content/undp/en/home/six-signature-solutions.html</w:t>
        </w:r>
      </w:hyperlink>
      <w:r w:rsidRPr="009B2335">
        <w:rPr>
          <w:rFonts w:asciiTheme="minorHAnsi" w:hAnsiTheme="minorHAnsi" w:cstheme="minorHAnsi"/>
          <w:sz w:val="16"/>
          <w:szCs w:val="16"/>
          <w:lang w:val="hr-HR"/>
        </w:rPr>
        <w:t xml:space="preserve">. </w:t>
      </w:r>
    </w:p>
  </w:footnote>
  <w:footnote w:id="3">
    <w:p w14:paraId="5B67E710" w14:textId="77777777" w:rsidR="00D14A20" w:rsidRPr="009B2335" w:rsidRDefault="00D14A20" w:rsidP="00D14A20">
      <w:pPr>
        <w:pStyle w:val="FootnoteText"/>
        <w:rPr>
          <w:rFonts w:asciiTheme="minorHAnsi" w:hAnsiTheme="minorHAnsi" w:cstheme="minorHAnsi"/>
          <w:sz w:val="16"/>
          <w:szCs w:val="16"/>
        </w:rPr>
      </w:pPr>
      <w:r w:rsidRPr="009B2335">
        <w:rPr>
          <w:rStyle w:val="FootnoteReference"/>
          <w:rFonts w:asciiTheme="minorHAnsi" w:hAnsiTheme="minorHAnsi" w:cstheme="minorHAnsi"/>
          <w:sz w:val="16"/>
          <w:szCs w:val="16"/>
        </w:rPr>
        <w:footnoteRef/>
      </w:r>
      <w:r w:rsidRPr="009B2335">
        <w:rPr>
          <w:rFonts w:asciiTheme="minorHAnsi" w:hAnsiTheme="minorHAnsi" w:cstheme="minorHAnsi"/>
          <w:sz w:val="16"/>
          <w:szCs w:val="16"/>
          <w:lang w:val="hr-HR"/>
        </w:rPr>
        <w:t xml:space="preserve"> End discrimination and gender=based violence; eliminate child marriage; ensure access to reproductive health care; eliminate gender disparities in education; expand economic opportunities, ICT and recognize rights to resources; and reduce the burdens of unpaid care work on women and girls.</w:t>
      </w:r>
    </w:p>
  </w:footnote>
  <w:footnote w:id="4">
    <w:p w14:paraId="3C183AD1" w14:textId="77777777" w:rsidR="00D14A20" w:rsidRPr="00701748" w:rsidRDefault="00D14A20" w:rsidP="00D14A20">
      <w:pPr>
        <w:pStyle w:val="FootnoteText"/>
        <w:rPr>
          <w:rFonts w:asciiTheme="minorHAnsi" w:hAnsiTheme="minorHAnsi" w:cstheme="minorHAnsi"/>
          <w:sz w:val="16"/>
          <w:szCs w:val="16"/>
          <w:lang w:val="bs-Latn-BA"/>
        </w:rPr>
      </w:pPr>
      <w:r w:rsidRPr="00701748">
        <w:rPr>
          <w:rStyle w:val="FootnoteReference"/>
          <w:rFonts w:asciiTheme="minorHAnsi" w:hAnsiTheme="minorHAnsi" w:cstheme="minorHAnsi"/>
          <w:sz w:val="16"/>
          <w:szCs w:val="16"/>
        </w:rPr>
        <w:footnoteRef/>
      </w:r>
      <w:r w:rsidRPr="00701748">
        <w:rPr>
          <w:rFonts w:asciiTheme="minorHAnsi" w:hAnsiTheme="minorHAnsi" w:cstheme="minorHAnsi"/>
          <w:sz w:val="16"/>
          <w:szCs w:val="16"/>
        </w:rPr>
        <w:t xml:space="preserve"> </w:t>
      </w:r>
      <w:r w:rsidRPr="00701748">
        <w:rPr>
          <w:rFonts w:asciiTheme="minorHAnsi" w:hAnsiTheme="minorHAnsi" w:cstheme="minorHAnsi"/>
          <w:sz w:val="16"/>
          <w:szCs w:val="16"/>
          <w:lang w:val="bs-Latn-BA"/>
        </w:rPr>
        <w:t>Gender Needs Assessment, Strengthening Local Communities project, 2017.</w:t>
      </w:r>
    </w:p>
  </w:footnote>
  <w:footnote w:id="5">
    <w:p w14:paraId="0418497B" w14:textId="77777777" w:rsidR="000C3FBE" w:rsidRPr="000C3D25" w:rsidRDefault="000C3FBE" w:rsidP="000C3FBE">
      <w:pPr>
        <w:pStyle w:val="FootnoteText"/>
        <w:rPr>
          <w:rFonts w:asciiTheme="minorHAnsi" w:hAnsiTheme="minorHAnsi"/>
          <w:lang w:val="bs-Latn-BA"/>
        </w:rPr>
      </w:pPr>
      <w:r>
        <w:rPr>
          <w:rStyle w:val="FootnoteReference"/>
        </w:rPr>
        <w:footnoteRef/>
      </w:r>
      <w:r>
        <w:t xml:space="preserve"> </w:t>
      </w:r>
      <w:r w:rsidRPr="002B0C8A">
        <w:rPr>
          <w:rFonts w:asciiTheme="minorHAnsi" w:hAnsiTheme="minorHAnsi" w:cstheme="minorHAnsi"/>
          <w:sz w:val="16"/>
          <w:szCs w:val="16"/>
          <w:shd w:val="clear" w:color="auto" w:fill="FFFFFF"/>
        </w:rPr>
        <w:t xml:space="preserve">Disaster Risk Analysis System (DRAS) is a product of United Nations Development </w:t>
      </w:r>
      <w:proofErr w:type="spellStart"/>
      <w:r w:rsidRPr="002B0C8A">
        <w:rPr>
          <w:rFonts w:asciiTheme="minorHAnsi" w:hAnsiTheme="minorHAnsi" w:cstheme="minorHAnsi"/>
          <w:sz w:val="16"/>
          <w:szCs w:val="16"/>
          <w:shd w:val="clear" w:color="auto" w:fill="FFFFFF"/>
        </w:rPr>
        <w:t>Programme</w:t>
      </w:r>
      <w:proofErr w:type="spellEnd"/>
      <w:r w:rsidRPr="002B0C8A">
        <w:rPr>
          <w:rFonts w:asciiTheme="minorHAnsi" w:hAnsiTheme="minorHAnsi" w:cstheme="minorHAnsi"/>
          <w:sz w:val="16"/>
          <w:szCs w:val="16"/>
          <w:shd w:val="clear" w:color="auto" w:fill="FFFFFF"/>
        </w:rPr>
        <w:t>,</w:t>
      </w:r>
      <w:r w:rsidRPr="002B0C8A">
        <w:rPr>
          <w:sz w:val="16"/>
          <w:szCs w:val="16"/>
        </w:rPr>
        <w:t xml:space="preserve"> </w:t>
      </w:r>
      <w:r w:rsidRPr="002B0C8A">
        <w:rPr>
          <w:rFonts w:asciiTheme="minorHAnsi" w:hAnsiTheme="minorHAnsi" w:cstheme="minorHAnsi"/>
          <w:sz w:val="16"/>
          <w:szCs w:val="16"/>
          <w:shd w:val="clear" w:color="auto" w:fill="FFFFFF"/>
        </w:rPr>
        <w:t>enabling freely accessible hazard data to citizens to increase disaster risk awareness as well as spatial risk assessments combining hazard, land use and vulnerability data for decision makers.</w:t>
      </w:r>
    </w:p>
  </w:footnote>
  <w:footnote w:id="6">
    <w:p w14:paraId="0269256D"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7">
    <w:p w14:paraId="16CD7462"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8">
    <w:p w14:paraId="62F68667"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36D12E9"/>
    <w:multiLevelType w:val="hybridMultilevel"/>
    <w:tmpl w:val="E2B4C106"/>
    <w:lvl w:ilvl="0" w:tplc="E81C267C">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7"/>
  </w:num>
  <w:num w:numId="7">
    <w:abstractNumId w:val="16"/>
  </w:num>
  <w:num w:numId="8">
    <w:abstractNumId w:val="10"/>
  </w:num>
  <w:num w:numId="9">
    <w:abstractNumId w:val="15"/>
  </w:num>
  <w:num w:numId="10">
    <w:abstractNumId w:val="12"/>
  </w:num>
  <w:num w:numId="11">
    <w:abstractNumId w:val="7"/>
  </w:num>
  <w:num w:numId="12">
    <w:abstractNumId w:val="18"/>
  </w:num>
  <w:num w:numId="13">
    <w:abstractNumId w:val="5"/>
  </w:num>
  <w:num w:numId="14">
    <w:abstractNumId w:val="4"/>
  </w:num>
  <w:num w:numId="15">
    <w:abstractNumId w:val="6"/>
  </w:num>
  <w:num w:numId="16">
    <w:abstractNumId w:val="8"/>
  </w:num>
  <w:num w:numId="17">
    <w:abstractNumId w:val="11"/>
  </w:num>
  <w:num w:numId="18">
    <w:abstractNumId w:val="2"/>
  </w:num>
  <w:num w:numId="19">
    <w:abstractNumId w:val="13"/>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0799"/>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FBE"/>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36C0"/>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1B98"/>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0DDC"/>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2CA1"/>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0E91"/>
    <w:rsid w:val="0026116E"/>
    <w:rsid w:val="00261802"/>
    <w:rsid w:val="0026196F"/>
    <w:rsid w:val="002619DA"/>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4DFC"/>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42E"/>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3F71"/>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19E7"/>
    <w:rsid w:val="00342356"/>
    <w:rsid w:val="00342EAA"/>
    <w:rsid w:val="00343447"/>
    <w:rsid w:val="0034503A"/>
    <w:rsid w:val="003450FD"/>
    <w:rsid w:val="00345F88"/>
    <w:rsid w:val="0034631A"/>
    <w:rsid w:val="00347A3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68"/>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1344"/>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4BFA"/>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4B0E"/>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C40"/>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527"/>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4EFD"/>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5D1D"/>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5767"/>
    <w:rsid w:val="006B697C"/>
    <w:rsid w:val="006B6CCB"/>
    <w:rsid w:val="006C0DE3"/>
    <w:rsid w:val="006C1A95"/>
    <w:rsid w:val="006C20B3"/>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3ECE"/>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864"/>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0F"/>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6D03"/>
    <w:rsid w:val="007B710A"/>
    <w:rsid w:val="007B7326"/>
    <w:rsid w:val="007C00BF"/>
    <w:rsid w:val="007C05CC"/>
    <w:rsid w:val="007C157A"/>
    <w:rsid w:val="007C1C28"/>
    <w:rsid w:val="007C25F9"/>
    <w:rsid w:val="007C2AAF"/>
    <w:rsid w:val="007C4134"/>
    <w:rsid w:val="007C53EE"/>
    <w:rsid w:val="007C634B"/>
    <w:rsid w:val="007C6384"/>
    <w:rsid w:val="007C6EF6"/>
    <w:rsid w:val="007C75A4"/>
    <w:rsid w:val="007C7C11"/>
    <w:rsid w:val="007D132B"/>
    <w:rsid w:val="007D188F"/>
    <w:rsid w:val="007D27E1"/>
    <w:rsid w:val="007D2A79"/>
    <w:rsid w:val="007D2AF7"/>
    <w:rsid w:val="007D33B9"/>
    <w:rsid w:val="007D397F"/>
    <w:rsid w:val="007D3BA7"/>
    <w:rsid w:val="007D45F6"/>
    <w:rsid w:val="007D475C"/>
    <w:rsid w:val="007D47E6"/>
    <w:rsid w:val="007D5D82"/>
    <w:rsid w:val="007D5EAA"/>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2C57"/>
    <w:rsid w:val="008141E2"/>
    <w:rsid w:val="008143F8"/>
    <w:rsid w:val="00814D73"/>
    <w:rsid w:val="008153DA"/>
    <w:rsid w:val="0081555A"/>
    <w:rsid w:val="008158DE"/>
    <w:rsid w:val="008160A7"/>
    <w:rsid w:val="00816429"/>
    <w:rsid w:val="00816521"/>
    <w:rsid w:val="00816E10"/>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4539"/>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75A08"/>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3834"/>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240"/>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0D"/>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44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2FC6"/>
    <w:rsid w:val="00944F36"/>
    <w:rsid w:val="009453F3"/>
    <w:rsid w:val="00945540"/>
    <w:rsid w:val="00945624"/>
    <w:rsid w:val="00945C3D"/>
    <w:rsid w:val="00945D12"/>
    <w:rsid w:val="00947A99"/>
    <w:rsid w:val="00947BE1"/>
    <w:rsid w:val="00950AD0"/>
    <w:rsid w:val="00950B22"/>
    <w:rsid w:val="009510AA"/>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5245"/>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D7"/>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62F9"/>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243"/>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1C86"/>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B80"/>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97D19"/>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16E7"/>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3B55"/>
    <w:rsid w:val="00BD6E55"/>
    <w:rsid w:val="00BD794C"/>
    <w:rsid w:val="00BE10A5"/>
    <w:rsid w:val="00BE1AE3"/>
    <w:rsid w:val="00BE3468"/>
    <w:rsid w:val="00BE3535"/>
    <w:rsid w:val="00BE3B58"/>
    <w:rsid w:val="00BE5400"/>
    <w:rsid w:val="00BE54A1"/>
    <w:rsid w:val="00BF0A15"/>
    <w:rsid w:val="00BF0CC0"/>
    <w:rsid w:val="00BF0D0F"/>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615E"/>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1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307"/>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A20"/>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32C"/>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27B0"/>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1FA6"/>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C7B4D"/>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6607"/>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C3A999"/>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List Paragraph (numbered (a)),List Paragraph Char Char Char,Use Case List Paragraph,List Paragraph2"/>
    <w:basedOn w:val="Normal"/>
    <w:link w:val="ListParagraphChar"/>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ftref,Footnotes refss,Footnote Reference1,Fußnotenzeichen DISS,BVI fnr,Footnote Reference Number,nota pié di pagina,Footnote symbol,Footnote reference number,Times 10 Point,Exposant 3 Point,note TESI,fr"/>
    <w:link w:val="Char2"/>
    <w:uiPriority w:val="99"/>
    <w:unhideWhenUsed/>
    <w:qFormat/>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816E10"/>
    <w:rPr>
      <w:rFonts w:asciiTheme="majorHAnsi" w:hAnsiTheme="majorHAnsi"/>
      <w:sz w:val="20"/>
    </w:rPr>
  </w:style>
  <w:style w:type="paragraph" w:customStyle="1" w:styleId="Char2">
    <w:name w:val="Char2"/>
    <w:basedOn w:val="Normal"/>
    <w:link w:val="FootnoteReference"/>
    <w:rsid w:val="00D14A20"/>
    <w:pPr>
      <w:spacing w:after="160" w:line="240" w:lineRule="exact"/>
      <w:jc w:val="both"/>
    </w:pPr>
    <w:rPr>
      <w:rFonts w:ascii="Calibri" w:hAnsi="Calibr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977954885">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as.undp.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librarypage/operations1/undp-social-and-environmental-screening-procedur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dp.org/content/undp/en/home/six-signature-solutions.html" TargetMode="External"/><Relationship Id="rId1" Type="http://schemas.openxmlformats.org/officeDocument/2006/relationships/hyperlink" Target="https://www.undp.org/content/undp/en/home/librarypage/womens-empowerment/undp-gender-equality-strategy-2018-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ATLASPDC-4-155869</_dlc_DocId>
    <_dlc_DocIdUrl xmlns="f1161f5b-24a3-4c2d-bc81-44cb9325e8ee">
      <Url>https://info.undp.org/docs/pdc/_layouts/DocIdRedir.aspx?ID=ATLASPDC-4-155869</Url>
      <Description>ATLASPDC-4-155869</Description>
    </_dlc_DocIdUrl>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UndpOUCode xmlns="1ed4137b-41b2-488b-8250-6d369ec27664">BIH</UndpOUCode>
    <Document_x0020_Coverage_x0020_Period_x0020_Start_x0020_Date xmlns="f1161f5b-24a3-4c2d-bc81-44cb9325e8ee">2020-04-01T04:00:00+00:00</Document_x0020_Coverage_x0020_Period_x0020_Start_x0020_Date>
    <Outcome1 xmlns="f1161f5b-24a3-4c2d-bc81-44cb9325e8ee">00097541</Outcome1>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12e68a2f-f5a5-44ce-9df0-af423b875d0b</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1ed4137b-41b2-488b-8250-6d369ec27664">
      <Value>1189</Value>
      <Value>763</Value>
      <Value>227</Value>
      <Value>1227</Value>
      <Value>1</Value>
      <Value>1224</Value>
    </TaxCatchAll>
    <PDC_x0020_Document_x0020_Category xmlns="f1161f5b-24a3-4c2d-bc81-44cb9325e8ee">Project</PDC_x0020_Document_x0020_Category>
    <UndpProjectNo xmlns="1ed4137b-41b2-488b-8250-6d369ec27664">00093109</UndpProjectNo>
    <UndpDocStatus xmlns="1ed4137b-41b2-488b-8250-6d369ec27664">Reviewed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2024-03-31T04:00:00+00:00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UNDPPublishedDate xmlns="f1161f5b-24a3-4c2d-bc81-44cb9325e8ee">2022-03-19T19:00:00+00:00</UNDPPublishedDate>
    <UndpClassificationLevel xmlns="1ed4137b-41b2-488b-8250-6d369ec27664">Public</UndpClassificationLeve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1C040068-F308-4F79-ACD6-4ED21ABE5AAB}"/>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4.xml><?xml version="1.0" encoding="utf-8"?>
<ds:datastoreItem xmlns:ds="http://schemas.openxmlformats.org/officeDocument/2006/customXml" ds:itemID="{DEA21F06-1A17-438D-AD54-2C778E01971B}">
  <ds:schemaRefs>
    <ds:schemaRef ds:uri="http://schemas.openxmlformats.org/officeDocument/2006/bibliography"/>
  </ds:schemaRefs>
</ds:datastoreItem>
</file>

<file path=customXml/itemProps5.xml><?xml version="1.0" encoding="utf-8"?>
<ds:datastoreItem xmlns:ds="http://schemas.openxmlformats.org/officeDocument/2006/customXml" ds:itemID="{30844A35-A107-4BB5-9C57-B44C8CF1BE86}"/>
</file>

<file path=customXml/itemProps6.xml><?xml version="1.0" encoding="utf-8"?>
<ds:datastoreItem xmlns:ds="http://schemas.openxmlformats.org/officeDocument/2006/customXml" ds:itemID="{ADF4C4FB-2F68-4697-9766-FC6D11C0B0E0}"/>
</file>

<file path=docProps/app.xml><?xml version="1.0" encoding="utf-8"?>
<Properties xmlns="http://schemas.openxmlformats.org/officeDocument/2006/extended-properties" xmlns:vt="http://schemas.openxmlformats.org/officeDocument/2006/docPropsVTypes">
  <Template>Normal</Template>
  <TotalTime>4</TotalTime>
  <Pages>8</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Dzenan Kapetanovic</cp:lastModifiedBy>
  <cp:revision>3</cp:revision>
  <cp:lastPrinted>2014-12-09T19:35:00Z</cp:lastPrinted>
  <dcterms:created xsi:type="dcterms:W3CDTF">2020-10-15T15:05:00Z</dcterms:created>
  <dcterms:modified xsi:type="dcterms:W3CDTF">2020-10-15T15:06:00Z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 LanguagesTaxHTField0">
    <vt:lpwstr>English|7f98b732-4b5b-4b70-ba90-a0eff09b5d2d</vt:lpwstr>
  </property>
  <property fmtid="{D5CDD505-2E9C-101B-9397-08002B2CF9AE}" pid="4" name="o4086b1782a74105bb5269035bccc8e9">
    <vt:lpwstr>Draft|148f9654-2d0b-4582-a532-49dea0090e5d</vt:lpwstr>
  </property>
  <property fmtid="{D5CDD505-2E9C-101B-9397-08002B2CF9AE}" pid="5" name="TaxCatchAll">
    <vt:lpwstr>62;#BIH|d66d4bbf-49a0-439d-ae74-e4f7a3472de2;#669;#Social and Environmental Standards (SES)|e52b7b1c-a8d9-462d-8e7d-c461ead7136d;#3;#Draft|148f9654-2d0b-4582-a532-49dea0090e5d;#1;#English|7f98b732-4b5b-4b70-ba90-a0eff09b5d2d</vt:lpwstr>
  </property>
  <property fmtid="{D5CDD505-2E9C-101B-9397-08002B2CF9AE}" pid="6" name="UNDPPOPPFunctionalArea">
    <vt:lpwstr>Programme and Project</vt:lpwstr>
  </property>
  <property fmtid="{D5CDD505-2E9C-101B-9397-08002B2CF9AE}" pid="7" name="gc6531b704974d528487414686b72f6f">
    <vt:lpwstr>BIH|d66d4bbf-49a0-439d-ae74-e4f7a3472de2</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718802f5-85e3-49bc-a012-fd5e00db32a2</vt:lpwstr>
  </property>
  <property fmtid="{D5CDD505-2E9C-101B-9397-08002B2CF9AE}" pid="15" name="Atlas Document Type">
    <vt:lpwstr>1189;#Social and Environmental Standards (SES)|7a9dffd9-0b1f-4966-9938-9886c04c9893</vt:lpwstr>
  </property>
  <property fmtid="{D5CDD505-2E9C-101B-9397-08002B2CF9AE}" pid="16" name="UndpProjectNo">
    <vt:lpwstr>93109</vt:lpwstr>
  </property>
  <property fmtid="{D5CDD505-2E9C-101B-9397-08002B2CF9AE}" pid="17" name="Document Coverage Period End Date">
    <vt:filetime>2024-03-31T05:00:00Z</vt:filetime>
  </property>
  <property fmtid="{D5CDD505-2E9C-101B-9397-08002B2CF9AE}" pid="18" name="idff2b682fce4d0680503cd9036a3260">
    <vt:lpwstr>Social and Environmental Standards (SES)|e52b7b1c-a8d9-462d-8e7d-c461ead7136d</vt:lpwstr>
  </property>
  <property fmtid="{D5CDD505-2E9C-101B-9397-08002B2CF9AE}" pid="19" name="UNDPCountry">
    <vt:lpwstr>1227;#Bosnia and Herzegovina|12e68a2f-f5a5-44ce-9df0-af423b875d0b</vt:lpwstr>
  </property>
  <property fmtid="{D5CDD505-2E9C-101B-9397-08002B2CF9AE}" pid="20" name="UNDPFocusAreas">
    <vt:lpwstr>227;#Democratic Governance|62461a33-f823-4f1a-904d-8e902184b1d7</vt:lpwstr>
  </property>
  <property fmtid="{D5CDD505-2E9C-101B-9397-08002B2CF9AE}" pid="21" name="DocumentSetDescription">
    <vt:lpwstr/>
  </property>
  <property fmtid="{D5CDD505-2E9C-101B-9397-08002B2CF9AE}" pid="22" name="UnitTaxHTField0">
    <vt:lpwstr/>
  </property>
  <property fmtid="{D5CDD505-2E9C-101B-9397-08002B2CF9AE}" pid="23" name="eRegFilingCodeMM">
    <vt:lpwstr/>
  </property>
  <property fmtid="{D5CDD505-2E9C-101B-9397-08002B2CF9AE}" pid="24" name="UndpUnitMM">
    <vt:lpwstr/>
  </property>
  <property fmtid="{D5CDD505-2E9C-101B-9397-08002B2CF9AE}" pid="25" name="Unit">
    <vt:lpwstr/>
  </property>
  <property fmtid="{D5CDD505-2E9C-101B-9397-08002B2CF9AE}" pid="26" name="UndpDocTypeMM">
    <vt:lpwstr/>
  </property>
  <property fmtid="{D5CDD505-2E9C-101B-9397-08002B2CF9AE}" pid="27" name="URL">
    <vt:lpwstr/>
  </property>
  <property fmtid="{D5CDD505-2E9C-101B-9397-08002B2CF9AE}" pid="28" name="UNDPDocumentCategory">
    <vt:lpwstr/>
  </property>
</Properties>
</file>