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62605" w14:textId="77777777" w:rsidR="00F44462" w:rsidRPr="00EC713C" w:rsidRDefault="00F44462" w:rsidP="00F44462">
      <w:pPr>
        <w:rPr>
          <w:rFonts w:asciiTheme="minorHAnsi" w:hAnsiTheme="minorHAnsi" w:cstheme="minorHAnsi"/>
        </w:rPr>
      </w:pPr>
      <w:r w:rsidRPr="00EC713C">
        <w:rPr>
          <w:rFonts w:asciiTheme="minorHAnsi" w:hAnsiTheme="minorHAnsi" w:cstheme="minorHAnsi"/>
        </w:rPr>
        <w:t>Annex 2: Social and Environmental Screening Report</w:t>
      </w:r>
    </w:p>
    <w:p w14:paraId="28DD5AFF" w14:textId="77777777" w:rsidR="00F44462" w:rsidRPr="00853A0F" w:rsidRDefault="00F44462" w:rsidP="00F44462">
      <w:pPr>
        <w:spacing w:before="200"/>
        <w:ind w:left="360"/>
        <w:rPr>
          <w:b/>
          <w:color w:val="4472C4" w:themeColor="accent1"/>
          <w:sz w:val="24"/>
        </w:rPr>
      </w:pPr>
      <w:r w:rsidRPr="00853A0F">
        <w:rPr>
          <w:b/>
          <w:color w:val="4472C4" w:themeColor="accent1"/>
          <w:sz w:val="24"/>
        </w:rPr>
        <w:t>Project Information</w:t>
      </w:r>
    </w:p>
    <w:p w14:paraId="4EF89F8F" w14:textId="77777777" w:rsidR="00F44462" w:rsidRPr="00853A0F" w:rsidRDefault="00F44462" w:rsidP="00F44462"/>
    <w:tbl>
      <w:tblPr>
        <w:tblStyle w:val="TableGrid"/>
        <w:tblW w:w="5000" w:type="pct"/>
        <w:tblLook w:val="04A0" w:firstRow="1" w:lastRow="0" w:firstColumn="1" w:lastColumn="0" w:noHBand="0" w:noVBand="1"/>
      </w:tblPr>
      <w:tblGrid>
        <w:gridCol w:w="2517"/>
        <w:gridCol w:w="6833"/>
      </w:tblGrid>
      <w:tr w:rsidR="00F44462" w:rsidRPr="00853A0F" w14:paraId="3A9C597F" w14:textId="77777777" w:rsidTr="0089672E">
        <w:tc>
          <w:tcPr>
            <w:tcW w:w="1255" w:type="pct"/>
            <w:shd w:val="clear" w:color="auto" w:fill="D5DCE4" w:themeFill="text2" w:themeFillTint="33"/>
            <w:vAlign w:val="center"/>
          </w:tcPr>
          <w:p w14:paraId="330E1042" w14:textId="77777777" w:rsidR="00F44462" w:rsidRPr="00853A0F" w:rsidRDefault="00F44462" w:rsidP="0089672E">
            <w:pPr>
              <w:tabs>
                <w:tab w:val="left" w:pos="360"/>
              </w:tabs>
              <w:rPr>
                <w:b/>
                <w:i/>
                <w:color w:val="000000" w:themeColor="text1"/>
                <w:szCs w:val="20"/>
              </w:rPr>
            </w:pPr>
            <w:r w:rsidRPr="00853A0F">
              <w:rPr>
                <w:b/>
                <w:i/>
                <w:color w:val="000000" w:themeColor="text1"/>
                <w:szCs w:val="20"/>
              </w:rPr>
              <w:t xml:space="preserve">Project Information </w:t>
            </w:r>
          </w:p>
        </w:tc>
        <w:tc>
          <w:tcPr>
            <w:tcW w:w="3745" w:type="pct"/>
            <w:shd w:val="clear" w:color="auto" w:fill="D5DCE4" w:themeFill="text2" w:themeFillTint="33"/>
            <w:vAlign w:val="center"/>
          </w:tcPr>
          <w:p w14:paraId="3D928F9D" w14:textId="77777777" w:rsidR="00F44462" w:rsidRPr="00853A0F" w:rsidRDefault="00F44462" w:rsidP="0089672E">
            <w:pPr>
              <w:rPr>
                <w:i/>
                <w:color w:val="000000" w:themeColor="text1"/>
                <w:szCs w:val="20"/>
              </w:rPr>
            </w:pPr>
          </w:p>
        </w:tc>
      </w:tr>
      <w:tr w:rsidR="00F44462" w:rsidRPr="00853A0F" w14:paraId="35BD5E2F" w14:textId="77777777" w:rsidTr="0089672E">
        <w:trPr>
          <w:trHeight w:val="288"/>
        </w:trPr>
        <w:tc>
          <w:tcPr>
            <w:tcW w:w="1255" w:type="pct"/>
            <w:vAlign w:val="center"/>
          </w:tcPr>
          <w:p w14:paraId="1B22205A" w14:textId="77777777" w:rsidR="00F44462" w:rsidRPr="00853A0F" w:rsidRDefault="00F44462" w:rsidP="00F44462">
            <w:pPr>
              <w:pStyle w:val="ListParagraph"/>
              <w:numPr>
                <w:ilvl w:val="0"/>
                <w:numId w:val="1"/>
              </w:numPr>
              <w:spacing w:after="0"/>
              <w:ind w:left="360"/>
              <w:contextualSpacing/>
              <w:jc w:val="left"/>
              <w:rPr>
                <w:sz w:val="18"/>
                <w:szCs w:val="18"/>
              </w:rPr>
            </w:pPr>
            <w:r w:rsidRPr="00853A0F">
              <w:rPr>
                <w:sz w:val="18"/>
                <w:szCs w:val="18"/>
              </w:rPr>
              <w:t>Project Title</w:t>
            </w:r>
          </w:p>
        </w:tc>
        <w:tc>
          <w:tcPr>
            <w:tcW w:w="3745" w:type="pct"/>
            <w:vAlign w:val="center"/>
          </w:tcPr>
          <w:p w14:paraId="073FCD8D" w14:textId="77777777" w:rsidR="00F44462" w:rsidRPr="00853A0F" w:rsidRDefault="00F44462" w:rsidP="0089672E">
            <w:r w:rsidRPr="00EC713C">
              <w:t>Meaningful Activism, Knowledgeable Engagement and Responsible Solutions (MAKERS)</w:t>
            </w:r>
          </w:p>
        </w:tc>
      </w:tr>
      <w:tr w:rsidR="00F44462" w:rsidRPr="00853A0F" w14:paraId="0BB184B5" w14:textId="77777777" w:rsidTr="0089672E">
        <w:trPr>
          <w:trHeight w:val="288"/>
        </w:trPr>
        <w:tc>
          <w:tcPr>
            <w:tcW w:w="1255" w:type="pct"/>
            <w:vAlign w:val="center"/>
          </w:tcPr>
          <w:p w14:paraId="3CD3013F" w14:textId="77777777" w:rsidR="00F44462" w:rsidRPr="00853A0F" w:rsidRDefault="00F44462" w:rsidP="00F44462">
            <w:pPr>
              <w:pStyle w:val="ListParagraph"/>
              <w:numPr>
                <w:ilvl w:val="0"/>
                <w:numId w:val="1"/>
              </w:numPr>
              <w:spacing w:after="0"/>
              <w:ind w:left="360"/>
              <w:contextualSpacing/>
              <w:jc w:val="left"/>
              <w:rPr>
                <w:sz w:val="18"/>
                <w:szCs w:val="18"/>
              </w:rPr>
            </w:pPr>
            <w:r w:rsidRPr="00853A0F">
              <w:rPr>
                <w:sz w:val="18"/>
                <w:szCs w:val="18"/>
              </w:rPr>
              <w:t>Project Number</w:t>
            </w:r>
          </w:p>
        </w:tc>
        <w:tc>
          <w:tcPr>
            <w:tcW w:w="3745" w:type="pct"/>
            <w:vAlign w:val="center"/>
          </w:tcPr>
          <w:p w14:paraId="05E3B55E" w14:textId="77777777" w:rsidR="00F44462" w:rsidRPr="00853A0F" w:rsidRDefault="00F44462" w:rsidP="0089672E">
            <w:pPr>
              <w:rPr>
                <w:sz w:val="18"/>
                <w:szCs w:val="18"/>
              </w:rPr>
            </w:pPr>
            <w:r w:rsidRPr="00EC713C">
              <w:t>BIH10/00119582</w:t>
            </w:r>
          </w:p>
        </w:tc>
      </w:tr>
      <w:tr w:rsidR="00F44462" w:rsidRPr="00853A0F" w14:paraId="024530B6" w14:textId="77777777" w:rsidTr="0089672E">
        <w:trPr>
          <w:trHeight w:val="288"/>
        </w:trPr>
        <w:tc>
          <w:tcPr>
            <w:tcW w:w="1255" w:type="pct"/>
            <w:vAlign w:val="center"/>
          </w:tcPr>
          <w:p w14:paraId="343CD804" w14:textId="77777777" w:rsidR="00F44462" w:rsidRPr="00853A0F" w:rsidRDefault="00F44462" w:rsidP="00F44462">
            <w:pPr>
              <w:pStyle w:val="ListParagraph"/>
              <w:numPr>
                <w:ilvl w:val="0"/>
                <w:numId w:val="1"/>
              </w:numPr>
              <w:spacing w:after="0"/>
              <w:ind w:left="360"/>
              <w:contextualSpacing/>
              <w:jc w:val="left"/>
              <w:rPr>
                <w:sz w:val="18"/>
                <w:szCs w:val="18"/>
              </w:rPr>
            </w:pPr>
            <w:r w:rsidRPr="00853A0F">
              <w:rPr>
                <w:sz w:val="18"/>
                <w:szCs w:val="18"/>
              </w:rPr>
              <w:t>Location (Global/Region/Country)</w:t>
            </w:r>
          </w:p>
        </w:tc>
        <w:tc>
          <w:tcPr>
            <w:tcW w:w="3745" w:type="pct"/>
            <w:vAlign w:val="center"/>
          </w:tcPr>
          <w:p w14:paraId="1D37D724" w14:textId="77777777" w:rsidR="00F44462" w:rsidRPr="00853A0F" w:rsidRDefault="00F44462" w:rsidP="0089672E">
            <w:pPr>
              <w:rPr>
                <w:sz w:val="18"/>
                <w:szCs w:val="18"/>
              </w:rPr>
            </w:pPr>
            <w:r w:rsidRPr="00853A0F">
              <w:rPr>
                <w:sz w:val="18"/>
                <w:szCs w:val="18"/>
              </w:rPr>
              <w:t>Bosnia and Herzegovina</w:t>
            </w:r>
          </w:p>
        </w:tc>
      </w:tr>
    </w:tbl>
    <w:p w14:paraId="336A652C" w14:textId="77777777" w:rsidR="00F44462" w:rsidRPr="00853A0F" w:rsidRDefault="00F44462" w:rsidP="00F44462">
      <w:pPr>
        <w:tabs>
          <w:tab w:val="left" w:pos="360"/>
        </w:tabs>
        <w:rPr>
          <w:szCs w:val="20"/>
        </w:rPr>
      </w:pPr>
    </w:p>
    <w:p w14:paraId="13B82587" w14:textId="77777777" w:rsidR="00F44462" w:rsidRPr="00853A0F" w:rsidRDefault="00F44462" w:rsidP="00F44462">
      <w:pPr>
        <w:spacing w:before="200"/>
        <w:ind w:left="360"/>
        <w:rPr>
          <w:b/>
          <w:color w:val="2F5496" w:themeColor="accent1" w:themeShade="BF"/>
          <w:sz w:val="24"/>
        </w:rPr>
      </w:pPr>
      <w:r w:rsidRPr="00853A0F">
        <w:rPr>
          <w:b/>
          <w:color w:val="2F5496" w:themeColor="accent1" w:themeShade="BF"/>
          <w:sz w:val="24"/>
        </w:rPr>
        <w:t>Part A. Integrating Overarching Principles to Strengthen Social and Environmental Sustainability</w:t>
      </w:r>
    </w:p>
    <w:p w14:paraId="1A845CAD" w14:textId="77777777" w:rsidR="00F44462" w:rsidRPr="00853A0F" w:rsidRDefault="00F44462" w:rsidP="00F44462">
      <w:pPr>
        <w:rPr>
          <w:b/>
          <w:szCs w:val="20"/>
        </w:rPr>
      </w:pPr>
    </w:p>
    <w:tbl>
      <w:tblPr>
        <w:tblStyle w:val="TableGrid"/>
        <w:tblW w:w="5000" w:type="pct"/>
        <w:tblLook w:val="04A0" w:firstRow="1" w:lastRow="0" w:firstColumn="1" w:lastColumn="0" w:noHBand="0" w:noVBand="1"/>
      </w:tblPr>
      <w:tblGrid>
        <w:gridCol w:w="9350"/>
      </w:tblGrid>
      <w:tr w:rsidR="00F44462" w:rsidRPr="00853A0F" w14:paraId="61100574" w14:textId="77777777" w:rsidTr="0089672E">
        <w:trPr>
          <w:trHeight w:val="449"/>
        </w:trPr>
        <w:tc>
          <w:tcPr>
            <w:tcW w:w="5000" w:type="pct"/>
            <w:shd w:val="clear" w:color="auto" w:fill="222A35" w:themeFill="text2" w:themeFillShade="80"/>
            <w:vAlign w:val="center"/>
          </w:tcPr>
          <w:p w14:paraId="62E407E7" w14:textId="77777777" w:rsidR="00F44462" w:rsidRPr="00853A0F" w:rsidRDefault="00F44462" w:rsidP="0089672E">
            <w:pPr>
              <w:rPr>
                <w:szCs w:val="20"/>
              </w:rPr>
            </w:pPr>
            <w:r w:rsidRPr="00853A0F">
              <w:rPr>
                <w:b/>
                <w:szCs w:val="20"/>
              </w:rPr>
              <w:t>QUESTION 1: How Does the Project Integrate the Overarching Principles in order to Strengthen Social and Environmental Sustainability?</w:t>
            </w:r>
          </w:p>
        </w:tc>
      </w:tr>
      <w:tr w:rsidR="00F44462" w:rsidRPr="00853A0F" w14:paraId="3814D542" w14:textId="77777777" w:rsidTr="0089672E">
        <w:tc>
          <w:tcPr>
            <w:tcW w:w="5000" w:type="pct"/>
            <w:shd w:val="clear" w:color="auto" w:fill="D5DCE4" w:themeFill="text2" w:themeFillTint="33"/>
          </w:tcPr>
          <w:p w14:paraId="3EAE197E" w14:textId="77777777" w:rsidR="00F44462" w:rsidRPr="00853A0F" w:rsidRDefault="00F44462" w:rsidP="0089672E">
            <w:pPr>
              <w:tabs>
                <w:tab w:val="left" w:pos="432"/>
              </w:tabs>
              <w:spacing w:before="60"/>
              <w:rPr>
                <w:b/>
                <w:i/>
                <w:sz w:val="18"/>
                <w:szCs w:val="18"/>
              </w:rPr>
            </w:pPr>
            <w:r w:rsidRPr="00853A0F">
              <w:rPr>
                <w:b/>
                <w:i/>
                <w:sz w:val="18"/>
                <w:szCs w:val="18"/>
              </w:rPr>
              <w:t xml:space="preserve">Briefly describe in the space below how the Project mainstreams the human-rights based approach </w:t>
            </w:r>
          </w:p>
        </w:tc>
      </w:tr>
      <w:tr w:rsidR="00F44462" w:rsidRPr="00853A0F" w14:paraId="2760E65E" w14:textId="77777777" w:rsidTr="0089672E">
        <w:tc>
          <w:tcPr>
            <w:tcW w:w="5000" w:type="pct"/>
          </w:tcPr>
          <w:p w14:paraId="124620B1" w14:textId="77777777" w:rsidR="00F44462" w:rsidRPr="00DE5024" w:rsidRDefault="00F44462" w:rsidP="0089672E">
            <w:pPr>
              <w:rPr>
                <w:rFonts w:ascii="Calibri" w:eastAsia="Calibri" w:hAnsi="Calibri" w:cs="Calibri"/>
                <w:szCs w:val="20"/>
              </w:rPr>
            </w:pPr>
            <w:r w:rsidRPr="00DE5024">
              <w:rPr>
                <w:rFonts w:ascii="Calibri" w:eastAsia="Calibri" w:hAnsi="Calibri" w:cs="Calibri"/>
                <w:szCs w:val="20"/>
              </w:rPr>
              <w:t>The MAKERS Project document does not explicitly address human rights, nor it provides reference to the standards adhered to. However, the project document does provide evidence of genuine project's intention to foster progressive promotion and realization of universal human rights of targeted groups and the wider population while striving to achievement of the identified development goals.</w:t>
            </w:r>
            <w:r>
              <w:rPr>
                <w:rFonts w:ascii="Calibri" w:eastAsia="Calibri" w:hAnsi="Calibri" w:cs="Calibri"/>
                <w:szCs w:val="20"/>
              </w:rPr>
              <w:t xml:space="preserve"> </w:t>
            </w:r>
            <w:r w:rsidRPr="00353AD7">
              <w:rPr>
                <w:rFonts w:asciiTheme="minorHAnsi" w:hAnsiTheme="minorHAnsi" w:cstheme="minorHAnsi"/>
                <w:bCs/>
                <w:iCs/>
              </w:rPr>
              <w:t xml:space="preserve">The MAKERS strives to enable sustainable dialogue and collaboration at the local and country-level and by doing so, the Project will aim to sensitize all targeted institutions to devise their policies, financing mechanisms and priority projects in a participatory and non-discriminatory manner, allowing marginalized groups of society to be able to contribute to dialogue processes and establishment of dialogue mechanisms at the local level.  Following the approach established in the Dialogue for the future Project), the MAKERS will continue to integrate human rights-based approach into all aspects of the project, both at the local and national levels. </w:t>
            </w:r>
          </w:p>
        </w:tc>
      </w:tr>
      <w:tr w:rsidR="00F44462" w:rsidRPr="00853A0F" w14:paraId="7E55F2BF" w14:textId="77777777" w:rsidTr="0089672E">
        <w:trPr>
          <w:trHeight w:val="296"/>
        </w:trPr>
        <w:tc>
          <w:tcPr>
            <w:tcW w:w="5000" w:type="pct"/>
            <w:shd w:val="clear" w:color="auto" w:fill="D5DCE4" w:themeFill="text2" w:themeFillTint="33"/>
          </w:tcPr>
          <w:p w14:paraId="4B72633D" w14:textId="77777777" w:rsidR="00F44462" w:rsidRPr="00853A0F" w:rsidRDefault="00F44462" w:rsidP="0089672E">
            <w:pPr>
              <w:spacing w:after="120"/>
              <w:contextualSpacing/>
              <w:rPr>
                <w:b/>
                <w:i/>
                <w:sz w:val="18"/>
                <w:szCs w:val="18"/>
              </w:rPr>
            </w:pPr>
            <w:r w:rsidRPr="00853A0F">
              <w:rPr>
                <w:b/>
                <w:i/>
                <w:sz w:val="18"/>
                <w:szCs w:val="18"/>
              </w:rPr>
              <w:t>Briefly describe in the space below how the Project is likely to improve gender equality and women’s empowerment</w:t>
            </w:r>
          </w:p>
        </w:tc>
      </w:tr>
      <w:tr w:rsidR="00F44462" w:rsidRPr="00853A0F" w14:paraId="333B16A1" w14:textId="77777777" w:rsidTr="0089672E">
        <w:tc>
          <w:tcPr>
            <w:tcW w:w="5000" w:type="pct"/>
          </w:tcPr>
          <w:p w14:paraId="424E968D" w14:textId="77777777" w:rsidR="00F44462" w:rsidRPr="00353AD7" w:rsidRDefault="00F44462" w:rsidP="0089672E">
            <w:pPr>
              <w:rPr>
                <w:rFonts w:asciiTheme="minorHAnsi" w:hAnsiTheme="minorHAnsi" w:cstheme="minorHAnsi"/>
                <w:bCs/>
                <w:iCs/>
              </w:rPr>
            </w:pPr>
            <w:r w:rsidRPr="00353AD7">
              <w:rPr>
                <w:rFonts w:asciiTheme="minorHAnsi" w:hAnsiTheme="minorHAnsi" w:cstheme="minorHAnsi"/>
                <w:bCs/>
                <w:iCs/>
              </w:rPr>
              <w:t xml:space="preserve">Gender equality and women’s empowerment are areas identified as opportunities for dialogue. The Project </w:t>
            </w:r>
            <w:proofErr w:type="gramStart"/>
            <w:r w:rsidRPr="00353AD7">
              <w:rPr>
                <w:rFonts w:asciiTheme="minorHAnsi" w:hAnsiTheme="minorHAnsi" w:cstheme="minorHAnsi"/>
                <w:bCs/>
                <w:iCs/>
              </w:rPr>
              <w:t>will  seek</w:t>
            </w:r>
            <w:proofErr w:type="gramEnd"/>
            <w:r w:rsidRPr="00353AD7">
              <w:rPr>
                <w:rFonts w:asciiTheme="minorHAnsi" w:hAnsiTheme="minorHAnsi" w:cstheme="minorHAnsi"/>
                <w:bCs/>
                <w:iCs/>
              </w:rPr>
              <w:t xml:space="preserve"> to leverage the important role that women can play in </w:t>
            </w:r>
            <w:proofErr w:type="spellStart"/>
            <w:r w:rsidRPr="00353AD7">
              <w:rPr>
                <w:rFonts w:asciiTheme="minorHAnsi" w:hAnsiTheme="minorHAnsi" w:cstheme="minorHAnsi"/>
                <w:bCs/>
                <w:iCs/>
              </w:rPr>
              <w:t>BiH’s</w:t>
            </w:r>
            <w:proofErr w:type="spellEnd"/>
            <w:r w:rsidRPr="00353AD7">
              <w:rPr>
                <w:rFonts w:asciiTheme="minorHAnsi" w:hAnsiTheme="minorHAnsi" w:cstheme="minorHAnsi"/>
                <w:bCs/>
                <w:iCs/>
              </w:rPr>
              <w:t xml:space="preserve"> peacebuilding processes and ensure that gender be utilized as a common issue of interest/concern among all groups in the country. In addition, since many gender roles and stereotypes are formed in early adolescence, MAKERS will focus on young people as key change agents will also help ensure gender- based stereotypes are tackled, along with other types of discrimination. </w:t>
            </w:r>
          </w:p>
          <w:p w14:paraId="5BF28127" w14:textId="77777777" w:rsidR="00F44462" w:rsidRPr="00353AD7" w:rsidRDefault="00F44462" w:rsidP="0089672E">
            <w:pPr>
              <w:rPr>
                <w:rFonts w:asciiTheme="minorHAnsi" w:hAnsiTheme="minorHAnsi" w:cstheme="minorHAnsi"/>
                <w:bCs/>
                <w:iCs/>
              </w:rPr>
            </w:pPr>
            <w:r w:rsidRPr="00353AD7">
              <w:rPr>
                <w:rFonts w:asciiTheme="minorHAnsi" w:hAnsiTheme="minorHAnsi" w:cstheme="minorHAnsi"/>
                <w:bCs/>
                <w:iCs/>
              </w:rPr>
              <w:t xml:space="preserve">Building on the RUNO’s successful experiences with gender equality promotion as part of DFF phase 1, a gender informed approach and strong integration of gender concerns in the project activities will be continuously ensured. Such approach will strengthen capacities of men and women youth leaders and intellectuals to become the next generation leaders who believe in working together towards common goals and in harnessing the strengths of diversity. This would- inter alia- result in the establishment of gender-responsive dialogue and stronger joint problem-solving culture between different groups and mechanisms for peacebuilding. The MAKERS Project will provide support to multi-stakeholder groups, including women’s groups and women youth activists, to positively engage different stakeholders aiming to, among others, contribute to gender equality and women’s empowerment, while </w:t>
            </w:r>
            <w:proofErr w:type="gramStart"/>
            <w:r w:rsidRPr="00353AD7">
              <w:rPr>
                <w:rFonts w:asciiTheme="minorHAnsi" w:hAnsiTheme="minorHAnsi" w:cstheme="minorHAnsi"/>
                <w:bCs/>
                <w:iCs/>
              </w:rPr>
              <w:t>taking into account</w:t>
            </w:r>
            <w:proofErr w:type="gramEnd"/>
            <w:r w:rsidRPr="00353AD7">
              <w:rPr>
                <w:rFonts w:asciiTheme="minorHAnsi" w:hAnsiTheme="minorHAnsi" w:cstheme="minorHAnsi"/>
                <w:bCs/>
                <w:iCs/>
              </w:rPr>
              <w:t xml:space="preserve"> gender-specific issues relating directly to peacebuilding processes. </w:t>
            </w:r>
          </w:p>
          <w:p w14:paraId="01519E85" w14:textId="77777777" w:rsidR="00F44462" w:rsidRPr="00853A0F" w:rsidRDefault="00F44462" w:rsidP="0089672E">
            <w:pPr>
              <w:tabs>
                <w:tab w:val="left" w:pos="432"/>
              </w:tabs>
              <w:spacing w:before="60"/>
              <w:rPr>
                <w:color w:val="595959" w:themeColor="text1" w:themeTint="A6"/>
                <w:sz w:val="18"/>
                <w:szCs w:val="18"/>
              </w:rPr>
            </w:pPr>
          </w:p>
        </w:tc>
      </w:tr>
      <w:tr w:rsidR="00F44462" w:rsidRPr="00853A0F" w14:paraId="35D97C1D" w14:textId="77777777" w:rsidTr="0089672E">
        <w:trPr>
          <w:trHeight w:val="305"/>
        </w:trPr>
        <w:tc>
          <w:tcPr>
            <w:tcW w:w="5000" w:type="pct"/>
            <w:shd w:val="clear" w:color="auto" w:fill="D5DCE4" w:themeFill="text2" w:themeFillTint="33"/>
          </w:tcPr>
          <w:p w14:paraId="7CDFEECF" w14:textId="77777777" w:rsidR="00F44462" w:rsidRPr="00853A0F" w:rsidRDefault="00F44462" w:rsidP="0089672E">
            <w:pPr>
              <w:spacing w:after="120"/>
              <w:contextualSpacing/>
              <w:rPr>
                <w:b/>
                <w:i/>
                <w:sz w:val="18"/>
                <w:szCs w:val="18"/>
                <w:u w:val="single"/>
              </w:rPr>
            </w:pPr>
            <w:r w:rsidRPr="00853A0F">
              <w:rPr>
                <w:b/>
                <w:i/>
                <w:sz w:val="18"/>
                <w:szCs w:val="18"/>
              </w:rPr>
              <w:t>Briefly describe in the space below how the Project mainstreams environmental sustainability</w:t>
            </w:r>
          </w:p>
        </w:tc>
      </w:tr>
      <w:tr w:rsidR="00F44462" w:rsidRPr="00853A0F" w14:paraId="5A2BB983" w14:textId="77777777" w:rsidTr="0089672E">
        <w:tc>
          <w:tcPr>
            <w:tcW w:w="5000" w:type="pct"/>
          </w:tcPr>
          <w:p w14:paraId="737B3EF9" w14:textId="77777777" w:rsidR="00F44462" w:rsidRPr="00853A0F" w:rsidRDefault="00F44462" w:rsidP="0089672E">
            <w:pPr>
              <w:tabs>
                <w:tab w:val="left" w:pos="432"/>
              </w:tabs>
              <w:spacing w:before="60"/>
              <w:rPr>
                <w:color w:val="595959" w:themeColor="text1" w:themeTint="A6"/>
                <w:sz w:val="18"/>
                <w:szCs w:val="18"/>
              </w:rPr>
            </w:pPr>
            <w:r w:rsidRPr="00353AD7">
              <w:rPr>
                <w:rFonts w:asciiTheme="minorHAnsi" w:hAnsiTheme="minorHAnsi" w:cstheme="minorHAnsi"/>
                <w:bCs/>
                <w:iCs/>
              </w:rPr>
              <w:t>The MAKERS project will provide support to implementation of local interventions where key criteria shall include support to marginalized groups as well as environment friendly interventions</w:t>
            </w:r>
            <w:r>
              <w:rPr>
                <w:rFonts w:asciiTheme="minorHAnsi" w:hAnsiTheme="minorHAnsi" w:cstheme="minorHAnsi"/>
                <w:bCs/>
                <w:iCs/>
              </w:rPr>
              <w:t>.</w:t>
            </w:r>
          </w:p>
        </w:tc>
      </w:tr>
    </w:tbl>
    <w:p w14:paraId="5A78B586" w14:textId="77777777" w:rsidR="00F44462" w:rsidRPr="00853A0F" w:rsidRDefault="00F44462" w:rsidP="00F44462">
      <w:pPr>
        <w:rPr>
          <w:b/>
          <w:szCs w:val="20"/>
        </w:rPr>
      </w:pPr>
    </w:p>
    <w:p w14:paraId="63D8B4D6" w14:textId="77777777" w:rsidR="00F44462" w:rsidRPr="00853A0F" w:rsidRDefault="00F44462" w:rsidP="00F44462">
      <w:pPr>
        <w:keepNext/>
        <w:spacing w:before="200"/>
        <w:ind w:left="360"/>
        <w:rPr>
          <w:b/>
          <w:color w:val="2F5496" w:themeColor="accent1" w:themeShade="BF"/>
          <w:sz w:val="24"/>
        </w:rPr>
      </w:pPr>
      <w:r w:rsidRPr="00853A0F">
        <w:rPr>
          <w:b/>
          <w:color w:val="2F5496" w:themeColor="accent1" w:themeShade="BF"/>
          <w:sz w:val="24"/>
        </w:rPr>
        <w:lastRenderedPageBreak/>
        <w:t>Part B. Identifying and Managing Social and Environmental Risks</w:t>
      </w:r>
    </w:p>
    <w:p w14:paraId="0B9E69CF" w14:textId="77777777" w:rsidR="00F44462" w:rsidRPr="00853A0F" w:rsidRDefault="00F44462" w:rsidP="00F44462">
      <w:pPr>
        <w:keepNext/>
        <w:rPr>
          <w:b/>
          <w:szCs w:val="20"/>
        </w:rPr>
      </w:pPr>
    </w:p>
    <w:tbl>
      <w:tblPr>
        <w:tblStyle w:val="TableGrid"/>
        <w:tblW w:w="5000" w:type="pct"/>
        <w:tblLook w:val="04A0" w:firstRow="1" w:lastRow="0" w:firstColumn="1" w:lastColumn="0" w:noHBand="0" w:noVBand="1"/>
      </w:tblPr>
      <w:tblGrid>
        <w:gridCol w:w="2222"/>
        <w:gridCol w:w="1147"/>
        <w:gridCol w:w="1277"/>
        <w:gridCol w:w="1214"/>
        <w:gridCol w:w="371"/>
        <w:gridCol w:w="18"/>
        <w:gridCol w:w="3101"/>
      </w:tblGrid>
      <w:tr w:rsidR="00F44462" w:rsidRPr="00853A0F" w14:paraId="49B993DB" w14:textId="77777777" w:rsidTr="0089672E">
        <w:trPr>
          <w:trHeight w:val="1061"/>
        </w:trPr>
        <w:tc>
          <w:tcPr>
            <w:tcW w:w="1336" w:type="pct"/>
            <w:shd w:val="clear" w:color="auto" w:fill="222A35" w:themeFill="text2" w:themeFillShade="80"/>
          </w:tcPr>
          <w:p w14:paraId="574DEB89" w14:textId="77777777" w:rsidR="00F44462" w:rsidRPr="00853A0F" w:rsidRDefault="00F44462" w:rsidP="0089672E">
            <w:pPr>
              <w:keepNext/>
              <w:tabs>
                <w:tab w:val="left" w:pos="101"/>
              </w:tabs>
              <w:ind w:right="252" w:firstLine="11"/>
              <w:rPr>
                <w:b/>
                <w:szCs w:val="20"/>
              </w:rPr>
            </w:pPr>
            <w:r w:rsidRPr="00853A0F">
              <w:rPr>
                <w:b/>
                <w:szCs w:val="20"/>
              </w:rPr>
              <w:t xml:space="preserve">QUESTION 2: What are the Potential Social and Environmental Risks? </w:t>
            </w:r>
          </w:p>
          <w:p w14:paraId="6351CF98" w14:textId="77777777" w:rsidR="00F44462" w:rsidRPr="00853A0F" w:rsidRDefault="00F44462" w:rsidP="0089672E">
            <w:pPr>
              <w:keepNext/>
              <w:tabs>
                <w:tab w:val="left" w:pos="101"/>
              </w:tabs>
              <w:ind w:right="252" w:firstLine="11"/>
              <w:rPr>
                <w:b/>
                <w:szCs w:val="20"/>
              </w:rPr>
            </w:pPr>
            <w:r w:rsidRPr="00853A0F">
              <w:rPr>
                <w:i/>
                <w:sz w:val="18"/>
                <w:szCs w:val="18"/>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1849" w:type="pct"/>
            <w:gridSpan w:val="4"/>
            <w:shd w:val="clear" w:color="auto" w:fill="222A35" w:themeFill="text2" w:themeFillShade="80"/>
          </w:tcPr>
          <w:p w14:paraId="5495D87A" w14:textId="77777777" w:rsidR="00F44462" w:rsidRPr="00853A0F" w:rsidRDefault="00F44462" w:rsidP="0089672E">
            <w:pPr>
              <w:keepNext/>
              <w:tabs>
                <w:tab w:val="left" w:pos="101"/>
              </w:tabs>
              <w:ind w:right="252" w:firstLine="11"/>
              <w:rPr>
                <w:b/>
                <w:szCs w:val="20"/>
              </w:rPr>
            </w:pPr>
            <w:r w:rsidRPr="00853A0F">
              <w:rPr>
                <w:b/>
                <w:szCs w:val="20"/>
              </w:rPr>
              <w:t>QUESTION 3: What is the level of significance of the potential social and environmental risks?</w:t>
            </w:r>
          </w:p>
          <w:p w14:paraId="139EAD7E" w14:textId="77777777" w:rsidR="00F44462" w:rsidRPr="00853A0F" w:rsidRDefault="00F44462" w:rsidP="0089672E">
            <w:pPr>
              <w:keepNext/>
              <w:tabs>
                <w:tab w:val="left" w:pos="432"/>
              </w:tabs>
              <w:rPr>
                <w:b/>
                <w:szCs w:val="20"/>
              </w:rPr>
            </w:pPr>
            <w:r w:rsidRPr="00853A0F">
              <w:rPr>
                <w:i/>
                <w:sz w:val="18"/>
                <w:szCs w:val="18"/>
              </w:rPr>
              <w:t>Note: Respond to Questions 4 and 5 below before proceeding to Question 6</w:t>
            </w:r>
          </w:p>
        </w:tc>
        <w:tc>
          <w:tcPr>
            <w:tcW w:w="1815" w:type="pct"/>
            <w:gridSpan w:val="2"/>
            <w:shd w:val="clear" w:color="auto" w:fill="222A35" w:themeFill="text2" w:themeFillShade="80"/>
          </w:tcPr>
          <w:p w14:paraId="49728733" w14:textId="77777777" w:rsidR="00F44462" w:rsidRPr="00853A0F" w:rsidRDefault="00F44462" w:rsidP="0089672E">
            <w:pPr>
              <w:keepNext/>
              <w:tabs>
                <w:tab w:val="left" w:pos="432"/>
              </w:tabs>
              <w:rPr>
                <w:b/>
                <w:szCs w:val="20"/>
              </w:rPr>
            </w:pPr>
            <w:r w:rsidRPr="00853A0F">
              <w:rPr>
                <w:b/>
                <w:szCs w:val="20"/>
              </w:rPr>
              <w:t>QUESTION 6: What social and environmental assessment and management measures have been conducted and/or are required to address potential risks (for Risks with Moderate and High Significance)?</w:t>
            </w:r>
          </w:p>
        </w:tc>
      </w:tr>
      <w:tr w:rsidR="00F44462" w:rsidRPr="00853A0F" w14:paraId="77BFDCB8" w14:textId="77777777" w:rsidTr="0089672E">
        <w:tc>
          <w:tcPr>
            <w:tcW w:w="1336" w:type="pct"/>
            <w:shd w:val="clear" w:color="auto" w:fill="D5DCE4" w:themeFill="text2" w:themeFillTint="33"/>
          </w:tcPr>
          <w:p w14:paraId="6F6A1AB6" w14:textId="77777777" w:rsidR="00F44462" w:rsidRPr="00853A0F" w:rsidRDefault="00F44462" w:rsidP="0089672E">
            <w:pPr>
              <w:rPr>
                <w:b/>
                <w:i/>
                <w:sz w:val="18"/>
                <w:szCs w:val="18"/>
              </w:rPr>
            </w:pPr>
            <w:r w:rsidRPr="00853A0F">
              <w:rPr>
                <w:b/>
                <w:i/>
                <w:sz w:val="18"/>
                <w:szCs w:val="18"/>
              </w:rPr>
              <w:t>Risk Description</w:t>
            </w:r>
          </w:p>
        </w:tc>
        <w:tc>
          <w:tcPr>
            <w:tcW w:w="411" w:type="pct"/>
            <w:shd w:val="clear" w:color="auto" w:fill="D5DCE4" w:themeFill="text2" w:themeFillTint="33"/>
          </w:tcPr>
          <w:p w14:paraId="548FB65F" w14:textId="77777777" w:rsidR="00F44462" w:rsidRPr="00853A0F" w:rsidRDefault="00F44462" w:rsidP="0089672E">
            <w:pPr>
              <w:rPr>
                <w:b/>
                <w:i/>
                <w:sz w:val="18"/>
                <w:szCs w:val="18"/>
              </w:rPr>
            </w:pPr>
            <w:r w:rsidRPr="00853A0F">
              <w:rPr>
                <w:b/>
                <w:i/>
                <w:sz w:val="18"/>
                <w:szCs w:val="18"/>
              </w:rPr>
              <w:t xml:space="preserve">Impact and </w:t>
            </w:r>
            <w:proofErr w:type="gramStart"/>
            <w:r w:rsidRPr="00853A0F">
              <w:rPr>
                <w:b/>
                <w:i/>
                <w:sz w:val="18"/>
                <w:szCs w:val="18"/>
              </w:rPr>
              <w:t>Probability  (</w:t>
            </w:r>
            <w:proofErr w:type="gramEnd"/>
            <w:r w:rsidRPr="00853A0F">
              <w:rPr>
                <w:b/>
                <w:i/>
                <w:sz w:val="18"/>
                <w:szCs w:val="18"/>
              </w:rPr>
              <w:t>1-5)</w:t>
            </w:r>
          </w:p>
        </w:tc>
        <w:tc>
          <w:tcPr>
            <w:tcW w:w="445" w:type="pct"/>
            <w:shd w:val="clear" w:color="auto" w:fill="D5DCE4" w:themeFill="text2" w:themeFillTint="33"/>
          </w:tcPr>
          <w:p w14:paraId="285436E6" w14:textId="77777777" w:rsidR="00F44462" w:rsidRPr="00853A0F" w:rsidRDefault="00F44462" w:rsidP="0089672E">
            <w:pPr>
              <w:rPr>
                <w:b/>
                <w:i/>
                <w:sz w:val="18"/>
                <w:szCs w:val="18"/>
              </w:rPr>
            </w:pPr>
            <w:r w:rsidRPr="00853A0F">
              <w:rPr>
                <w:b/>
                <w:i/>
                <w:sz w:val="18"/>
                <w:szCs w:val="18"/>
              </w:rPr>
              <w:t>Significance</w:t>
            </w:r>
          </w:p>
          <w:p w14:paraId="41CAEDF8" w14:textId="77777777" w:rsidR="00F44462" w:rsidRPr="00853A0F" w:rsidRDefault="00F44462" w:rsidP="0089672E">
            <w:pPr>
              <w:rPr>
                <w:b/>
                <w:i/>
                <w:sz w:val="18"/>
                <w:szCs w:val="18"/>
              </w:rPr>
            </w:pPr>
            <w:r w:rsidRPr="00853A0F">
              <w:rPr>
                <w:b/>
                <w:i/>
                <w:sz w:val="18"/>
                <w:szCs w:val="18"/>
              </w:rPr>
              <w:t>(Low, Moderate, High)</w:t>
            </w:r>
          </w:p>
        </w:tc>
        <w:tc>
          <w:tcPr>
            <w:tcW w:w="993" w:type="pct"/>
            <w:gridSpan w:val="2"/>
            <w:shd w:val="clear" w:color="auto" w:fill="D5DCE4" w:themeFill="text2" w:themeFillTint="33"/>
          </w:tcPr>
          <w:p w14:paraId="211829D3" w14:textId="77777777" w:rsidR="00F44462" w:rsidRPr="00853A0F" w:rsidRDefault="00F44462" w:rsidP="0089672E">
            <w:pPr>
              <w:rPr>
                <w:b/>
                <w:i/>
                <w:sz w:val="18"/>
                <w:szCs w:val="18"/>
              </w:rPr>
            </w:pPr>
            <w:r w:rsidRPr="00853A0F">
              <w:rPr>
                <w:b/>
                <w:i/>
                <w:sz w:val="18"/>
                <w:szCs w:val="18"/>
              </w:rPr>
              <w:t>Comments</w:t>
            </w:r>
          </w:p>
        </w:tc>
        <w:tc>
          <w:tcPr>
            <w:tcW w:w="1815" w:type="pct"/>
            <w:gridSpan w:val="2"/>
            <w:shd w:val="clear" w:color="auto" w:fill="D5DCE4" w:themeFill="text2" w:themeFillTint="33"/>
          </w:tcPr>
          <w:p w14:paraId="37093841" w14:textId="77777777" w:rsidR="00F44462" w:rsidRPr="00853A0F" w:rsidRDefault="00F44462" w:rsidP="0089672E">
            <w:pPr>
              <w:rPr>
                <w:b/>
                <w:i/>
                <w:sz w:val="18"/>
                <w:szCs w:val="18"/>
              </w:rPr>
            </w:pPr>
            <w:r w:rsidRPr="00853A0F">
              <w:rPr>
                <w:b/>
                <w:i/>
                <w:sz w:val="18"/>
                <w:szCs w:val="18"/>
              </w:rPr>
              <w:t>Description of assessment and management measures as reflected in the Project design.  If ESIA or SESA is required note that the assessment should consider all potential impacts and risks.</w:t>
            </w:r>
          </w:p>
        </w:tc>
      </w:tr>
      <w:tr w:rsidR="00F44462" w:rsidRPr="00853A0F" w14:paraId="752003F5" w14:textId="77777777" w:rsidTr="0089672E">
        <w:tc>
          <w:tcPr>
            <w:tcW w:w="1336" w:type="pct"/>
            <w:vAlign w:val="center"/>
          </w:tcPr>
          <w:p w14:paraId="16836726" w14:textId="77777777" w:rsidR="00F44462" w:rsidRPr="00853A0F" w:rsidRDefault="00F44462" w:rsidP="0089672E">
            <w:pPr>
              <w:rPr>
                <w:sz w:val="18"/>
                <w:szCs w:val="18"/>
              </w:rPr>
            </w:pPr>
            <w:r w:rsidRPr="00853A0F">
              <w:rPr>
                <w:sz w:val="18"/>
                <w:szCs w:val="18"/>
              </w:rPr>
              <w:t>No risks identified</w:t>
            </w:r>
          </w:p>
        </w:tc>
        <w:tc>
          <w:tcPr>
            <w:tcW w:w="411" w:type="pct"/>
          </w:tcPr>
          <w:p w14:paraId="4A18CA49" w14:textId="77777777" w:rsidR="00F44462" w:rsidRPr="00853A0F" w:rsidRDefault="00F44462" w:rsidP="0089672E">
            <w:pPr>
              <w:rPr>
                <w:rFonts w:cs="Minion Pro"/>
                <w:sz w:val="18"/>
                <w:szCs w:val="18"/>
              </w:rPr>
            </w:pPr>
          </w:p>
        </w:tc>
        <w:tc>
          <w:tcPr>
            <w:tcW w:w="445" w:type="pct"/>
          </w:tcPr>
          <w:p w14:paraId="3415362D" w14:textId="77777777" w:rsidR="00F44462" w:rsidRPr="00853A0F" w:rsidRDefault="00F44462" w:rsidP="0089672E">
            <w:pPr>
              <w:rPr>
                <w:b/>
                <w:sz w:val="18"/>
                <w:szCs w:val="18"/>
              </w:rPr>
            </w:pPr>
          </w:p>
        </w:tc>
        <w:tc>
          <w:tcPr>
            <w:tcW w:w="993" w:type="pct"/>
            <w:gridSpan w:val="2"/>
          </w:tcPr>
          <w:p w14:paraId="2CCC2627" w14:textId="77777777" w:rsidR="00F44462" w:rsidRPr="00853A0F" w:rsidRDefault="00F44462" w:rsidP="0089672E">
            <w:pPr>
              <w:rPr>
                <w:b/>
                <w:sz w:val="18"/>
                <w:szCs w:val="18"/>
              </w:rPr>
            </w:pPr>
          </w:p>
        </w:tc>
        <w:tc>
          <w:tcPr>
            <w:tcW w:w="1815" w:type="pct"/>
            <w:gridSpan w:val="2"/>
          </w:tcPr>
          <w:p w14:paraId="2EE07CC9" w14:textId="77777777" w:rsidR="00F44462" w:rsidRPr="00853A0F" w:rsidRDefault="00F44462" w:rsidP="0089672E">
            <w:pPr>
              <w:rPr>
                <w:b/>
                <w:sz w:val="18"/>
                <w:szCs w:val="18"/>
              </w:rPr>
            </w:pPr>
          </w:p>
        </w:tc>
      </w:tr>
      <w:tr w:rsidR="00F44462" w:rsidRPr="00853A0F" w14:paraId="3E7AEE9D" w14:textId="77777777" w:rsidTr="0089672E">
        <w:tc>
          <w:tcPr>
            <w:tcW w:w="1336" w:type="pct"/>
            <w:vAlign w:val="center"/>
          </w:tcPr>
          <w:p w14:paraId="6844BF25" w14:textId="77777777" w:rsidR="00F44462" w:rsidRPr="00853A0F" w:rsidRDefault="00F44462" w:rsidP="0089672E">
            <w:pPr>
              <w:rPr>
                <w:b/>
                <w:sz w:val="18"/>
                <w:szCs w:val="18"/>
              </w:rPr>
            </w:pPr>
          </w:p>
        </w:tc>
        <w:tc>
          <w:tcPr>
            <w:tcW w:w="411" w:type="pct"/>
          </w:tcPr>
          <w:p w14:paraId="3065D312" w14:textId="77777777" w:rsidR="00F44462" w:rsidRPr="00853A0F" w:rsidRDefault="00F44462" w:rsidP="0089672E">
            <w:pPr>
              <w:rPr>
                <w:sz w:val="18"/>
                <w:szCs w:val="18"/>
              </w:rPr>
            </w:pPr>
          </w:p>
        </w:tc>
        <w:tc>
          <w:tcPr>
            <w:tcW w:w="445" w:type="pct"/>
          </w:tcPr>
          <w:p w14:paraId="4D5F3134" w14:textId="77777777" w:rsidR="00F44462" w:rsidRPr="00853A0F" w:rsidRDefault="00F44462" w:rsidP="0089672E">
            <w:pPr>
              <w:rPr>
                <w:b/>
                <w:sz w:val="18"/>
                <w:szCs w:val="18"/>
              </w:rPr>
            </w:pPr>
          </w:p>
        </w:tc>
        <w:tc>
          <w:tcPr>
            <w:tcW w:w="993" w:type="pct"/>
            <w:gridSpan w:val="2"/>
          </w:tcPr>
          <w:p w14:paraId="57EF85A9" w14:textId="77777777" w:rsidR="00F44462" w:rsidRPr="00853A0F" w:rsidRDefault="00F44462" w:rsidP="0089672E">
            <w:pPr>
              <w:rPr>
                <w:b/>
                <w:sz w:val="18"/>
                <w:szCs w:val="18"/>
              </w:rPr>
            </w:pPr>
          </w:p>
        </w:tc>
        <w:tc>
          <w:tcPr>
            <w:tcW w:w="1815" w:type="pct"/>
            <w:gridSpan w:val="2"/>
          </w:tcPr>
          <w:p w14:paraId="1AE78235" w14:textId="77777777" w:rsidR="00F44462" w:rsidRPr="00853A0F" w:rsidRDefault="00F44462" w:rsidP="0089672E">
            <w:pPr>
              <w:rPr>
                <w:b/>
                <w:sz w:val="18"/>
                <w:szCs w:val="18"/>
              </w:rPr>
            </w:pPr>
          </w:p>
        </w:tc>
      </w:tr>
      <w:tr w:rsidR="00F44462" w:rsidRPr="00853A0F" w14:paraId="1FE9183E" w14:textId="77777777" w:rsidTr="0089672E">
        <w:trPr>
          <w:trHeight w:val="593"/>
        </w:trPr>
        <w:tc>
          <w:tcPr>
            <w:tcW w:w="1336" w:type="pct"/>
            <w:vMerge w:val="restart"/>
          </w:tcPr>
          <w:p w14:paraId="0D20E231" w14:textId="77777777" w:rsidR="00F44462" w:rsidRPr="00853A0F" w:rsidRDefault="00F44462" w:rsidP="0089672E">
            <w:pPr>
              <w:rPr>
                <w:b/>
                <w:szCs w:val="20"/>
              </w:rPr>
            </w:pPr>
          </w:p>
        </w:tc>
        <w:tc>
          <w:tcPr>
            <w:tcW w:w="3664" w:type="pct"/>
            <w:gridSpan w:val="6"/>
            <w:shd w:val="clear" w:color="auto" w:fill="222A35" w:themeFill="text2" w:themeFillShade="80"/>
          </w:tcPr>
          <w:p w14:paraId="41922D85" w14:textId="77777777" w:rsidR="00F44462" w:rsidRPr="00853A0F" w:rsidRDefault="00F44462" w:rsidP="0089672E">
            <w:pPr>
              <w:rPr>
                <w:b/>
                <w:sz w:val="18"/>
                <w:szCs w:val="18"/>
              </w:rPr>
            </w:pPr>
            <w:r w:rsidRPr="00853A0F">
              <w:rPr>
                <w:b/>
                <w:szCs w:val="20"/>
              </w:rPr>
              <w:t xml:space="preserve">QUESTION 4: What is the overall Project risk categorization? </w:t>
            </w:r>
          </w:p>
        </w:tc>
      </w:tr>
      <w:tr w:rsidR="00F44462" w:rsidRPr="00853A0F" w14:paraId="5E3B5B71" w14:textId="77777777" w:rsidTr="0089672E">
        <w:tc>
          <w:tcPr>
            <w:tcW w:w="1336" w:type="pct"/>
            <w:vMerge/>
          </w:tcPr>
          <w:p w14:paraId="4C53BC98" w14:textId="77777777" w:rsidR="00F44462" w:rsidRPr="00853A0F" w:rsidRDefault="00F44462" w:rsidP="0089672E">
            <w:pPr>
              <w:rPr>
                <w:sz w:val="18"/>
                <w:szCs w:val="18"/>
                <w:u w:val="single"/>
              </w:rPr>
            </w:pPr>
          </w:p>
        </w:tc>
        <w:tc>
          <w:tcPr>
            <w:tcW w:w="1858" w:type="pct"/>
            <w:gridSpan w:val="5"/>
          </w:tcPr>
          <w:p w14:paraId="4376E44B" w14:textId="77777777" w:rsidR="00F44462" w:rsidRPr="00853A0F" w:rsidRDefault="00F44462" w:rsidP="0089672E">
            <w:pPr>
              <w:jc w:val="center"/>
              <w:rPr>
                <w:b/>
                <w:sz w:val="18"/>
                <w:szCs w:val="18"/>
              </w:rPr>
            </w:pPr>
            <w:r w:rsidRPr="00853A0F">
              <w:rPr>
                <w:b/>
                <w:sz w:val="18"/>
                <w:szCs w:val="18"/>
              </w:rPr>
              <w:t xml:space="preserve">Select one (see </w:t>
            </w:r>
            <w:hyperlink r:id="rId8" w:history="1">
              <w:r w:rsidRPr="00853A0F">
                <w:rPr>
                  <w:rStyle w:val="Hyperlink"/>
                  <w:b/>
                  <w:sz w:val="18"/>
                  <w:szCs w:val="18"/>
                </w:rPr>
                <w:t>SESP</w:t>
              </w:r>
            </w:hyperlink>
            <w:r w:rsidRPr="00853A0F">
              <w:rPr>
                <w:b/>
                <w:sz w:val="18"/>
                <w:szCs w:val="18"/>
              </w:rPr>
              <w:t xml:space="preserve"> for guidance)</w:t>
            </w:r>
          </w:p>
        </w:tc>
        <w:tc>
          <w:tcPr>
            <w:tcW w:w="1806" w:type="pct"/>
          </w:tcPr>
          <w:p w14:paraId="4320D941" w14:textId="77777777" w:rsidR="00F44462" w:rsidRPr="00853A0F" w:rsidRDefault="00F44462" w:rsidP="0089672E">
            <w:pPr>
              <w:jc w:val="center"/>
              <w:rPr>
                <w:b/>
                <w:sz w:val="18"/>
                <w:szCs w:val="18"/>
              </w:rPr>
            </w:pPr>
            <w:r w:rsidRPr="00853A0F">
              <w:rPr>
                <w:b/>
                <w:sz w:val="18"/>
                <w:szCs w:val="18"/>
              </w:rPr>
              <w:t>Comments</w:t>
            </w:r>
          </w:p>
        </w:tc>
      </w:tr>
      <w:tr w:rsidR="00F44462" w:rsidRPr="00853A0F" w14:paraId="362F38A3" w14:textId="77777777" w:rsidTr="0089672E">
        <w:trPr>
          <w:trHeight w:val="251"/>
        </w:trPr>
        <w:tc>
          <w:tcPr>
            <w:tcW w:w="1336" w:type="pct"/>
            <w:vMerge/>
          </w:tcPr>
          <w:p w14:paraId="262FED2C" w14:textId="77777777" w:rsidR="00F44462" w:rsidRPr="00853A0F" w:rsidRDefault="00F44462" w:rsidP="0089672E">
            <w:pPr>
              <w:rPr>
                <w:rFonts w:cs="Minion Pro"/>
                <w:sz w:val="18"/>
                <w:szCs w:val="18"/>
              </w:rPr>
            </w:pPr>
          </w:p>
        </w:tc>
        <w:tc>
          <w:tcPr>
            <w:tcW w:w="1653" w:type="pct"/>
            <w:gridSpan w:val="3"/>
            <w:shd w:val="clear" w:color="auto" w:fill="auto"/>
          </w:tcPr>
          <w:p w14:paraId="17AA72C6" w14:textId="77777777" w:rsidR="00F44462" w:rsidRPr="00853A0F" w:rsidRDefault="00F44462" w:rsidP="0089672E">
            <w:pPr>
              <w:jc w:val="right"/>
              <w:rPr>
                <w:rFonts w:cs="Minion Pro"/>
                <w:b/>
                <w:i/>
                <w:sz w:val="18"/>
                <w:szCs w:val="18"/>
              </w:rPr>
            </w:pPr>
            <w:r w:rsidRPr="00853A0F">
              <w:rPr>
                <w:rFonts w:cs="Minion Pro"/>
                <w:b/>
                <w:i/>
                <w:sz w:val="18"/>
                <w:szCs w:val="18"/>
              </w:rPr>
              <w:t>Low Risk</w:t>
            </w:r>
          </w:p>
        </w:tc>
        <w:tc>
          <w:tcPr>
            <w:tcW w:w="205" w:type="pct"/>
            <w:gridSpan w:val="2"/>
          </w:tcPr>
          <w:p w14:paraId="0101DBD8" w14:textId="77777777" w:rsidR="00F44462" w:rsidRPr="00853A0F" w:rsidRDefault="00F44462" w:rsidP="0089672E">
            <w:pPr>
              <w:ind w:left="-2230" w:firstLine="2230"/>
              <w:rPr>
                <w:b/>
                <w:sz w:val="18"/>
                <w:szCs w:val="18"/>
              </w:rPr>
            </w:pPr>
            <w:r w:rsidRPr="00853A0F">
              <w:rPr>
                <w:rFonts w:ascii="Segoe UI Symbol" w:hAnsi="Segoe UI Symbol" w:cs="Segoe UI Symbol"/>
                <w:b/>
                <w:szCs w:val="20"/>
              </w:rPr>
              <w:t>X</w:t>
            </w:r>
          </w:p>
        </w:tc>
        <w:tc>
          <w:tcPr>
            <w:tcW w:w="1806" w:type="pct"/>
          </w:tcPr>
          <w:p w14:paraId="3F5B8CA4" w14:textId="77777777" w:rsidR="00F44462" w:rsidRPr="00853A0F" w:rsidRDefault="00F44462" w:rsidP="0089672E">
            <w:pPr>
              <w:rPr>
                <w:b/>
                <w:sz w:val="18"/>
                <w:szCs w:val="18"/>
              </w:rPr>
            </w:pPr>
          </w:p>
        </w:tc>
      </w:tr>
      <w:tr w:rsidR="00F44462" w:rsidRPr="00853A0F" w14:paraId="6F6DAD79" w14:textId="77777777" w:rsidTr="0089672E">
        <w:tc>
          <w:tcPr>
            <w:tcW w:w="1336" w:type="pct"/>
            <w:vMerge/>
          </w:tcPr>
          <w:p w14:paraId="4C9C87FA" w14:textId="77777777" w:rsidR="00F44462" w:rsidRPr="00853A0F" w:rsidRDefault="00F44462" w:rsidP="0089672E">
            <w:pPr>
              <w:rPr>
                <w:rFonts w:cs="Minion Pro"/>
                <w:sz w:val="18"/>
                <w:szCs w:val="18"/>
              </w:rPr>
            </w:pPr>
          </w:p>
        </w:tc>
        <w:tc>
          <w:tcPr>
            <w:tcW w:w="1653" w:type="pct"/>
            <w:gridSpan w:val="3"/>
            <w:shd w:val="clear" w:color="auto" w:fill="auto"/>
          </w:tcPr>
          <w:p w14:paraId="2C195597" w14:textId="77777777" w:rsidR="00F44462" w:rsidRPr="00853A0F" w:rsidRDefault="00F44462" w:rsidP="0089672E">
            <w:pPr>
              <w:jc w:val="right"/>
              <w:rPr>
                <w:rFonts w:cs="Minion Pro"/>
                <w:b/>
                <w:i/>
                <w:sz w:val="18"/>
                <w:szCs w:val="18"/>
              </w:rPr>
            </w:pPr>
            <w:r w:rsidRPr="00853A0F">
              <w:rPr>
                <w:rFonts w:cs="Minion Pro"/>
                <w:b/>
                <w:i/>
                <w:sz w:val="18"/>
                <w:szCs w:val="18"/>
              </w:rPr>
              <w:t>Moderate Risk</w:t>
            </w:r>
          </w:p>
        </w:tc>
        <w:tc>
          <w:tcPr>
            <w:tcW w:w="205" w:type="pct"/>
            <w:gridSpan w:val="2"/>
          </w:tcPr>
          <w:p w14:paraId="62F55E8A" w14:textId="77777777" w:rsidR="00F44462" w:rsidRPr="00853A0F" w:rsidRDefault="00F44462" w:rsidP="0089672E">
            <w:pPr>
              <w:ind w:left="-2230" w:firstLine="2230"/>
              <w:rPr>
                <w:b/>
                <w:sz w:val="18"/>
                <w:szCs w:val="18"/>
              </w:rPr>
            </w:pPr>
            <w:r w:rsidRPr="00853A0F">
              <w:rPr>
                <w:rFonts w:ascii="Segoe UI Symbol" w:hAnsi="Segoe UI Symbol" w:cs="Segoe UI Symbol"/>
                <w:b/>
                <w:sz w:val="18"/>
                <w:szCs w:val="18"/>
              </w:rPr>
              <w:t>☐</w:t>
            </w:r>
          </w:p>
        </w:tc>
        <w:tc>
          <w:tcPr>
            <w:tcW w:w="1806" w:type="pct"/>
          </w:tcPr>
          <w:p w14:paraId="7A38C86B" w14:textId="77777777" w:rsidR="00F44462" w:rsidRPr="00853A0F" w:rsidRDefault="00F44462" w:rsidP="0089672E">
            <w:pPr>
              <w:rPr>
                <w:b/>
                <w:sz w:val="18"/>
                <w:szCs w:val="18"/>
              </w:rPr>
            </w:pPr>
          </w:p>
        </w:tc>
      </w:tr>
      <w:tr w:rsidR="00F44462" w:rsidRPr="00853A0F" w14:paraId="389D73A8" w14:textId="77777777" w:rsidTr="0089672E">
        <w:tc>
          <w:tcPr>
            <w:tcW w:w="1336" w:type="pct"/>
            <w:vMerge/>
          </w:tcPr>
          <w:p w14:paraId="5DA4FDDB" w14:textId="77777777" w:rsidR="00F44462" w:rsidRPr="00853A0F" w:rsidRDefault="00F44462" w:rsidP="0089672E">
            <w:pPr>
              <w:rPr>
                <w:rFonts w:cs="Minion Pro"/>
                <w:sz w:val="18"/>
                <w:szCs w:val="18"/>
              </w:rPr>
            </w:pPr>
          </w:p>
        </w:tc>
        <w:tc>
          <w:tcPr>
            <w:tcW w:w="1653" w:type="pct"/>
            <w:gridSpan w:val="3"/>
            <w:shd w:val="clear" w:color="auto" w:fill="auto"/>
          </w:tcPr>
          <w:p w14:paraId="1DABA0FD" w14:textId="77777777" w:rsidR="00F44462" w:rsidRPr="00853A0F" w:rsidRDefault="00F44462" w:rsidP="0089672E">
            <w:pPr>
              <w:jc w:val="right"/>
              <w:rPr>
                <w:rFonts w:cs="Minion Pro"/>
                <w:b/>
                <w:i/>
                <w:sz w:val="18"/>
                <w:szCs w:val="18"/>
              </w:rPr>
            </w:pPr>
            <w:r w:rsidRPr="00853A0F">
              <w:rPr>
                <w:rFonts w:cs="Minion Pro"/>
                <w:b/>
                <w:i/>
                <w:sz w:val="18"/>
                <w:szCs w:val="18"/>
              </w:rPr>
              <w:t>High Risk</w:t>
            </w:r>
          </w:p>
        </w:tc>
        <w:tc>
          <w:tcPr>
            <w:tcW w:w="205" w:type="pct"/>
            <w:gridSpan w:val="2"/>
          </w:tcPr>
          <w:p w14:paraId="5C4BC900" w14:textId="77777777" w:rsidR="00F44462" w:rsidRPr="00853A0F" w:rsidRDefault="00F44462" w:rsidP="0089672E">
            <w:pPr>
              <w:ind w:left="-2230" w:firstLine="2230"/>
              <w:rPr>
                <w:b/>
                <w:sz w:val="18"/>
                <w:szCs w:val="18"/>
              </w:rPr>
            </w:pPr>
            <w:r w:rsidRPr="00853A0F">
              <w:rPr>
                <w:rFonts w:ascii="Segoe UI Symbol" w:hAnsi="Segoe UI Symbol" w:cs="Segoe UI Symbol"/>
                <w:b/>
                <w:szCs w:val="20"/>
              </w:rPr>
              <w:t>☐</w:t>
            </w:r>
          </w:p>
        </w:tc>
        <w:tc>
          <w:tcPr>
            <w:tcW w:w="1806" w:type="pct"/>
          </w:tcPr>
          <w:p w14:paraId="626ADC97" w14:textId="77777777" w:rsidR="00F44462" w:rsidRPr="00853A0F" w:rsidRDefault="00F44462" w:rsidP="0089672E">
            <w:pPr>
              <w:rPr>
                <w:b/>
                <w:sz w:val="18"/>
                <w:szCs w:val="18"/>
              </w:rPr>
            </w:pPr>
          </w:p>
        </w:tc>
      </w:tr>
      <w:tr w:rsidR="00F44462" w:rsidRPr="00853A0F" w14:paraId="07184EDC" w14:textId="77777777" w:rsidTr="0089672E">
        <w:trPr>
          <w:trHeight w:val="782"/>
        </w:trPr>
        <w:tc>
          <w:tcPr>
            <w:tcW w:w="1336" w:type="pct"/>
            <w:vMerge w:val="restart"/>
            <w:shd w:val="clear" w:color="auto" w:fill="FFFFFF" w:themeFill="background1"/>
          </w:tcPr>
          <w:p w14:paraId="0B6AD5F7" w14:textId="77777777" w:rsidR="00F44462" w:rsidRPr="00853A0F" w:rsidRDefault="00F44462" w:rsidP="0089672E">
            <w:pPr>
              <w:ind w:hanging="18"/>
              <w:rPr>
                <w:b/>
                <w:szCs w:val="20"/>
              </w:rPr>
            </w:pPr>
          </w:p>
        </w:tc>
        <w:tc>
          <w:tcPr>
            <w:tcW w:w="1858" w:type="pct"/>
            <w:gridSpan w:val="5"/>
            <w:shd w:val="clear" w:color="auto" w:fill="222A35" w:themeFill="text2" w:themeFillShade="80"/>
            <w:vAlign w:val="center"/>
          </w:tcPr>
          <w:p w14:paraId="1C9F27B8" w14:textId="77777777" w:rsidR="00F44462" w:rsidRPr="00853A0F" w:rsidRDefault="00F44462" w:rsidP="0089672E">
            <w:pPr>
              <w:tabs>
                <w:tab w:val="left" w:pos="360"/>
              </w:tabs>
              <w:rPr>
                <w:szCs w:val="20"/>
              </w:rPr>
            </w:pPr>
            <w:r w:rsidRPr="00853A0F">
              <w:rPr>
                <w:b/>
                <w:szCs w:val="20"/>
              </w:rPr>
              <w:t>QUESTION 5: Based on the identified risks and risk categorization, what requirements of the SES are relevant? NOT APPLICABLE</w:t>
            </w:r>
          </w:p>
        </w:tc>
        <w:tc>
          <w:tcPr>
            <w:tcW w:w="1806" w:type="pct"/>
            <w:shd w:val="clear" w:color="auto" w:fill="222A35" w:themeFill="text2" w:themeFillShade="80"/>
            <w:vAlign w:val="center"/>
          </w:tcPr>
          <w:p w14:paraId="20C38028" w14:textId="77777777" w:rsidR="00F44462" w:rsidRPr="00853A0F" w:rsidRDefault="00F44462" w:rsidP="0089672E">
            <w:pPr>
              <w:tabs>
                <w:tab w:val="left" w:pos="360"/>
              </w:tabs>
              <w:jc w:val="center"/>
              <w:rPr>
                <w:b/>
                <w:szCs w:val="20"/>
              </w:rPr>
            </w:pPr>
          </w:p>
        </w:tc>
      </w:tr>
      <w:tr w:rsidR="00F44462" w:rsidRPr="00853A0F" w14:paraId="1057D579" w14:textId="77777777" w:rsidTr="0089672E">
        <w:trPr>
          <w:trHeight w:val="296"/>
        </w:trPr>
        <w:tc>
          <w:tcPr>
            <w:tcW w:w="1336" w:type="pct"/>
            <w:vMerge/>
            <w:shd w:val="clear" w:color="auto" w:fill="FFFFFF" w:themeFill="background1"/>
          </w:tcPr>
          <w:p w14:paraId="4A95F69C" w14:textId="77777777" w:rsidR="00F44462" w:rsidRPr="00853A0F" w:rsidRDefault="00F44462" w:rsidP="0089672E">
            <w:pPr>
              <w:rPr>
                <w:sz w:val="18"/>
                <w:szCs w:val="18"/>
                <w:u w:val="single"/>
              </w:rPr>
            </w:pPr>
          </w:p>
        </w:tc>
        <w:tc>
          <w:tcPr>
            <w:tcW w:w="1858" w:type="pct"/>
            <w:gridSpan w:val="5"/>
          </w:tcPr>
          <w:p w14:paraId="76228A59" w14:textId="77777777" w:rsidR="00F44462" w:rsidRPr="00853A0F" w:rsidRDefault="00F44462" w:rsidP="0089672E">
            <w:pPr>
              <w:tabs>
                <w:tab w:val="left" w:pos="360"/>
              </w:tabs>
              <w:jc w:val="center"/>
              <w:rPr>
                <w:rFonts w:ascii="Menlo Bold" w:hAnsi="Menlo Bold" w:cs="Menlo Bold"/>
                <w:b/>
                <w:szCs w:val="20"/>
              </w:rPr>
            </w:pPr>
            <w:r w:rsidRPr="00853A0F">
              <w:rPr>
                <w:sz w:val="18"/>
                <w:szCs w:val="18"/>
              </w:rPr>
              <w:t>Check all that apply</w:t>
            </w:r>
          </w:p>
        </w:tc>
        <w:tc>
          <w:tcPr>
            <w:tcW w:w="1806" w:type="pct"/>
          </w:tcPr>
          <w:p w14:paraId="262263B5" w14:textId="77777777" w:rsidR="00F44462" w:rsidRPr="00853A0F" w:rsidRDefault="00F44462" w:rsidP="0089672E">
            <w:pPr>
              <w:tabs>
                <w:tab w:val="left" w:pos="360"/>
              </w:tabs>
              <w:jc w:val="center"/>
              <w:rPr>
                <w:b/>
                <w:sz w:val="18"/>
                <w:szCs w:val="18"/>
              </w:rPr>
            </w:pPr>
            <w:r w:rsidRPr="00853A0F">
              <w:rPr>
                <w:b/>
                <w:sz w:val="18"/>
                <w:szCs w:val="18"/>
              </w:rPr>
              <w:t>Comments</w:t>
            </w:r>
          </w:p>
        </w:tc>
      </w:tr>
      <w:tr w:rsidR="00F44462" w:rsidRPr="00853A0F" w14:paraId="522AB597" w14:textId="77777777" w:rsidTr="0089672E">
        <w:tc>
          <w:tcPr>
            <w:tcW w:w="1336" w:type="pct"/>
            <w:vMerge/>
            <w:shd w:val="clear" w:color="auto" w:fill="FFFFFF" w:themeFill="background1"/>
          </w:tcPr>
          <w:p w14:paraId="14A537B6" w14:textId="77777777" w:rsidR="00F44462" w:rsidRPr="00853A0F" w:rsidRDefault="00F44462" w:rsidP="0089672E">
            <w:pPr>
              <w:tabs>
                <w:tab w:val="left" w:pos="270"/>
              </w:tabs>
              <w:ind w:left="270" w:hanging="270"/>
              <w:rPr>
                <w:sz w:val="18"/>
                <w:szCs w:val="18"/>
              </w:rPr>
            </w:pPr>
          </w:p>
        </w:tc>
        <w:tc>
          <w:tcPr>
            <w:tcW w:w="1653" w:type="pct"/>
            <w:gridSpan w:val="3"/>
            <w:shd w:val="clear" w:color="auto" w:fill="auto"/>
          </w:tcPr>
          <w:p w14:paraId="2156EFCD" w14:textId="77777777" w:rsidR="00F44462" w:rsidRPr="00853A0F" w:rsidRDefault="00F44462" w:rsidP="0089672E">
            <w:pPr>
              <w:tabs>
                <w:tab w:val="left" w:pos="270"/>
              </w:tabs>
              <w:ind w:left="270" w:hanging="270"/>
              <w:rPr>
                <w:b/>
                <w:i/>
                <w:sz w:val="18"/>
                <w:szCs w:val="18"/>
              </w:rPr>
            </w:pPr>
            <w:r w:rsidRPr="00853A0F">
              <w:rPr>
                <w:b/>
                <w:i/>
                <w:sz w:val="18"/>
                <w:szCs w:val="18"/>
              </w:rPr>
              <w:t>Principle 1: Human Rights</w:t>
            </w:r>
          </w:p>
        </w:tc>
        <w:tc>
          <w:tcPr>
            <w:tcW w:w="205" w:type="pct"/>
            <w:gridSpan w:val="2"/>
            <w:vAlign w:val="center"/>
          </w:tcPr>
          <w:p w14:paraId="1F3A452B" w14:textId="77777777" w:rsidR="00F44462" w:rsidRPr="00853A0F" w:rsidRDefault="00F44462" w:rsidP="0089672E">
            <w:pPr>
              <w:tabs>
                <w:tab w:val="left" w:pos="360"/>
              </w:tabs>
              <w:rPr>
                <w:sz w:val="18"/>
                <w:szCs w:val="18"/>
              </w:rPr>
            </w:pPr>
            <w:r w:rsidRPr="00853A0F">
              <w:rPr>
                <w:rFonts w:ascii="Segoe UI Symbol" w:hAnsi="Segoe UI Symbol" w:cs="Segoe UI Symbol"/>
                <w:b/>
                <w:szCs w:val="20"/>
              </w:rPr>
              <w:t>X</w:t>
            </w:r>
          </w:p>
        </w:tc>
        <w:tc>
          <w:tcPr>
            <w:tcW w:w="1806" w:type="pct"/>
          </w:tcPr>
          <w:p w14:paraId="197C5738" w14:textId="77777777" w:rsidR="00F44462" w:rsidRPr="00853A0F" w:rsidRDefault="00F44462" w:rsidP="0089672E">
            <w:pPr>
              <w:tabs>
                <w:tab w:val="left" w:pos="360"/>
              </w:tabs>
              <w:rPr>
                <w:sz w:val="18"/>
                <w:szCs w:val="18"/>
              </w:rPr>
            </w:pPr>
          </w:p>
        </w:tc>
      </w:tr>
      <w:tr w:rsidR="00F44462" w:rsidRPr="00853A0F" w14:paraId="1DB964F6" w14:textId="77777777" w:rsidTr="0089672E">
        <w:tc>
          <w:tcPr>
            <w:tcW w:w="1336" w:type="pct"/>
            <w:vMerge/>
            <w:shd w:val="clear" w:color="auto" w:fill="FFFFFF" w:themeFill="background1"/>
          </w:tcPr>
          <w:p w14:paraId="4B854F2D" w14:textId="77777777" w:rsidR="00F44462" w:rsidRPr="00853A0F" w:rsidRDefault="00F44462" w:rsidP="0089672E">
            <w:pPr>
              <w:tabs>
                <w:tab w:val="left" w:pos="270"/>
              </w:tabs>
              <w:ind w:left="270" w:hanging="270"/>
              <w:rPr>
                <w:sz w:val="18"/>
                <w:szCs w:val="18"/>
              </w:rPr>
            </w:pPr>
          </w:p>
        </w:tc>
        <w:tc>
          <w:tcPr>
            <w:tcW w:w="1653" w:type="pct"/>
            <w:gridSpan w:val="3"/>
            <w:shd w:val="clear" w:color="auto" w:fill="auto"/>
          </w:tcPr>
          <w:p w14:paraId="543B4BB6" w14:textId="77777777" w:rsidR="00F44462" w:rsidRPr="00853A0F" w:rsidRDefault="00F44462" w:rsidP="0089672E">
            <w:pPr>
              <w:tabs>
                <w:tab w:val="left" w:pos="270"/>
              </w:tabs>
              <w:ind w:left="270" w:hanging="270"/>
              <w:rPr>
                <w:b/>
                <w:i/>
                <w:sz w:val="18"/>
                <w:szCs w:val="18"/>
              </w:rPr>
            </w:pPr>
            <w:r w:rsidRPr="00853A0F">
              <w:rPr>
                <w:b/>
                <w:i/>
                <w:sz w:val="18"/>
                <w:szCs w:val="18"/>
              </w:rPr>
              <w:t>Principle 2: Gender Equality and Women’s Empowerment</w:t>
            </w:r>
          </w:p>
        </w:tc>
        <w:tc>
          <w:tcPr>
            <w:tcW w:w="205" w:type="pct"/>
            <w:gridSpan w:val="2"/>
            <w:vAlign w:val="center"/>
          </w:tcPr>
          <w:p w14:paraId="01D46135" w14:textId="77777777" w:rsidR="00F44462" w:rsidRPr="00853A0F" w:rsidRDefault="00F44462" w:rsidP="0089672E">
            <w:pPr>
              <w:tabs>
                <w:tab w:val="left" w:pos="360"/>
              </w:tabs>
              <w:rPr>
                <w:sz w:val="18"/>
                <w:szCs w:val="18"/>
              </w:rPr>
            </w:pPr>
            <w:r w:rsidRPr="00853A0F">
              <w:rPr>
                <w:rFonts w:ascii="Segoe UI Symbol" w:hAnsi="Segoe UI Symbol" w:cs="Segoe UI Symbol"/>
                <w:b/>
                <w:szCs w:val="20"/>
              </w:rPr>
              <w:t>X</w:t>
            </w:r>
          </w:p>
        </w:tc>
        <w:tc>
          <w:tcPr>
            <w:tcW w:w="1806" w:type="pct"/>
          </w:tcPr>
          <w:p w14:paraId="4BA1EACC" w14:textId="77777777" w:rsidR="00F44462" w:rsidRPr="00853A0F" w:rsidRDefault="00F44462" w:rsidP="0089672E">
            <w:pPr>
              <w:tabs>
                <w:tab w:val="left" w:pos="360"/>
              </w:tabs>
              <w:rPr>
                <w:sz w:val="18"/>
                <w:szCs w:val="18"/>
              </w:rPr>
            </w:pPr>
          </w:p>
        </w:tc>
      </w:tr>
      <w:tr w:rsidR="00F44462" w:rsidRPr="00853A0F" w14:paraId="7FE21CA0" w14:textId="77777777" w:rsidTr="0089672E">
        <w:tc>
          <w:tcPr>
            <w:tcW w:w="1336" w:type="pct"/>
            <w:vMerge/>
            <w:shd w:val="clear" w:color="auto" w:fill="FFFFFF" w:themeFill="background1"/>
          </w:tcPr>
          <w:p w14:paraId="6C62FB78" w14:textId="77777777" w:rsidR="00F44462" w:rsidRPr="00853A0F" w:rsidRDefault="00F44462" w:rsidP="0089672E">
            <w:pPr>
              <w:tabs>
                <w:tab w:val="left" w:pos="270"/>
              </w:tabs>
              <w:ind w:left="270" w:hanging="270"/>
              <w:rPr>
                <w:sz w:val="18"/>
                <w:szCs w:val="18"/>
              </w:rPr>
            </w:pPr>
          </w:p>
        </w:tc>
        <w:tc>
          <w:tcPr>
            <w:tcW w:w="1653" w:type="pct"/>
            <w:gridSpan w:val="3"/>
            <w:shd w:val="clear" w:color="auto" w:fill="auto"/>
          </w:tcPr>
          <w:p w14:paraId="2C561D16" w14:textId="77777777" w:rsidR="00F44462" w:rsidRPr="00853A0F" w:rsidRDefault="00F44462" w:rsidP="0089672E">
            <w:pPr>
              <w:tabs>
                <w:tab w:val="left" w:pos="270"/>
              </w:tabs>
              <w:ind w:left="270" w:hanging="270"/>
              <w:rPr>
                <w:b/>
                <w:i/>
                <w:sz w:val="18"/>
                <w:szCs w:val="18"/>
              </w:rPr>
            </w:pPr>
            <w:r w:rsidRPr="00853A0F">
              <w:rPr>
                <w:b/>
                <w:i/>
                <w:sz w:val="18"/>
                <w:szCs w:val="18"/>
              </w:rPr>
              <w:t>1.</w:t>
            </w:r>
            <w:r w:rsidRPr="00853A0F">
              <w:rPr>
                <w:b/>
                <w:i/>
                <w:sz w:val="18"/>
                <w:szCs w:val="18"/>
              </w:rPr>
              <w:tab/>
              <w:t>Biodiversity Conservation and Natural Resource Management</w:t>
            </w:r>
          </w:p>
        </w:tc>
        <w:tc>
          <w:tcPr>
            <w:tcW w:w="205" w:type="pct"/>
            <w:gridSpan w:val="2"/>
            <w:vAlign w:val="center"/>
          </w:tcPr>
          <w:p w14:paraId="7EA69D72" w14:textId="77777777" w:rsidR="00F44462" w:rsidRPr="00853A0F" w:rsidRDefault="00F44462" w:rsidP="0089672E">
            <w:pPr>
              <w:tabs>
                <w:tab w:val="left" w:pos="360"/>
              </w:tabs>
              <w:rPr>
                <w:sz w:val="18"/>
                <w:szCs w:val="18"/>
              </w:rPr>
            </w:pPr>
            <w:r w:rsidRPr="00853A0F">
              <w:rPr>
                <w:rFonts w:ascii="Segoe UI Symbol" w:hAnsi="Segoe UI Symbol" w:cs="Segoe UI Symbol"/>
                <w:b/>
                <w:szCs w:val="20"/>
              </w:rPr>
              <w:t>☐</w:t>
            </w:r>
          </w:p>
        </w:tc>
        <w:tc>
          <w:tcPr>
            <w:tcW w:w="1806" w:type="pct"/>
          </w:tcPr>
          <w:p w14:paraId="58F3110E" w14:textId="77777777" w:rsidR="00F44462" w:rsidRPr="00853A0F" w:rsidRDefault="00F44462" w:rsidP="0089672E">
            <w:pPr>
              <w:tabs>
                <w:tab w:val="left" w:pos="360"/>
              </w:tabs>
              <w:rPr>
                <w:sz w:val="18"/>
                <w:szCs w:val="18"/>
              </w:rPr>
            </w:pPr>
          </w:p>
        </w:tc>
      </w:tr>
      <w:tr w:rsidR="00F44462" w:rsidRPr="00853A0F" w14:paraId="4640AFF0" w14:textId="77777777" w:rsidTr="0089672E">
        <w:tc>
          <w:tcPr>
            <w:tcW w:w="1336" w:type="pct"/>
            <w:vMerge/>
            <w:shd w:val="clear" w:color="auto" w:fill="FFFFFF" w:themeFill="background1"/>
          </w:tcPr>
          <w:p w14:paraId="20711E76" w14:textId="77777777" w:rsidR="00F44462" w:rsidRPr="00853A0F" w:rsidRDefault="00F44462" w:rsidP="0089672E">
            <w:pPr>
              <w:tabs>
                <w:tab w:val="left" w:pos="270"/>
              </w:tabs>
              <w:ind w:left="270" w:hanging="270"/>
              <w:rPr>
                <w:sz w:val="18"/>
                <w:szCs w:val="18"/>
              </w:rPr>
            </w:pPr>
          </w:p>
        </w:tc>
        <w:tc>
          <w:tcPr>
            <w:tcW w:w="1653" w:type="pct"/>
            <w:gridSpan w:val="3"/>
            <w:shd w:val="clear" w:color="auto" w:fill="auto"/>
          </w:tcPr>
          <w:p w14:paraId="2EAA63EB" w14:textId="77777777" w:rsidR="00F44462" w:rsidRPr="00853A0F" w:rsidRDefault="00F44462" w:rsidP="0089672E">
            <w:pPr>
              <w:tabs>
                <w:tab w:val="left" w:pos="270"/>
              </w:tabs>
              <w:ind w:left="270" w:hanging="270"/>
              <w:rPr>
                <w:b/>
                <w:i/>
                <w:sz w:val="18"/>
                <w:szCs w:val="18"/>
              </w:rPr>
            </w:pPr>
            <w:r w:rsidRPr="00853A0F">
              <w:rPr>
                <w:b/>
                <w:i/>
                <w:sz w:val="18"/>
                <w:szCs w:val="18"/>
              </w:rPr>
              <w:t>2.</w:t>
            </w:r>
            <w:r w:rsidRPr="00853A0F">
              <w:rPr>
                <w:b/>
                <w:i/>
                <w:sz w:val="18"/>
                <w:szCs w:val="18"/>
              </w:rPr>
              <w:tab/>
              <w:t>Climate Change Mitigation and Adaptation</w:t>
            </w:r>
          </w:p>
        </w:tc>
        <w:tc>
          <w:tcPr>
            <w:tcW w:w="205" w:type="pct"/>
            <w:gridSpan w:val="2"/>
            <w:vAlign w:val="center"/>
          </w:tcPr>
          <w:p w14:paraId="59C7FA0C" w14:textId="77777777" w:rsidR="00F44462" w:rsidRPr="00853A0F" w:rsidRDefault="00F44462" w:rsidP="0089672E">
            <w:pPr>
              <w:tabs>
                <w:tab w:val="left" w:pos="360"/>
              </w:tabs>
              <w:rPr>
                <w:sz w:val="18"/>
                <w:szCs w:val="18"/>
              </w:rPr>
            </w:pPr>
            <w:r w:rsidRPr="00853A0F">
              <w:rPr>
                <w:rFonts w:ascii="Segoe UI Symbol" w:hAnsi="Segoe UI Symbol" w:cs="Segoe UI Symbol"/>
                <w:b/>
                <w:szCs w:val="20"/>
              </w:rPr>
              <w:t>☐</w:t>
            </w:r>
          </w:p>
        </w:tc>
        <w:tc>
          <w:tcPr>
            <w:tcW w:w="1806" w:type="pct"/>
          </w:tcPr>
          <w:p w14:paraId="67D089BB" w14:textId="77777777" w:rsidR="00F44462" w:rsidRPr="00853A0F" w:rsidRDefault="00F44462" w:rsidP="0089672E">
            <w:pPr>
              <w:tabs>
                <w:tab w:val="left" w:pos="360"/>
              </w:tabs>
              <w:rPr>
                <w:sz w:val="18"/>
                <w:szCs w:val="18"/>
              </w:rPr>
            </w:pPr>
          </w:p>
        </w:tc>
      </w:tr>
      <w:tr w:rsidR="00F44462" w:rsidRPr="00853A0F" w14:paraId="484ED95E" w14:textId="77777777" w:rsidTr="0089672E">
        <w:tc>
          <w:tcPr>
            <w:tcW w:w="1336" w:type="pct"/>
            <w:vMerge/>
            <w:shd w:val="clear" w:color="auto" w:fill="FFFFFF" w:themeFill="background1"/>
          </w:tcPr>
          <w:p w14:paraId="3AAA5E55" w14:textId="77777777" w:rsidR="00F44462" w:rsidRPr="00853A0F" w:rsidRDefault="00F44462" w:rsidP="0089672E">
            <w:pPr>
              <w:tabs>
                <w:tab w:val="left" w:pos="270"/>
              </w:tabs>
              <w:ind w:left="270" w:hanging="270"/>
              <w:rPr>
                <w:sz w:val="18"/>
                <w:szCs w:val="18"/>
              </w:rPr>
            </w:pPr>
          </w:p>
        </w:tc>
        <w:tc>
          <w:tcPr>
            <w:tcW w:w="1653" w:type="pct"/>
            <w:gridSpan w:val="3"/>
            <w:shd w:val="clear" w:color="auto" w:fill="auto"/>
          </w:tcPr>
          <w:p w14:paraId="34F1BC0B" w14:textId="77777777" w:rsidR="00F44462" w:rsidRPr="00853A0F" w:rsidRDefault="00F44462" w:rsidP="0089672E">
            <w:pPr>
              <w:tabs>
                <w:tab w:val="left" w:pos="270"/>
              </w:tabs>
              <w:ind w:left="270" w:hanging="270"/>
              <w:rPr>
                <w:b/>
                <w:i/>
                <w:sz w:val="18"/>
                <w:szCs w:val="18"/>
              </w:rPr>
            </w:pPr>
            <w:r w:rsidRPr="00853A0F">
              <w:rPr>
                <w:b/>
                <w:i/>
                <w:sz w:val="18"/>
                <w:szCs w:val="18"/>
              </w:rPr>
              <w:t>3.</w:t>
            </w:r>
            <w:r w:rsidRPr="00853A0F">
              <w:rPr>
                <w:b/>
                <w:i/>
                <w:sz w:val="18"/>
                <w:szCs w:val="18"/>
              </w:rPr>
              <w:tab/>
              <w:t>Community Health, Safety and Working Conditions</w:t>
            </w:r>
          </w:p>
        </w:tc>
        <w:tc>
          <w:tcPr>
            <w:tcW w:w="205" w:type="pct"/>
            <w:gridSpan w:val="2"/>
            <w:vAlign w:val="center"/>
          </w:tcPr>
          <w:p w14:paraId="38C7D1AE" w14:textId="77777777" w:rsidR="00F44462" w:rsidRPr="00853A0F" w:rsidRDefault="00F44462" w:rsidP="0089672E">
            <w:pPr>
              <w:tabs>
                <w:tab w:val="left" w:pos="360"/>
              </w:tabs>
              <w:rPr>
                <w:sz w:val="18"/>
                <w:szCs w:val="18"/>
              </w:rPr>
            </w:pPr>
            <w:r w:rsidRPr="00853A0F">
              <w:rPr>
                <w:rFonts w:ascii="Segoe UI Symbol" w:hAnsi="Segoe UI Symbol" w:cs="Segoe UI Symbol"/>
                <w:b/>
                <w:szCs w:val="20"/>
              </w:rPr>
              <w:t>☐</w:t>
            </w:r>
          </w:p>
        </w:tc>
        <w:tc>
          <w:tcPr>
            <w:tcW w:w="1806" w:type="pct"/>
          </w:tcPr>
          <w:p w14:paraId="64C3D853" w14:textId="77777777" w:rsidR="00F44462" w:rsidRPr="00853A0F" w:rsidRDefault="00F44462" w:rsidP="0089672E">
            <w:pPr>
              <w:tabs>
                <w:tab w:val="left" w:pos="360"/>
              </w:tabs>
              <w:rPr>
                <w:sz w:val="18"/>
                <w:szCs w:val="18"/>
              </w:rPr>
            </w:pPr>
          </w:p>
        </w:tc>
      </w:tr>
      <w:tr w:rsidR="00F44462" w:rsidRPr="00853A0F" w14:paraId="3A019FF7" w14:textId="77777777" w:rsidTr="0089672E">
        <w:tc>
          <w:tcPr>
            <w:tcW w:w="1336" w:type="pct"/>
            <w:vMerge/>
            <w:shd w:val="clear" w:color="auto" w:fill="FFFFFF" w:themeFill="background1"/>
          </w:tcPr>
          <w:p w14:paraId="13F5D699" w14:textId="77777777" w:rsidR="00F44462" w:rsidRPr="00853A0F" w:rsidRDefault="00F44462" w:rsidP="0089672E">
            <w:pPr>
              <w:tabs>
                <w:tab w:val="left" w:pos="270"/>
              </w:tabs>
              <w:ind w:left="270" w:hanging="270"/>
              <w:rPr>
                <w:sz w:val="18"/>
                <w:szCs w:val="18"/>
              </w:rPr>
            </w:pPr>
          </w:p>
        </w:tc>
        <w:tc>
          <w:tcPr>
            <w:tcW w:w="1653" w:type="pct"/>
            <w:gridSpan w:val="3"/>
            <w:shd w:val="clear" w:color="auto" w:fill="auto"/>
          </w:tcPr>
          <w:p w14:paraId="59367130" w14:textId="77777777" w:rsidR="00F44462" w:rsidRPr="00853A0F" w:rsidRDefault="00F44462" w:rsidP="0089672E">
            <w:pPr>
              <w:tabs>
                <w:tab w:val="left" w:pos="270"/>
              </w:tabs>
              <w:ind w:left="270" w:hanging="270"/>
              <w:rPr>
                <w:b/>
                <w:i/>
                <w:sz w:val="18"/>
                <w:szCs w:val="18"/>
              </w:rPr>
            </w:pPr>
            <w:r w:rsidRPr="00853A0F">
              <w:rPr>
                <w:b/>
                <w:i/>
                <w:sz w:val="18"/>
                <w:szCs w:val="18"/>
              </w:rPr>
              <w:t>4.</w:t>
            </w:r>
            <w:r w:rsidRPr="00853A0F">
              <w:rPr>
                <w:b/>
                <w:i/>
                <w:sz w:val="18"/>
                <w:szCs w:val="18"/>
              </w:rPr>
              <w:tab/>
              <w:t>Cultural Heritage</w:t>
            </w:r>
          </w:p>
        </w:tc>
        <w:tc>
          <w:tcPr>
            <w:tcW w:w="205" w:type="pct"/>
            <w:gridSpan w:val="2"/>
            <w:vAlign w:val="center"/>
          </w:tcPr>
          <w:p w14:paraId="18A134D4" w14:textId="77777777" w:rsidR="00F44462" w:rsidRPr="00853A0F" w:rsidRDefault="00F44462" w:rsidP="0089672E">
            <w:pPr>
              <w:tabs>
                <w:tab w:val="left" w:pos="360"/>
              </w:tabs>
              <w:rPr>
                <w:sz w:val="18"/>
                <w:szCs w:val="18"/>
              </w:rPr>
            </w:pPr>
            <w:r w:rsidRPr="00853A0F">
              <w:rPr>
                <w:rFonts w:ascii="Segoe UI Symbol" w:hAnsi="Segoe UI Symbol" w:cs="Segoe UI Symbol"/>
                <w:b/>
                <w:szCs w:val="20"/>
              </w:rPr>
              <w:t>☐</w:t>
            </w:r>
          </w:p>
        </w:tc>
        <w:tc>
          <w:tcPr>
            <w:tcW w:w="1806" w:type="pct"/>
          </w:tcPr>
          <w:p w14:paraId="7B745C30" w14:textId="77777777" w:rsidR="00F44462" w:rsidRPr="00853A0F" w:rsidRDefault="00F44462" w:rsidP="0089672E">
            <w:pPr>
              <w:tabs>
                <w:tab w:val="left" w:pos="360"/>
              </w:tabs>
              <w:rPr>
                <w:sz w:val="18"/>
                <w:szCs w:val="18"/>
              </w:rPr>
            </w:pPr>
          </w:p>
        </w:tc>
      </w:tr>
      <w:tr w:rsidR="00F44462" w:rsidRPr="00853A0F" w14:paraId="3847F274" w14:textId="77777777" w:rsidTr="0089672E">
        <w:tc>
          <w:tcPr>
            <w:tcW w:w="1336" w:type="pct"/>
            <w:vMerge/>
            <w:shd w:val="clear" w:color="auto" w:fill="FFFFFF" w:themeFill="background1"/>
          </w:tcPr>
          <w:p w14:paraId="6B628A63" w14:textId="77777777" w:rsidR="00F44462" w:rsidRPr="00853A0F" w:rsidRDefault="00F44462" w:rsidP="0089672E">
            <w:pPr>
              <w:tabs>
                <w:tab w:val="left" w:pos="270"/>
              </w:tabs>
              <w:ind w:left="270" w:hanging="270"/>
              <w:rPr>
                <w:sz w:val="18"/>
                <w:szCs w:val="18"/>
              </w:rPr>
            </w:pPr>
          </w:p>
        </w:tc>
        <w:tc>
          <w:tcPr>
            <w:tcW w:w="1653" w:type="pct"/>
            <w:gridSpan w:val="3"/>
            <w:shd w:val="clear" w:color="auto" w:fill="auto"/>
          </w:tcPr>
          <w:p w14:paraId="3E63F8FE" w14:textId="77777777" w:rsidR="00F44462" w:rsidRPr="00853A0F" w:rsidRDefault="00F44462" w:rsidP="0089672E">
            <w:pPr>
              <w:tabs>
                <w:tab w:val="left" w:pos="270"/>
              </w:tabs>
              <w:ind w:left="270" w:hanging="270"/>
              <w:rPr>
                <w:b/>
                <w:i/>
                <w:sz w:val="18"/>
                <w:szCs w:val="18"/>
              </w:rPr>
            </w:pPr>
            <w:r w:rsidRPr="00853A0F">
              <w:rPr>
                <w:b/>
                <w:i/>
                <w:sz w:val="18"/>
                <w:szCs w:val="18"/>
              </w:rPr>
              <w:t>5.</w:t>
            </w:r>
            <w:r w:rsidRPr="00853A0F">
              <w:rPr>
                <w:b/>
                <w:i/>
                <w:sz w:val="18"/>
                <w:szCs w:val="18"/>
              </w:rPr>
              <w:tab/>
              <w:t>Displacement and Resettlement</w:t>
            </w:r>
          </w:p>
        </w:tc>
        <w:tc>
          <w:tcPr>
            <w:tcW w:w="205" w:type="pct"/>
            <w:gridSpan w:val="2"/>
            <w:vAlign w:val="center"/>
          </w:tcPr>
          <w:p w14:paraId="1C53FA06" w14:textId="77777777" w:rsidR="00F44462" w:rsidRPr="00853A0F" w:rsidRDefault="00F44462" w:rsidP="0089672E">
            <w:pPr>
              <w:tabs>
                <w:tab w:val="left" w:pos="360"/>
              </w:tabs>
              <w:rPr>
                <w:sz w:val="18"/>
                <w:szCs w:val="18"/>
              </w:rPr>
            </w:pPr>
            <w:r w:rsidRPr="00853A0F">
              <w:rPr>
                <w:rFonts w:ascii="Segoe UI Symbol" w:hAnsi="Segoe UI Symbol" w:cs="Segoe UI Symbol"/>
                <w:b/>
                <w:szCs w:val="20"/>
              </w:rPr>
              <w:t>☐</w:t>
            </w:r>
          </w:p>
        </w:tc>
        <w:tc>
          <w:tcPr>
            <w:tcW w:w="1806" w:type="pct"/>
          </w:tcPr>
          <w:p w14:paraId="5CAB722C" w14:textId="77777777" w:rsidR="00F44462" w:rsidRPr="00853A0F" w:rsidRDefault="00F44462" w:rsidP="0089672E">
            <w:pPr>
              <w:tabs>
                <w:tab w:val="left" w:pos="360"/>
              </w:tabs>
              <w:rPr>
                <w:sz w:val="18"/>
                <w:szCs w:val="18"/>
              </w:rPr>
            </w:pPr>
          </w:p>
        </w:tc>
      </w:tr>
      <w:tr w:rsidR="00F44462" w:rsidRPr="00853A0F" w14:paraId="225E5917" w14:textId="77777777" w:rsidTr="0089672E">
        <w:tc>
          <w:tcPr>
            <w:tcW w:w="1336" w:type="pct"/>
            <w:vMerge/>
            <w:shd w:val="clear" w:color="auto" w:fill="FFFFFF" w:themeFill="background1"/>
          </w:tcPr>
          <w:p w14:paraId="3B2D1845" w14:textId="77777777" w:rsidR="00F44462" w:rsidRPr="00853A0F" w:rsidRDefault="00F44462" w:rsidP="0089672E">
            <w:pPr>
              <w:tabs>
                <w:tab w:val="left" w:pos="270"/>
              </w:tabs>
              <w:ind w:left="270" w:hanging="270"/>
              <w:rPr>
                <w:sz w:val="18"/>
                <w:szCs w:val="18"/>
              </w:rPr>
            </w:pPr>
          </w:p>
        </w:tc>
        <w:tc>
          <w:tcPr>
            <w:tcW w:w="1653" w:type="pct"/>
            <w:gridSpan w:val="3"/>
            <w:shd w:val="clear" w:color="auto" w:fill="auto"/>
          </w:tcPr>
          <w:p w14:paraId="4C08D786" w14:textId="77777777" w:rsidR="00F44462" w:rsidRPr="00853A0F" w:rsidRDefault="00F44462" w:rsidP="0089672E">
            <w:pPr>
              <w:tabs>
                <w:tab w:val="left" w:pos="270"/>
              </w:tabs>
              <w:ind w:left="270" w:hanging="270"/>
              <w:rPr>
                <w:b/>
                <w:i/>
                <w:sz w:val="18"/>
                <w:szCs w:val="18"/>
              </w:rPr>
            </w:pPr>
            <w:r w:rsidRPr="00853A0F">
              <w:rPr>
                <w:b/>
                <w:i/>
                <w:sz w:val="18"/>
                <w:szCs w:val="18"/>
              </w:rPr>
              <w:t>6.</w:t>
            </w:r>
            <w:r w:rsidRPr="00853A0F">
              <w:rPr>
                <w:b/>
                <w:i/>
                <w:sz w:val="18"/>
                <w:szCs w:val="18"/>
              </w:rPr>
              <w:tab/>
              <w:t>Indigenous Peoples</w:t>
            </w:r>
          </w:p>
        </w:tc>
        <w:tc>
          <w:tcPr>
            <w:tcW w:w="205" w:type="pct"/>
            <w:gridSpan w:val="2"/>
            <w:vAlign w:val="center"/>
          </w:tcPr>
          <w:p w14:paraId="0A40FBF6" w14:textId="77777777" w:rsidR="00F44462" w:rsidRPr="00853A0F" w:rsidRDefault="00F44462" w:rsidP="0089672E">
            <w:pPr>
              <w:tabs>
                <w:tab w:val="left" w:pos="360"/>
              </w:tabs>
              <w:rPr>
                <w:sz w:val="18"/>
                <w:szCs w:val="18"/>
              </w:rPr>
            </w:pPr>
            <w:r w:rsidRPr="00853A0F">
              <w:rPr>
                <w:rFonts w:ascii="Segoe UI Symbol" w:hAnsi="Segoe UI Symbol" w:cs="Segoe UI Symbol"/>
                <w:b/>
                <w:szCs w:val="20"/>
              </w:rPr>
              <w:t>☐</w:t>
            </w:r>
          </w:p>
        </w:tc>
        <w:tc>
          <w:tcPr>
            <w:tcW w:w="1806" w:type="pct"/>
          </w:tcPr>
          <w:p w14:paraId="7A0EBC65" w14:textId="77777777" w:rsidR="00F44462" w:rsidRPr="00853A0F" w:rsidRDefault="00F44462" w:rsidP="0089672E">
            <w:pPr>
              <w:tabs>
                <w:tab w:val="left" w:pos="360"/>
              </w:tabs>
              <w:rPr>
                <w:sz w:val="18"/>
                <w:szCs w:val="18"/>
              </w:rPr>
            </w:pPr>
          </w:p>
        </w:tc>
      </w:tr>
      <w:tr w:rsidR="00F44462" w:rsidRPr="00853A0F" w14:paraId="40A0BD3C" w14:textId="77777777" w:rsidTr="0089672E">
        <w:tc>
          <w:tcPr>
            <w:tcW w:w="1336" w:type="pct"/>
            <w:vMerge/>
            <w:shd w:val="clear" w:color="auto" w:fill="FFFFFF" w:themeFill="background1"/>
          </w:tcPr>
          <w:p w14:paraId="188C9E80" w14:textId="77777777" w:rsidR="00F44462" w:rsidRPr="00853A0F" w:rsidRDefault="00F44462" w:rsidP="0089672E">
            <w:pPr>
              <w:tabs>
                <w:tab w:val="left" w:pos="270"/>
              </w:tabs>
              <w:ind w:left="270" w:hanging="270"/>
              <w:rPr>
                <w:sz w:val="18"/>
                <w:szCs w:val="18"/>
              </w:rPr>
            </w:pPr>
          </w:p>
        </w:tc>
        <w:tc>
          <w:tcPr>
            <w:tcW w:w="1653" w:type="pct"/>
            <w:gridSpan w:val="3"/>
            <w:shd w:val="clear" w:color="auto" w:fill="auto"/>
          </w:tcPr>
          <w:p w14:paraId="65A9517D" w14:textId="77777777" w:rsidR="00F44462" w:rsidRPr="00853A0F" w:rsidRDefault="00F44462" w:rsidP="0089672E">
            <w:pPr>
              <w:tabs>
                <w:tab w:val="left" w:pos="270"/>
              </w:tabs>
              <w:ind w:left="270" w:hanging="270"/>
              <w:rPr>
                <w:b/>
                <w:i/>
                <w:sz w:val="18"/>
                <w:szCs w:val="18"/>
              </w:rPr>
            </w:pPr>
            <w:r w:rsidRPr="00853A0F">
              <w:rPr>
                <w:b/>
                <w:i/>
                <w:sz w:val="18"/>
                <w:szCs w:val="18"/>
              </w:rPr>
              <w:t>7.</w:t>
            </w:r>
            <w:r w:rsidRPr="00853A0F">
              <w:rPr>
                <w:b/>
                <w:i/>
                <w:sz w:val="18"/>
                <w:szCs w:val="18"/>
              </w:rPr>
              <w:tab/>
              <w:t>Pollution Prevention and Resource Efficiency</w:t>
            </w:r>
          </w:p>
        </w:tc>
        <w:tc>
          <w:tcPr>
            <w:tcW w:w="205" w:type="pct"/>
            <w:gridSpan w:val="2"/>
            <w:vAlign w:val="center"/>
          </w:tcPr>
          <w:p w14:paraId="2BA82312" w14:textId="77777777" w:rsidR="00F44462" w:rsidRPr="00853A0F" w:rsidRDefault="00F44462" w:rsidP="0089672E">
            <w:pPr>
              <w:tabs>
                <w:tab w:val="left" w:pos="360"/>
              </w:tabs>
              <w:rPr>
                <w:sz w:val="18"/>
                <w:szCs w:val="18"/>
              </w:rPr>
            </w:pPr>
            <w:r w:rsidRPr="00853A0F">
              <w:rPr>
                <w:rFonts w:ascii="Segoe UI Symbol" w:hAnsi="Segoe UI Symbol" w:cs="Segoe UI Symbol"/>
                <w:b/>
                <w:szCs w:val="20"/>
              </w:rPr>
              <w:t>☐</w:t>
            </w:r>
          </w:p>
        </w:tc>
        <w:tc>
          <w:tcPr>
            <w:tcW w:w="1806" w:type="pct"/>
          </w:tcPr>
          <w:p w14:paraId="6C562A46" w14:textId="77777777" w:rsidR="00F44462" w:rsidRPr="00853A0F" w:rsidRDefault="00F44462" w:rsidP="0089672E">
            <w:pPr>
              <w:tabs>
                <w:tab w:val="left" w:pos="360"/>
              </w:tabs>
              <w:rPr>
                <w:sz w:val="18"/>
                <w:szCs w:val="18"/>
              </w:rPr>
            </w:pPr>
            <w:r w:rsidRPr="00853A0F">
              <w:rPr>
                <w:sz w:val="18"/>
                <w:szCs w:val="18"/>
              </w:rPr>
              <w:t>N/A</w:t>
            </w:r>
          </w:p>
        </w:tc>
      </w:tr>
    </w:tbl>
    <w:p w14:paraId="71887FBC" w14:textId="77777777" w:rsidR="000A2626" w:rsidRDefault="000A2626">
      <w:bookmarkStart w:id="0" w:name="_GoBack"/>
      <w:bookmarkEnd w:id="0"/>
    </w:p>
    <w:sectPr w:rsidR="000A2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variable"/>
    <w:sig w:usb0="E60022FF" w:usb1="D000F1FB" w:usb2="00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62"/>
    <w:rsid w:val="000A2626"/>
    <w:rsid w:val="00AF54D1"/>
    <w:rsid w:val="00F4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1238"/>
  <w15:chartTrackingRefBased/>
  <w15:docId w15:val="{6B65BC34-07E5-4AE6-B79F-E8B269B6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462"/>
    <w:pPr>
      <w:spacing w:after="60" w:line="240" w:lineRule="auto"/>
      <w:jc w:val="both"/>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44462"/>
    <w:rPr>
      <w:color w:val="0000FF"/>
      <w:u w:val="single"/>
    </w:rPr>
  </w:style>
  <w:style w:type="paragraph" w:styleId="ListParagraph">
    <w:name w:val="List Paragraph"/>
    <w:aliases w:val="List Paragraph (numbered (a)),List Paragraph Char Char Char,Use Case List Paragraph,List Paragraph2,Colorful List - Accent 11,Dot pt,F5 List Paragraph,List Paragraph1,Indicator Text,Numbered Para 1,Bullet 1,List Paragraph12,Bullet Points"/>
    <w:basedOn w:val="Normal"/>
    <w:link w:val="ListParagraphChar"/>
    <w:uiPriority w:val="34"/>
    <w:qFormat/>
    <w:rsid w:val="00F44462"/>
    <w:pPr>
      <w:ind w:left="720"/>
    </w:pPr>
  </w:style>
  <w:style w:type="character" w:customStyle="1" w:styleId="ListParagraphChar">
    <w:name w:val="List Paragraph Char"/>
    <w:aliases w:val="List Paragraph (numbered (a)) Char,List Paragraph Char Char Char Char,Use Case List Paragraph Char,List Paragraph2 Char,Colorful List - Accent 11 Char,Dot pt Char,F5 List Paragraph Char,List Paragraph1 Char,Indicator Text Char"/>
    <w:link w:val="ListParagraph"/>
    <w:uiPriority w:val="34"/>
    <w:locked/>
    <w:rsid w:val="00F44462"/>
    <w:rPr>
      <w:rFonts w:ascii="Arial" w:eastAsia="Times New Roman" w:hAnsi="Arial" w:cs="Times New Roman"/>
      <w:szCs w:val="24"/>
      <w:lang w:val="en-GB"/>
    </w:rPr>
  </w:style>
  <w:style w:type="table" w:styleId="TableGrid">
    <w:name w:val="Table Grid"/>
    <w:basedOn w:val="TableNormal"/>
    <w:uiPriority w:val="59"/>
    <w:rsid w:val="00F4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content/undp/en/home/librarypage/operations1/undp-social-and-environmental-screening-procedure.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ATLASPDC-4-155880</_dlc_DocId>
    <_dlc_DocIdUrl xmlns="f1161f5b-24a3-4c2d-bc81-44cb9325e8ee">
      <Url>https://info.undp.org/docs/pdc/_layouts/DocIdRedir.aspx?ID=ATLASPDC-4-155880</Url>
      <Description>ATLASPDC-4-155880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4383FBB-941B-4B9D-A3B2-574040AA55BB}"/>
</file>

<file path=customXml/itemProps2.xml><?xml version="1.0" encoding="utf-8"?>
<ds:datastoreItem xmlns:ds="http://schemas.openxmlformats.org/officeDocument/2006/customXml" ds:itemID="{DD742C1F-2E9D-4590-A2CF-9620077BA3C9}">
  <ds:schemaRefs>
    <ds:schemaRef ds:uri="http://schemas.microsoft.com/sharepoint/v3/contenttype/forms"/>
  </ds:schemaRefs>
</ds:datastoreItem>
</file>

<file path=customXml/itemProps3.xml><?xml version="1.0" encoding="utf-8"?>
<ds:datastoreItem xmlns:ds="http://schemas.openxmlformats.org/officeDocument/2006/customXml" ds:itemID="{ECC56440-BCB1-40FB-8269-0A863FAA59DD}">
  <ds:schemaRefs>
    <ds:schemaRef ds:uri="http://purl.org/dc/terms/"/>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documentManagement/types"/>
    <ds:schemaRef ds:uri="707e33b5-3a04-491e-8359-e58882aa79eb"/>
    <ds:schemaRef ds:uri="http://schemas.microsoft.com/office/2006/metadata/properties"/>
    <ds:schemaRef ds:uri="de777af5-75c5-4059-8842-b3ca2d118c77"/>
    <ds:schemaRef ds:uri="http://www.w3.org/XML/1998/namespace"/>
  </ds:schemaRefs>
</ds:datastoreItem>
</file>

<file path=customXml/itemProps4.xml><?xml version="1.0" encoding="utf-8"?>
<ds:datastoreItem xmlns:ds="http://schemas.openxmlformats.org/officeDocument/2006/customXml" ds:itemID="{7B78A725-107B-452E-A765-58634ACA4482}"/>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Edin Telalagic</dc:creator>
  <cp:keywords/>
  <dc:description/>
  <cp:lastModifiedBy>Edin Telalagic</cp:lastModifiedBy>
  <cp:revision>1</cp:revision>
  <dcterms:created xsi:type="dcterms:W3CDTF">2020-03-03T12:05:00Z</dcterms:created>
  <dcterms:modified xsi:type="dcterms:W3CDTF">2020-03-03T12:06:00Z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(SES)|7a9dffd9-0b1f-4966-9938-9886c04c9893;#1224;#BIH|d5746c13-d793-48c3-975d-cb1e743c116c;#1;#English|7f98b732-4b5b-4b70-ba90-a0eff09b5d2d;#763;#Draft|121d40a5-e62e-4d42-82e4-d6d12003de0a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BIH|d5746c13-d793-48c3-975d-cb1e743c116c</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1224;#BIH|d5746c13-d793-48c3-975d-cb1e743c116c</vt:lpwstr>
  </property>
  <property fmtid="{D5CDD505-2E9C-101B-9397-08002B2CF9AE}" pid="14" name="_dlc_DocIdItemGuid">
    <vt:lpwstr>43ad5078-09f8-4a64-93dc-f092485a2599</vt:lpwstr>
  </property>
  <property fmtid="{D5CDD505-2E9C-101B-9397-08002B2CF9AE}" pid="15" name="Atlas Document Type">
    <vt:lpwstr>1189;#Social and Environmental Standards (SES)|7a9dffd9-0b1f-4966-9938-9886c04c9893</vt:lpwstr>
  </property>
  <property fmtid="{D5CDD505-2E9C-101B-9397-08002B2CF9AE}" pid="16" name="UndpProjectNo">
    <vt:lpwstr>125028</vt:lpwstr>
  </property>
  <property fmtid="{D5CDD505-2E9C-101B-9397-08002B2CF9AE}" pid="17" name="Document Coverage Period End Date">
    <vt:filetime>2023-02-28T06:00:00Z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