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126F00BB" w:rsidR="007A7720" w:rsidRDefault="007A7720" w:rsidP="007A7720">
      <w:pPr>
        <w:pStyle w:val="Heading1"/>
        <w:numPr>
          <w:ilvl w:val="0"/>
          <w:numId w:val="0"/>
        </w:numPr>
      </w:pPr>
      <w:bookmarkStart w:id="0" w:name="_Toc404528201"/>
      <w:r>
        <w:t xml:space="preserve">Annex </w:t>
      </w:r>
      <w:r w:rsidR="0038247E">
        <w:t>2</w:t>
      </w:r>
      <w:r>
        <w:t xml:space="preserve">.  Social and Environmental Screening </w:t>
      </w:r>
      <w:bookmarkEnd w:id="0"/>
      <w:r w:rsidR="0038247E">
        <w:t>Report</w:t>
      </w:r>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194771F9" w:rsidR="00DD330A" w:rsidRPr="00450804" w:rsidRDefault="00AC2458" w:rsidP="0084274F">
            <w:pPr>
              <w:rPr>
                <w:sz w:val="18"/>
                <w:szCs w:val="18"/>
              </w:rPr>
            </w:pPr>
            <w:r w:rsidRPr="00434127">
              <w:rPr>
                <w:rFonts w:ascii="Times New Roman" w:hAnsi="Times New Roman"/>
                <w:sz w:val="24"/>
                <w:lang w:val="en-ZA"/>
              </w:rPr>
              <w:t>E</w:t>
            </w:r>
            <w:r>
              <w:rPr>
                <w:rFonts w:ascii="Times New Roman" w:hAnsi="Times New Roman"/>
                <w:sz w:val="24"/>
                <w:lang w:val="en-ZA"/>
              </w:rPr>
              <w:t xml:space="preserve">conomic and </w:t>
            </w:r>
            <w:r w:rsidRPr="00434127">
              <w:rPr>
                <w:rFonts w:ascii="Times New Roman" w:hAnsi="Times New Roman"/>
                <w:sz w:val="24"/>
                <w:lang w:val="en-ZA"/>
              </w:rPr>
              <w:t>S</w:t>
            </w:r>
            <w:r>
              <w:rPr>
                <w:rFonts w:ascii="Times New Roman" w:hAnsi="Times New Roman"/>
                <w:sz w:val="24"/>
                <w:lang w:val="en-ZA"/>
              </w:rPr>
              <w:t xml:space="preserve">ocial Data </w:t>
            </w:r>
            <w:r w:rsidRPr="00434127">
              <w:rPr>
                <w:rFonts w:ascii="Times New Roman" w:hAnsi="Times New Roman"/>
                <w:bCs/>
                <w:sz w:val="24"/>
              </w:rPr>
              <w:t>D</w:t>
            </w:r>
            <w:r>
              <w:rPr>
                <w:rFonts w:ascii="Times New Roman" w:hAnsi="Times New Roman"/>
                <w:bCs/>
                <w:sz w:val="24"/>
              </w:rPr>
              <w:t>evelopment</w:t>
            </w:r>
            <w:r w:rsidRPr="00434127">
              <w:rPr>
                <w:rFonts w:ascii="Times New Roman" w:hAnsi="Times New Roman"/>
                <w:bCs/>
                <w:sz w:val="24"/>
              </w:rPr>
              <w:t xml:space="preserve"> </w:t>
            </w:r>
            <w:proofErr w:type="spellStart"/>
            <w:r w:rsidRPr="00434127">
              <w:rPr>
                <w:rFonts w:ascii="Times New Roman" w:hAnsi="Times New Roman"/>
                <w:bCs/>
                <w:sz w:val="24"/>
              </w:rPr>
              <w:t>P</w:t>
            </w:r>
            <w:r>
              <w:rPr>
                <w:rFonts w:ascii="Times New Roman" w:hAnsi="Times New Roman"/>
                <w:bCs/>
                <w:sz w:val="24"/>
              </w:rPr>
              <w:t>rogramme</w:t>
            </w:r>
            <w:proofErr w:type="spellEnd"/>
            <w:r w:rsidR="00DF1CB0">
              <w:rPr>
                <w:rFonts w:ascii="Times New Roman" w:hAnsi="Times New Roman"/>
                <w:bCs/>
                <w:sz w:val="24"/>
              </w:rPr>
              <w:t>/D4D</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624FC6F3" w:rsidR="00DD330A" w:rsidRPr="00450804" w:rsidRDefault="002D6CCE" w:rsidP="0084274F">
            <w:pPr>
              <w:rPr>
                <w:sz w:val="18"/>
                <w:szCs w:val="18"/>
              </w:rPr>
            </w:pPr>
            <w:r>
              <w:rPr>
                <w:sz w:val="18"/>
                <w:szCs w:val="18"/>
              </w:rPr>
              <w:t>0009554</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6B2161C8" w:rsidR="00DD330A" w:rsidRPr="00450804" w:rsidRDefault="00FD527C" w:rsidP="0084274F">
            <w:pPr>
              <w:rPr>
                <w:sz w:val="18"/>
                <w:szCs w:val="18"/>
              </w:rPr>
            </w:pPr>
            <w:r>
              <w:rPr>
                <w:sz w:val="18"/>
                <w:szCs w:val="18"/>
              </w:rPr>
              <w:t>Eritrea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28E5770E" w:rsidR="00414FBA" w:rsidRPr="008C711F" w:rsidRDefault="00791EEA" w:rsidP="00F05766">
            <w:pPr>
              <w:widowControl w:val="0"/>
              <w:shd w:val="clear" w:color="auto" w:fill="FFFFFF"/>
              <w:tabs>
                <w:tab w:val="left" w:pos="1170"/>
              </w:tabs>
              <w:adjustRightInd w:val="0"/>
              <w:spacing w:after="120"/>
              <w:ind w:right="720"/>
              <w:jc w:val="both"/>
              <w:textAlignment w:val="baseline"/>
              <w:rPr>
                <w:sz w:val="18"/>
                <w:szCs w:val="18"/>
              </w:rPr>
            </w:pPr>
            <w:r w:rsidRPr="00D1605A">
              <w:t xml:space="preserve">The intended outcome of the </w:t>
            </w:r>
            <w:proofErr w:type="spellStart"/>
            <w:r w:rsidRPr="00D1605A">
              <w:t>programme</w:t>
            </w:r>
            <w:proofErr w:type="spellEnd"/>
            <w:r w:rsidRPr="00D1605A">
              <w:t xml:space="preserve"> is </w:t>
            </w:r>
            <w:r w:rsidR="00CD5119" w:rsidRPr="00D1605A">
              <w:t xml:space="preserve">to </w:t>
            </w:r>
            <w:r w:rsidRPr="00D1605A">
              <w:t xml:space="preserve">support the population, including vulnerable groups, benefit from </w:t>
            </w:r>
            <w:proofErr w:type="gramStart"/>
            <w:r w:rsidRPr="00D1605A">
              <w:t>evidence based</w:t>
            </w:r>
            <w:proofErr w:type="gramEnd"/>
            <w:r w:rsidRPr="00D1605A">
              <w:t xml:space="preserve"> planning and policy; accountable public institutions and systems that ensure human rights and equitable public service delivery. </w:t>
            </w:r>
            <w:r w:rsidR="00F05766">
              <w:t xml:space="preserve">The </w:t>
            </w:r>
            <w:proofErr w:type="spellStart"/>
            <w:r w:rsidR="00F05766">
              <w:t>programme</w:t>
            </w:r>
            <w:proofErr w:type="spellEnd"/>
            <w:r w:rsidR="00F05766">
              <w:t xml:space="preserve"> has a comprehensive human right which </w:t>
            </w:r>
            <w:r w:rsidR="00F05766" w:rsidRPr="00F05766">
              <w:rPr>
                <w:lang w:val="en-ZW" w:eastAsia="en-ZA"/>
              </w:rPr>
              <w:t>support</w:t>
            </w:r>
            <w:r w:rsidR="00F05766">
              <w:rPr>
                <w:lang w:val="en-ZW" w:eastAsia="en-ZA"/>
              </w:rPr>
              <w:t>s</w:t>
            </w:r>
            <w:r w:rsidR="00F05766" w:rsidRPr="00F05766">
              <w:rPr>
                <w:lang w:val="en-ZW" w:eastAsia="en-ZA"/>
              </w:rPr>
              <w:t xml:space="preserve"> preparations for the </w:t>
            </w:r>
            <w:r w:rsidR="00F05766" w:rsidRPr="00F05766">
              <w:rPr>
                <w:lang w:val="en-ZW"/>
              </w:rPr>
              <w:t>Universal Periodic Review</w:t>
            </w:r>
            <w:r w:rsidR="00F05766" w:rsidRPr="00F05766">
              <w:rPr>
                <w:lang w:val="en-ZW" w:eastAsia="en-ZA"/>
              </w:rPr>
              <w:t xml:space="preserve">, the development of an implementation plan and the establishment of a coordination structure. These are important anchors to advance human rights. UNDP will continue supporting the Government to mainstream human rights and enhance engagement with the international community, such as with OHCHR.  </w:t>
            </w:r>
            <w:r w:rsidRPr="00D1605A">
              <w:t>Th</w:t>
            </w:r>
            <w:r w:rsidR="00D1605A">
              <w:t>e</w:t>
            </w:r>
            <w:r w:rsidRPr="00D1605A">
              <w:t xml:space="preserve"> </w:t>
            </w:r>
            <w:proofErr w:type="spellStart"/>
            <w:r w:rsidRPr="00D1605A">
              <w:t>pro</w:t>
            </w:r>
            <w:r w:rsidRPr="00D1605A">
              <w:softHyphen/>
              <w:t>gramme</w:t>
            </w:r>
            <w:proofErr w:type="spellEnd"/>
            <w:r w:rsidRPr="00D1605A">
              <w:t xml:space="preserve"> will promote coordination and deep involvement of critical units involved in compilation of relevant national statistics and build their capacity </w:t>
            </w:r>
            <w:r w:rsidR="00195D29">
              <w:t xml:space="preserve">and </w:t>
            </w:r>
            <w:r w:rsidRPr="00D1605A">
              <w:t xml:space="preserve">to ensure sustainability of the </w:t>
            </w:r>
            <w:r w:rsidR="00AC2458" w:rsidRPr="00D1605A">
              <w:t>National Statistical System (</w:t>
            </w:r>
            <w:r w:rsidRPr="00D1605A">
              <w:t>NSS</w:t>
            </w:r>
            <w:r w:rsidR="00AC2458" w:rsidRPr="00D1605A">
              <w:t>)</w:t>
            </w:r>
            <w:r w:rsidRPr="00D1605A">
              <w:t xml:space="preserve">, </w:t>
            </w:r>
            <w:proofErr w:type="gramStart"/>
            <w:r w:rsidRPr="00D1605A">
              <w:t xml:space="preserve">and </w:t>
            </w:r>
            <w:r w:rsidR="00D1605A">
              <w:t>also</w:t>
            </w:r>
            <w:proofErr w:type="gramEnd"/>
            <w:r w:rsidRPr="00D1605A">
              <w:t xml:space="preserve"> of the NSO. Moreover, there will be skills transfer during the </w:t>
            </w:r>
            <w:proofErr w:type="spellStart"/>
            <w:r w:rsidRPr="00D1605A">
              <w:t>programme</w:t>
            </w:r>
            <w:proofErr w:type="spellEnd"/>
            <w:r w:rsidRPr="00D1605A">
              <w:t xml:space="preserve"> implementation</w:t>
            </w:r>
            <w:r w:rsidR="00D1605A">
              <w:t>, that is</w:t>
            </w:r>
            <w:r w:rsidR="00F05766">
              <w:t xml:space="preserve">, </w:t>
            </w:r>
            <w:r w:rsidR="00D1605A">
              <w:t>r</w:t>
            </w:r>
            <w:r w:rsidRPr="00D1605A">
              <w:t xml:space="preserve">esults from the program will be disseminated within and beyond the program intervention zone through existing information sharing networks and forums.  The program will identify, </w:t>
            </w:r>
            <w:proofErr w:type="spellStart"/>
            <w:r w:rsidRPr="00D1605A">
              <w:t>analyse</w:t>
            </w:r>
            <w:proofErr w:type="spellEnd"/>
            <w:r w:rsidRPr="00D1605A">
              <w:t xml:space="preserve">, and share lessons learned that might be beneficial in the design and implementation of similar future programs.  </w:t>
            </w:r>
            <w:r w:rsidR="008C28C6" w:rsidRPr="00D1605A">
              <w:t>The Government of the State of Eritrea (</w:t>
            </w:r>
            <w:proofErr w:type="spellStart"/>
            <w:r w:rsidR="008C28C6" w:rsidRPr="00D1605A">
              <w:t>GoSE</w:t>
            </w:r>
            <w:proofErr w:type="spellEnd"/>
            <w:r w:rsidR="008C28C6" w:rsidRPr="00D1605A">
              <w:t xml:space="preserve">) is focused on facilitating rapid economic and social development of the country in order to meaningfully and equitably impact on the living conditions of Eritreans. To achieve this, the generation of timely, complete, and quality statistics is key to informing evidence-based policy formulation, planning and assessment of development changes. </w:t>
            </w:r>
            <w:r w:rsidR="00702F87">
              <w:t xml:space="preserve">The </w:t>
            </w:r>
            <w:proofErr w:type="spellStart"/>
            <w:r w:rsidR="00702F87">
              <w:t>p</w:t>
            </w:r>
            <w:r w:rsidR="00AE03C8" w:rsidRPr="00AE03C8">
              <w:t>rogramme</w:t>
            </w:r>
            <w:proofErr w:type="spellEnd"/>
            <w:r w:rsidR="00AE03C8" w:rsidRPr="00AE03C8">
              <w:t xml:space="preserve"> </w:t>
            </w:r>
            <w:r w:rsidR="00F81EB8">
              <w:t>follows</w:t>
            </w:r>
            <w:r w:rsidR="00702F87">
              <w:t xml:space="preserve"> </w:t>
            </w:r>
            <w:r w:rsidR="00AE03C8" w:rsidRPr="00AE03C8">
              <w:t>the principles of accountability, participation and inclusion, and equality and non-discrimination</w:t>
            </w:r>
            <w:r w:rsidR="00702F87">
              <w:t xml:space="preserve"> of any form </w:t>
            </w:r>
            <w:r w:rsidR="00702F87" w:rsidRPr="00AE03C8">
              <w:t>including</w:t>
            </w:r>
            <w:r w:rsidR="00AE03C8" w:rsidRPr="00AE03C8">
              <w:t xml:space="preserve"> race, ethnicity, gender, age, language, disability, sexual orientation, religion, political or other opinion, national or social or geographical origin, property, birth or other status including as an indigenous person or as a member of a minority. </w:t>
            </w:r>
            <w:r w:rsidR="00702F87">
              <w:t xml:space="preserve">The </w:t>
            </w:r>
            <w:proofErr w:type="spellStart"/>
            <w:r w:rsidR="00702F87">
              <w:t>programme</w:t>
            </w:r>
            <w:proofErr w:type="spellEnd"/>
            <w:r w:rsidR="00702F87">
              <w:t xml:space="preserve"> </w:t>
            </w:r>
            <w:r w:rsidR="00AE03C8" w:rsidRPr="00AE03C8">
              <w:t>also ensure</w:t>
            </w:r>
            <w:r w:rsidR="00702F87">
              <w:t>s</w:t>
            </w:r>
            <w:r w:rsidR="00AE03C8" w:rsidRPr="00AE03C8">
              <w:t xml:space="preserve"> meaningful, effective and informed participation of stakeholders </w:t>
            </w:r>
            <w:r w:rsidR="000D2854">
              <w:t xml:space="preserve">and communities </w:t>
            </w:r>
            <w:r w:rsidR="00AE03C8" w:rsidRPr="00AE03C8">
              <w:t xml:space="preserve">in the formulation, implementation, monitoring and evaluation of </w:t>
            </w:r>
            <w:proofErr w:type="spellStart"/>
            <w:r w:rsidR="00AE03C8" w:rsidRPr="00AE03C8">
              <w:t>Programmes</w:t>
            </w:r>
            <w:proofErr w:type="spellEnd"/>
            <w:r w:rsidR="00AE03C8" w:rsidRPr="00AE03C8">
              <w:t xml:space="preserve"> and Projects.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7D090BE0" w:rsidR="00414FBA" w:rsidRPr="008C711F" w:rsidRDefault="00791EEA" w:rsidP="00D1605A">
            <w:pPr>
              <w:jc w:val="both"/>
              <w:rPr>
                <w:rFonts w:eastAsia="Times New Roman"/>
                <w:color w:val="595959" w:themeColor="text1" w:themeTint="A6"/>
                <w:sz w:val="18"/>
                <w:szCs w:val="18"/>
              </w:rPr>
            </w:pPr>
            <w:r>
              <w:t xml:space="preserve">One of the major activities of the </w:t>
            </w:r>
            <w:proofErr w:type="spellStart"/>
            <w:r>
              <w:t>pro</w:t>
            </w:r>
            <w:r w:rsidR="009978A5">
              <w:t>gramme</w:t>
            </w:r>
            <w:proofErr w:type="spellEnd"/>
            <w:r w:rsidR="009978A5">
              <w:t xml:space="preserve"> </w:t>
            </w:r>
            <w:r>
              <w:t xml:space="preserve">is </w:t>
            </w:r>
            <w:r w:rsidR="00AC2458">
              <w:t xml:space="preserve">to </w:t>
            </w:r>
            <w:r>
              <w:t xml:space="preserve">produce gender </w:t>
            </w:r>
            <w:r w:rsidR="008C28C6">
              <w:t>disaggregated</w:t>
            </w:r>
            <w:r>
              <w:t xml:space="preserve"> data </w:t>
            </w:r>
            <w:r w:rsidR="008C28C6">
              <w:t xml:space="preserve">essential for policy </w:t>
            </w:r>
            <w:r w:rsidR="00AC2458">
              <w:t>formulation</w:t>
            </w:r>
            <w:r w:rsidR="009978A5">
              <w:t xml:space="preserve">, planning, monitoring, evolution as well as </w:t>
            </w:r>
            <w:proofErr w:type="gramStart"/>
            <w:r w:rsidR="009978A5">
              <w:t>reporting.</w:t>
            </w:r>
            <w:r w:rsidR="00AC2458">
              <w:t>.</w:t>
            </w:r>
            <w:proofErr w:type="gramEnd"/>
            <w:r w:rsidR="008C28C6">
              <w:t xml:space="preserve"> </w:t>
            </w:r>
            <w:r w:rsidR="00514F0D" w:rsidRPr="00321AA3">
              <w:t xml:space="preserve">The </w:t>
            </w:r>
            <w:proofErr w:type="spellStart"/>
            <w:r w:rsidR="00514F0D" w:rsidRPr="00321AA3">
              <w:t>pro</w:t>
            </w:r>
            <w:r w:rsidR="00702F87" w:rsidRPr="00321AA3">
              <w:t>gramme</w:t>
            </w:r>
            <w:proofErr w:type="spellEnd"/>
            <w:r w:rsidR="00514F0D" w:rsidRPr="00321AA3">
              <w:t xml:space="preserve"> takes gender </w:t>
            </w:r>
            <w:r w:rsidR="00776DC8">
              <w:t>into consideration aiming</w:t>
            </w:r>
            <w:r w:rsidR="00F338FE">
              <w:t xml:space="preserve"> to improve gender equality and women’s empowerment</w:t>
            </w:r>
            <w:r w:rsidR="00514F0D" w:rsidRPr="00321AA3">
              <w:t xml:space="preserve">. </w:t>
            </w:r>
            <w:r w:rsidR="00321AA3">
              <w:t>It</w:t>
            </w:r>
            <w:r w:rsidR="00321AA3" w:rsidRPr="00321AA3">
              <w:t xml:space="preserve"> </w:t>
            </w:r>
            <w:r w:rsidR="00AC2458">
              <w:t xml:space="preserve">provides evidence whether </w:t>
            </w:r>
            <w:r w:rsidR="00321AA3" w:rsidRPr="00321AA3">
              <w:t xml:space="preserve">both women and men </w:t>
            </w:r>
            <w:proofErr w:type="gramStart"/>
            <w:r w:rsidR="00321AA3" w:rsidRPr="00321AA3">
              <w:t>are able to</w:t>
            </w:r>
            <w:proofErr w:type="gramEnd"/>
            <w:r w:rsidR="00321AA3" w:rsidRPr="00321AA3">
              <w:t xml:space="preserve"> participate meaningfully and equitably, have equitable access to </w:t>
            </w:r>
            <w:proofErr w:type="spellStart"/>
            <w:r w:rsidR="00321AA3">
              <w:t>p</w:t>
            </w:r>
            <w:r w:rsidR="00321AA3" w:rsidRPr="00321AA3">
              <w:t>rogramme</w:t>
            </w:r>
            <w:proofErr w:type="spellEnd"/>
            <w:r w:rsidR="00321AA3" w:rsidRPr="00321AA3">
              <w:t xml:space="preserve"> resources, and receive comparable social and economic benefits.</w:t>
            </w:r>
            <w:r w:rsidR="00321AA3">
              <w:t xml:space="preserve"> </w:t>
            </w:r>
            <w:r w:rsidR="00514F0D" w:rsidRPr="00321AA3">
              <w:t xml:space="preserve">The </w:t>
            </w:r>
            <w:r w:rsidR="00F64D28">
              <w:t xml:space="preserve">data produced by the </w:t>
            </w:r>
            <w:proofErr w:type="spellStart"/>
            <w:r w:rsidR="00F64D28">
              <w:t>programme</w:t>
            </w:r>
            <w:proofErr w:type="spellEnd"/>
            <w:r w:rsidR="00F64D28">
              <w:t xml:space="preserve"> </w:t>
            </w:r>
            <w:r w:rsidR="00514F0D" w:rsidRPr="00321AA3">
              <w:t xml:space="preserve">basically </w:t>
            </w:r>
            <w:r w:rsidR="00F64D28">
              <w:t xml:space="preserve">will help </w:t>
            </w:r>
            <w:r w:rsidR="00514F0D" w:rsidRPr="00321AA3">
              <w:t xml:space="preserve">to </w:t>
            </w:r>
            <w:r w:rsidR="00F64D28">
              <w:t xml:space="preserve">formulate gender sensitive policy and </w:t>
            </w:r>
            <w:r w:rsidR="009978A5">
              <w:t xml:space="preserve">planning or </w:t>
            </w:r>
            <w:r w:rsidR="00F64D28">
              <w:t xml:space="preserve">development </w:t>
            </w:r>
            <w:proofErr w:type="spellStart"/>
            <w:r w:rsidR="00F64D28">
              <w:t>programmes</w:t>
            </w:r>
            <w:proofErr w:type="spellEnd"/>
            <w:r w:rsidR="00F64D28">
              <w:t xml:space="preserve"> to </w:t>
            </w:r>
            <w:r w:rsidR="00514F0D" w:rsidRPr="00321AA3">
              <w:t xml:space="preserve">lessen </w:t>
            </w:r>
            <w:r w:rsidR="00F64D28">
              <w:t>and/or remove gender inequality and enhanc</w:t>
            </w:r>
            <w:r w:rsidR="009978A5">
              <w:t>e</w:t>
            </w:r>
            <w:r w:rsidR="00F64D28">
              <w:t xml:space="preserve"> women’s empowerment particularly by reducing </w:t>
            </w:r>
            <w:r w:rsidR="00514F0D" w:rsidRPr="00321AA3">
              <w:t>home burdens, improve working conditions, create access to resource management and control, increase women participation in decision making and sensitize the public about gender issues</w:t>
            </w:r>
            <w:r w:rsidR="009978A5">
              <w:t xml:space="preserve"> notably </w:t>
            </w:r>
            <w:r w:rsidR="00514F0D" w:rsidRPr="00321AA3">
              <w:t>gender equality</w:t>
            </w:r>
            <w:r w:rsidR="00F64D28">
              <w:t xml:space="preserve"> and women’s empowerment</w:t>
            </w:r>
            <w:r w:rsidR="00514F0D" w:rsidRPr="00321AA3">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40513F09" w:rsidR="00414FBA" w:rsidRPr="00635746" w:rsidRDefault="00375BAB" w:rsidP="00E5295F">
            <w:pPr>
              <w:jc w:val="both"/>
            </w:pPr>
            <w:r w:rsidRPr="00D1605A">
              <w:t xml:space="preserve">Statistics plays a vital role in nearly all fields of human activity, be it economic, social, environmental, or political. For example, statistics can give an existing position of wealth, per capita income, social progress, unemployment, population growth rate, housing, schooling, medical facilities, etc., in a country. The NSS of any country comprises all producers of official statistics, operating within a coherent and integrated structure, backed by a legal framework that provides for the structure and coordination, conduct and organization of official statistics, with clear definition of responsibilities, powers and the relationship with its constituent parts. In Eritrea, producers of official statistics would comprise: (i) the NSO, a Department in the Ministry of National Development (MND); and (ii) Ministries, Departments and Agencies (MDAs) responsible for key functions of government such as finance and investment, economic planning, agriculture, industries, trade, mining, education, justice, health, </w:t>
            </w:r>
            <w:proofErr w:type="spellStart"/>
            <w:r w:rsidRPr="00D1605A">
              <w:t>labour</w:t>
            </w:r>
            <w:proofErr w:type="spellEnd"/>
            <w:r w:rsidRPr="00D1605A">
              <w:t xml:space="preserve">, environment and local government; central bank; revenue authority; and academia. </w:t>
            </w:r>
            <w:r w:rsidR="004122D9">
              <w:t xml:space="preserve">The </w:t>
            </w:r>
            <w:proofErr w:type="spellStart"/>
            <w:r w:rsidR="004122D9">
              <w:t>programme</w:t>
            </w:r>
            <w:proofErr w:type="spellEnd"/>
            <w:r w:rsidR="004122D9">
              <w:t xml:space="preserve"> will</w:t>
            </w:r>
            <w:r w:rsidR="00635746">
              <w:t xml:space="preserve"> enhance the capacity </w:t>
            </w:r>
            <w:r w:rsidR="00635746" w:rsidRPr="00635746">
              <w:t>of individuals at household level to enable them plan and utiliz</w:t>
            </w:r>
            <w:r w:rsidR="004122D9">
              <w:t>e</w:t>
            </w:r>
            <w:r w:rsidR="00635746" w:rsidRPr="00635746">
              <w:t xml:space="preserve"> </w:t>
            </w:r>
            <w:r w:rsidR="00E239CD">
              <w:t xml:space="preserve">resources </w:t>
            </w:r>
            <w:r w:rsidR="00635746" w:rsidRPr="00635746">
              <w:t>in a manner which increases the sustainability of the</w:t>
            </w:r>
            <w:r w:rsidR="00E239CD">
              <w:t xml:space="preserve"> people’s </w:t>
            </w:r>
            <w:r w:rsidR="00E239CD" w:rsidRPr="00635746">
              <w:t>livelihood</w:t>
            </w:r>
            <w:r w:rsidR="00635746" w:rsidRPr="00635746">
              <w:t xml:space="preserve"> systems</w:t>
            </w:r>
            <w:r w:rsidR="00635746">
              <w:t xml:space="preserve"> and environment</w:t>
            </w:r>
            <w:r w:rsidR="00635746" w:rsidRPr="00635746">
              <w:t xml:space="preserve">. </w:t>
            </w:r>
            <w:r w:rsidR="00E239CD">
              <w:t xml:space="preserve">The </w:t>
            </w:r>
            <w:proofErr w:type="spellStart"/>
            <w:r w:rsidR="00E239CD">
              <w:t>programme</w:t>
            </w:r>
            <w:proofErr w:type="spellEnd"/>
            <w:r w:rsidR="00E239CD">
              <w:t xml:space="preserve"> will promote stakeholders and </w:t>
            </w:r>
            <w:r w:rsidR="00635746" w:rsidRPr="00635746">
              <w:t xml:space="preserve">community participation in the development process and to facilitate </w:t>
            </w:r>
            <w:r w:rsidR="00E239CD">
              <w:t>a two-</w:t>
            </w:r>
            <w:proofErr w:type="gramStart"/>
            <w:r w:rsidR="00E239CD">
              <w:t xml:space="preserve">way </w:t>
            </w:r>
            <w:r w:rsidR="00635746" w:rsidRPr="00635746">
              <w:t xml:space="preserve"> flow</w:t>
            </w:r>
            <w:proofErr w:type="gramEnd"/>
            <w:r w:rsidR="00635746" w:rsidRPr="00635746">
              <w:t xml:space="preserve"> of information and resources</w:t>
            </w:r>
            <w:r w:rsidR="00E239CD">
              <w:t>, bottom up and top down</w:t>
            </w:r>
            <w:r w:rsidR="00635746">
              <w:t xml:space="preserve"> to enhance </w:t>
            </w:r>
            <w:r w:rsidR="006961C7">
              <w:t>knowledge</w:t>
            </w:r>
            <w:r w:rsidR="00635746">
              <w:t xml:space="preserve"> and experience on environmental and livelihoods sustainability</w:t>
            </w:r>
            <w:r w:rsidR="00635746" w:rsidRPr="00635746">
              <w:t>.</w:t>
            </w:r>
            <w:r w:rsidR="00E5295F">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936"/>
        <w:gridCol w:w="4351"/>
      </w:tblGrid>
      <w:tr w:rsidR="00EA61FC" w:rsidRPr="0019385F" w14:paraId="7D2F07FC" w14:textId="77777777" w:rsidTr="00860BDB">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5279"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351" w:type="dxa"/>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860BDB">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3029"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351" w:type="dxa"/>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860BDB">
        <w:tc>
          <w:tcPr>
            <w:tcW w:w="3510" w:type="dxa"/>
          </w:tcPr>
          <w:p w14:paraId="515DC9E7" w14:textId="05346DAD" w:rsidR="00375BAB" w:rsidRPr="00375BAB" w:rsidRDefault="00096FD1" w:rsidP="00375BAB">
            <w:pPr>
              <w:numPr>
                <w:ilvl w:val="0"/>
                <w:numId w:val="20"/>
              </w:numPr>
              <w:autoSpaceDE w:val="0"/>
              <w:autoSpaceDN w:val="0"/>
              <w:adjustRightInd w:val="0"/>
              <w:spacing w:line="259" w:lineRule="auto"/>
              <w:contextualSpacing/>
              <w:jc w:val="both"/>
              <w:rPr>
                <w:sz w:val="18"/>
                <w:szCs w:val="18"/>
              </w:rPr>
            </w:pPr>
            <w:r>
              <w:rPr>
                <w:sz w:val="18"/>
                <w:szCs w:val="18"/>
              </w:rPr>
              <w:t>Risk 1:</w:t>
            </w:r>
            <w:r w:rsidR="00375BAB" w:rsidRPr="00375BAB">
              <w:rPr>
                <w:sz w:val="18"/>
                <w:szCs w:val="18"/>
              </w:rPr>
              <w:t xml:space="preserve"> </w:t>
            </w:r>
            <w:r w:rsidR="004A3CBA">
              <w:rPr>
                <w:sz w:val="18"/>
                <w:szCs w:val="18"/>
              </w:rPr>
              <w:t>No risks identified</w:t>
            </w:r>
          </w:p>
          <w:p w14:paraId="5C2A8FF4" w14:textId="5C1B9462" w:rsidR="00C055DB" w:rsidRPr="009B4F2C" w:rsidRDefault="00C055DB" w:rsidP="0084274F">
            <w:pPr>
              <w:rPr>
                <w:sz w:val="18"/>
                <w:szCs w:val="18"/>
              </w:rPr>
            </w:pPr>
          </w:p>
        </w:tc>
        <w:tc>
          <w:tcPr>
            <w:tcW w:w="1080" w:type="dxa"/>
          </w:tcPr>
          <w:p w14:paraId="67E15CE1" w14:textId="6C1FA926" w:rsidR="00C055DB" w:rsidRPr="00C86F7C" w:rsidRDefault="00C055DB" w:rsidP="0084274F">
            <w:pPr>
              <w:rPr>
                <w:rFonts w:cs="Minion Pro"/>
                <w:sz w:val="18"/>
                <w:szCs w:val="18"/>
              </w:rPr>
            </w:pPr>
            <w:r w:rsidRPr="00C86F7C">
              <w:rPr>
                <w:rFonts w:cs="Minion Pro"/>
                <w:sz w:val="18"/>
                <w:szCs w:val="18"/>
              </w:rPr>
              <w:t xml:space="preserve">I = </w:t>
            </w:r>
          </w:p>
          <w:p w14:paraId="4BB50A64" w14:textId="22BD1E6B"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6176AC7B" w:rsidR="00C055DB" w:rsidRPr="00372083" w:rsidRDefault="00C055DB" w:rsidP="0084274F">
            <w:pPr>
              <w:rPr>
                <w:b/>
                <w:sz w:val="18"/>
                <w:szCs w:val="18"/>
              </w:rPr>
            </w:pPr>
          </w:p>
        </w:tc>
        <w:tc>
          <w:tcPr>
            <w:tcW w:w="3029" w:type="dxa"/>
            <w:gridSpan w:val="2"/>
          </w:tcPr>
          <w:p w14:paraId="249AA562" w14:textId="3C561F83" w:rsidR="00C055DB" w:rsidRPr="00E133F1" w:rsidRDefault="00C055DB" w:rsidP="0084274F">
            <w:pPr>
              <w:rPr>
                <w:sz w:val="18"/>
                <w:szCs w:val="18"/>
              </w:rPr>
            </w:pPr>
          </w:p>
        </w:tc>
        <w:tc>
          <w:tcPr>
            <w:tcW w:w="4351" w:type="dxa"/>
          </w:tcPr>
          <w:p w14:paraId="5BC7622A" w14:textId="23541C2D" w:rsidR="00C055DB" w:rsidRPr="00372083" w:rsidRDefault="00C055DB" w:rsidP="00B25630">
            <w:pPr>
              <w:rPr>
                <w:b/>
                <w:sz w:val="18"/>
                <w:szCs w:val="18"/>
              </w:rPr>
            </w:pPr>
          </w:p>
        </w:tc>
      </w:tr>
      <w:tr w:rsidR="00C055DB" w14:paraId="112CD22E" w14:textId="77777777" w:rsidTr="00860BDB">
        <w:tc>
          <w:tcPr>
            <w:tcW w:w="3510" w:type="dxa"/>
            <w:vAlign w:val="center"/>
          </w:tcPr>
          <w:p w14:paraId="4660B93E" w14:textId="61923165" w:rsidR="00375BAB" w:rsidRPr="00375BAB" w:rsidRDefault="00096FD1" w:rsidP="00375BAB">
            <w:pPr>
              <w:numPr>
                <w:ilvl w:val="0"/>
                <w:numId w:val="20"/>
              </w:numPr>
              <w:autoSpaceDE w:val="0"/>
              <w:autoSpaceDN w:val="0"/>
              <w:adjustRightInd w:val="0"/>
              <w:spacing w:line="259" w:lineRule="auto"/>
              <w:contextualSpacing/>
              <w:jc w:val="both"/>
              <w:rPr>
                <w:sz w:val="18"/>
                <w:szCs w:val="18"/>
              </w:rPr>
            </w:pPr>
            <w:r>
              <w:rPr>
                <w:sz w:val="18"/>
                <w:szCs w:val="18"/>
              </w:rPr>
              <w:t>Risk 2</w:t>
            </w:r>
            <w:r w:rsidR="00375BAB" w:rsidRPr="00375BAB">
              <w:rPr>
                <w:sz w:val="18"/>
                <w:szCs w:val="18"/>
              </w:rPr>
              <w:t xml:space="preserve"> </w:t>
            </w:r>
          </w:p>
          <w:p w14:paraId="290A1806" w14:textId="46264CE5" w:rsidR="00C055DB" w:rsidRPr="00375BAB" w:rsidRDefault="00C055DB" w:rsidP="0084274F">
            <w:pPr>
              <w:rPr>
                <w:sz w:val="18"/>
                <w:szCs w:val="18"/>
              </w:rPr>
            </w:pPr>
          </w:p>
        </w:tc>
        <w:tc>
          <w:tcPr>
            <w:tcW w:w="1080" w:type="dxa"/>
          </w:tcPr>
          <w:p w14:paraId="0348661D" w14:textId="6AC90B54" w:rsidR="00C055DB" w:rsidRPr="00C86F7C" w:rsidRDefault="00C055DB" w:rsidP="0084274F">
            <w:pPr>
              <w:rPr>
                <w:rFonts w:cs="Minion Pro"/>
                <w:sz w:val="18"/>
                <w:szCs w:val="18"/>
              </w:rPr>
            </w:pPr>
            <w:r w:rsidRPr="00C86F7C">
              <w:rPr>
                <w:rFonts w:cs="Minion Pro"/>
                <w:sz w:val="18"/>
                <w:szCs w:val="18"/>
              </w:rPr>
              <w:t xml:space="preserve">I = </w:t>
            </w:r>
          </w:p>
          <w:p w14:paraId="0B822867" w14:textId="08E9D17D"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20C3CE44" w:rsidR="00C055DB" w:rsidRPr="00372083" w:rsidRDefault="00C055DB" w:rsidP="0084274F">
            <w:pPr>
              <w:rPr>
                <w:b/>
                <w:sz w:val="18"/>
                <w:szCs w:val="18"/>
              </w:rPr>
            </w:pPr>
          </w:p>
        </w:tc>
        <w:tc>
          <w:tcPr>
            <w:tcW w:w="3029" w:type="dxa"/>
            <w:gridSpan w:val="2"/>
          </w:tcPr>
          <w:p w14:paraId="183BB23C" w14:textId="54CF524B" w:rsidR="00C055DB" w:rsidRPr="00E133F1" w:rsidRDefault="00C055DB" w:rsidP="0084274F">
            <w:pPr>
              <w:rPr>
                <w:sz w:val="18"/>
                <w:szCs w:val="18"/>
              </w:rPr>
            </w:pPr>
          </w:p>
        </w:tc>
        <w:tc>
          <w:tcPr>
            <w:tcW w:w="4351" w:type="dxa"/>
          </w:tcPr>
          <w:p w14:paraId="453158EA" w14:textId="46375BF3" w:rsidR="00C055DB" w:rsidRPr="00860BDB" w:rsidRDefault="00C055DB" w:rsidP="0084274F">
            <w:pPr>
              <w:rPr>
                <w:sz w:val="18"/>
                <w:szCs w:val="18"/>
              </w:rPr>
            </w:pPr>
          </w:p>
        </w:tc>
      </w:tr>
      <w:tr w:rsidR="00C055DB" w14:paraId="112B2C44" w14:textId="77777777" w:rsidTr="00860BDB">
        <w:tc>
          <w:tcPr>
            <w:tcW w:w="3510" w:type="dxa"/>
            <w:vAlign w:val="center"/>
          </w:tcPr>
          <w:p w14:paraId="7F87DD50" w14:textId="75F080DF" w:rsidR="00C055DB" w:rsidRPr="00375BAB" w:rsidRDefault="00C055DB" w:rsidP="004A3CBA">
            <w:pPr>
              <w:numPr>
                <w:ilvl w:val="0"/>
                <w:numId w:val="20"/>
              </w:numPr>
              <w:autoSpaceDE w:val="0"/>
              <w:autoSpaceDN w:val="0"/>
              <w:adjustRightInd w:val="0"/>
              <w:spacing w:line="259" w:lineRule="auto"/>
              <w:contextualSpacing/>
              <w:jc w:val="both"/>
              <w:rPr>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3A8A51C5" w:rsidR="00C055DB" w:rsidRPr="00C86F7C" w:rsidRDefault="00C055DB" w:rsidP="0084274F">
            <w:pPr>
              <w:rPr>
                <w:rFonts w:cs="Minion Pro"/>
                <w:sz w:val="18"/>
                <w:szCs w:val="18"/>
              </w:rPr>
            </w:pPr>
            <w:r w:rsidRPr="00C86F7C">
              <w:rPr>
                <w:rFonts w:cs="Minion Pro"/>
                <w:sz w:val="18"/>
                <w:szCs w:val="18"/>
              </w:rPr>
              <w:t xml:space="preserve">I = </w:t>
            </w:r>
          </w:p>
          <w:p w14:paraId="7B71B1BD" w14:textId="0BA2C785"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12CCC98B" w:rsidR="00C055DB" w:rsidRPr="00372083" w:rsidRDefault="00C055DB" w:rsidP="0084274F">
            <w:pPr>
              <w:rPr>
                <w:b/>
                <w:sz w:val="18"/>
                <w:szCs w:val="18"/>
              </w:rPr>
            </w:pPr>
          </w:p>
        </w:tc>
        <w:tc>
          <w:tcPr>
            <w:tcW w:w="3029" w:type="dxa"/>
            <w:gridSpan w:val="2"/>
          </w:tcPr>
          <w:p w14:paraId="07B502CC" w14:textId="595568A1" w:rsidR="00C055DB" w:rsidRPr="00E133F1" w:rsidRDefault="00C055DB" w:rsidP="0084274F">
            <w:pPr>
              <w:rPr>
                <w:sz w:val="18"/>
                <w:szCs w:val="18"/>
              </w:rPr>
            </w:pPr>
          </w:p>
        </w:tc>
        <w:tc>
          <w:tcPr>
            <w:tcW w:w="4351" w:type="dxa"/>
          </w:tcPr>
          <w:p w14:paraId="4638EEBA" w14:textId="3094D8FE" w:rsidR="00C055DB" w:rsidRPr="00860BDB" w:rsidRDefault="00C055DB" w:rsidP="0084274F">
            <w:pPr>
              <w:rPr>
                <w:sz w:val="18"/>
                <w:szCs w:val="18"/>
              </w:rPr>
            </w:pPr>
          </w:p>
        </w:tc>
      </w:tr>
      <w:tr w:rsidR="00C055DB" w14:paraId="507C659C" w14:textId="77777777" w:rsidTr="00860BDB">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3029" w:type="dxa"/>
            <w:gridSpan w:val="2"/>
          </w:tcPr>
          <w:p w14:paraId="138FE893" w14:textId="77777777" w:rsidR="00C055DB" w:rsidRPr="00372083" w:rsidRDefault="00C055DB" w:rsidP="0084274F">
            <w:pPr>
              <w:rPr>
                <w:b/>
                <w:sz w:val="18"/>
                <w:szCs w:val="18"/>
              </w:rPr>
            </w:pPr>
          </w:p>
        </w:tc>
        <w:tc>
          <w:tcPr>
            <w:tcW w:w="4351" w:type="dxa"/>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5"/>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860BDB">
        <w:tc>
          <w:tcPr>
            <w:tcW w:w="3510" w:type="dxa"/>
            <w:vMerge/>
          </w:tcPr>
          <w:p w14:paraId="327169E6" w14:textId="77777777" w:rsidR="00483E64" w:rsidRPr="00372083" w:rsidRDefault="00483E64" w:rsidP="00C055DB">
            <w:pPr>
              <w:rPr>
                <w:sz w:val="18"/>
                <w:szCs w:val="18"/>
                <w:u w:val="single"/>
              </w:rPr>
            </w:pPr>
          </w:p>
        </w:tc>
        <w:tc>
          <w:tcPr>
            <w:tcW w:w="5279" w:type="dxa"/>
            <w:gridSpan w:val="4"/>
          </w:tcPr>
          <w:p w14:paraId="2A2B5D2C" w14:textId="531BAFF1"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351"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860BDB">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936" w:type="dxa"/>
          </w:tcPr>
          <w:p w14:paraId="09ED3510" w14:textId="77777777" w:rsidR="00C055DB" w:rsidRPr="00372083" w:rsidRDefault="00C055DB" w:rsidP="00C055DB">
            <w:pPr>
              <w:ind w:left="-2230" w:firstLine="2230"/>
              <w:rPr>
                <w:b/>
                <w:sz w:val="18"/>
                <w:szCs w:val="18"/>
              </w:rPr>
            </w:pPr>
            <w:r w:rsidRPr="00E5295F">
              <w:rPr>
                <w:rFonts w:ascii="Segoe UI Symbol" w:hAnsi="Segoe UI Symbol" w:cs="Segoe UI Symbol"/>
                <w:b/>
                <w:szCs w:val="20"/>
                <w:highlight w:val="black"/>
              </w:rPr>
              <w:t>☐</w:t>
            </w:r>
          </w:p>
        </w:tc>
        <w:tc>
          <w:tcPr>
            <w:tcW w:w="4351" w:type="dxa"/>
          </w:tcPr>
          <w:p w14:paraId="6C195903" w14:textId="08D57EC1" w:rsidR="00C055DB" w:rsidRPr="00116F47" w:rsidRDefault="004A3CBA" w:rsidP="00116F47">
            <w:pPr>
              <w:jc w:val="both"/>
              <w:rPr>
                <w:sz w:val="18"/>
                <w:szCs w:val="18"/>
              </w:rPr>
            </w:pPr>
            <w:r w:rsidRPr="00017BC7">
              <w:rPr>
                <w:rFonts w:ascii="Times New Roman" w:hAnsi="Times New Roman"/>
                <w:szCs w:val="22"/>
              </w:rPr>
              <w:t>Statistics plays a vital role in nearly all fields of human activity, be it economic, social, environmental, or political.</w:t>
            </w:r>
          </w:p>
        </w:tc>
      </w:tr>
      <w:tr w:rsidR="00483E64" w14:paraId="0E5DEE2A" w14:textId="77777777" w:rsidTr="00860BDB">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936" w:type="dxa"/>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351" w:type="dxa"/>
          </w:tcPr>
          <w:p w14:paraId="6BF0C261" w14:textId="77777777" w:rsidR="00C055DB" w:rsidRPr="00372083" w:rsidRDefault="00C055DB" w:rsidP="00C055DB">
            <w:pPr>
              <w:rPr>
                <w:b/>
                <w:sz w:val="18"/>
                <w:szCs w:val="18"/>
              </w:rPr>
            </w:pPr>
          </w:p>
        </w:tc>
      </w:tr>
      <w:tr w:rsidR="00483E64" w14:paraId="71EB9E80" w14:textId="77777777" w:rsidTr="00860BDB">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936" w:type="dxa"/>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351" w:type="dxa"/>
          </w:tcPr>
          <w:p w14:paraId="15F4F870" w14:textId="77777777" w:rsidR="00C055DB" w:rsidRPr="00372083" w:rsidRDefault="00C055DB" w:rsidP="00C055DB">
            <w:pPr>
              <w:rPr>
                <w:b/>
                <w:sz w:val="18"/>
                <w:szCs w:val="18"/>
              </w:rPr>
            </w:pPr>
          </w:p>
        </w:tc>
      </w:tr>
      <w:tr w:rsidR="00773AD2" w:rsidRPr="00EA5477" w14:paraId="29357305" w14:textId="77777777" w:rsidTr="00860BDB">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5279" w:type="dxa"/>
            <w:gridSpan w:val="4"/>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351"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860BDB">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5279" w:type="dxa"/>
            <w:gridSpan w:val="4"/>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351"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A3CBA" w:rsidRPr="00EF0E8F" w14:paraId="32A97D58" w14:textId="77777777" w:rsidTr="00860BDB">
        <w:tc>
          <w:tcPr>
            <w:tcW w:w="3510" w:type="dxa"/>
            <w:vMerge/>
            <w:shd w:val="clear" w:color="auto" w:fill="FFFFFF" w:themeFill="background1"/>
          </w:tcPr>
          <w:p w14:paraId="33D393F2" w14:textId="77777777" w:rsidR="004A3CBA" w:rsidRDefault="004A3CBA" w:rsidP="004A3CBA">
            <w:pPr>
              <w:tabs>
                <w:tab w:val="left" w:pos="270"/>
              </w:tabs>
              <w:ind w:left="270" w:hanging="270"/>
              <w:rPr>
                <w:sz w:val="18"/>
                <w:szCs w:val="18"/>
              </w:rPr>
            </w:pPr>
          </w:p>
        </w:tc>
        <w:tc>
          <w:tcPr>
            <w:tcW w:w="4343" w:type="dxa"/>
            <w:gridSpan w:val="3"/>
            <w:shd w:val="clear" w:color="auto" w:fill="auto"/>
          </w:tcPr>
          <w:p w14:paraId="56DF73BE" w14:textId="77777777" w:rsidR="004A3CBA" w:rsidRPr="00C055DB" w:rsidRDefault="004A3CBA" w:rsidP="004A3CBA">
            <w:pPr>
              <w:tabs>
                <w:tab w:val="left" w:pos="270"/>
              </w:tabs>
              <w:ind w:left="270" w:hanging="270"/>
              <w:rPr>
                <w:b/>
                <w:i/>
                <w:sz w:val="18"/>
                <w:szCs w:val="18"/>
              </w:rPr>
            </w:pPr>
            <w:r w:rsidRPr="00C055DB">
              <w:rPr>
                <w:b/>
                <w:i/>
                <w:sz w:val="18"/>
                <w:szCs w:val="18"/>
              </w:rPr>
              <w:t>Principle 1: Human Rights</w:t>
            </w:r>
          </w:p>
        </w:tc>
        <w:tc>
          <w:tcPr>
            <w:tcW w:w="936" w:type="dxa"/>
            <w:vAlign w:val="center"/>
          </w:tcPr>
          <w:p w14:paraId="55682F24" w14:textId="77777777" w:rsidR="004A3CBA" w:rsidRPr="00EF0E8F" w:rsidRDefault="004A3CBA" w:rsidP="004A3CBA">
            <w:pPr>
              <w:tabs>
                <w:tab w:val="left" w:pos="360"/>
              </w:tabs>
              <w:rPr>
                <w:sz w:val="18"/>
                <w:szCs w:val="18"/>
              </w:rPr>
            </w:pPr>
            <w:r w:rsidRPr="00372083">
              <w:rPr>
                <w:rFonts w:ascii="Segoe UI Symbol" w:hAnsi="Segoe UI Symbol" w:cs="Segoe UI Symbol"/>
                <w:b/>
                <w:szCs w:val="20"/>
              </w:rPr>
              <w:t>☐</w:t>
            </w:r>
          </w:p>
        </w:tc>
        <w:tc>
          <w:tcPr>
            <w:tcW w:w="4351" w:type="dxa"/>
          </w:tcPr>
          <w:p w14:paraId="18E5603B" w14:textId="4111176D" w:rsidR="004A3CBA" w:rsidRPr="00EF0E8F" w:rsidRDefault="00CD5119" w:rsidP="004A3CBA">
            <w:pPr>
              <w:tabs>
                <w:tab w:val="left" w:pos="360"/>
              </w:tabs>
              <w:jc w:val="center"/>
              <w:rPr>
                <w:sz w:val="18"/>
                <w:szCs w:val="18"/>
              </w:rPr>
            </w:pPr>
            <w:r>
              <w:rPr>
                <w:sz w:val="18"/>
                <w:szCs w:val="18"/>
              </w:rPr>
              <w:t xml:space="preserve">No risks identified </w:t>
            </w:r>
          </w:p>
        </w:tc>
      </w:tr>
      <w:tr w:rsidR="00CD5119" w:rsidRPr="00EF0E8F" w14:paraId="145F1571" w14:textId="77777777" w:rsidTr="00860BDB">
        <w:tc>
          <w:tcPr>
            <w:tcW w:w="3510" w:type="dxa"/>
            <w:vMerge/>
            <w:shd w:val="clear" w:color="auto" w:fill="FFFFFF" w:themeFill="background1"/>
          </w:tcPr>
          <w:p w14:paraId="2B3A5E81"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794843EA" w14:textId="77777777" w:rsidR="00CD5119" w:rsidRPr="00C055DB" w:rsidRDefault="00CD5119" w:rsidP="00CD5119">
            <w:pPr>
              <w:tabs>
                <w:tab w:val="left" w:pos="270"/>
              </w:tabs>
              <w:ind w:left="270" w:hanging="270"/>
              <w:rPr>
                <w:b/>
                <w:i/>
                <w:sz w:val="18"/>
                <w:szCs w:val="18"/>
              </w:rPr>
            </w:pPr>
            <w:r w:rsidRPr="00C055DB">
              <w:rPr>
                <w:b/>
                <w:i/>
                <w:sz w:val="18"/>
                <w:szCs w:val="18"/>
              </w:rPr>
              <w:t>Principle 2: Gender Equality and Women’s Empowerment</w:t>
            </w:r>
          </w:p>
        </w:tc>
        <w:tc>
          <w:tcPr>
            <w:tcW w:w="936" w:type="dxa"/>
            <w:vAlign w:val="center"/>
          </w:tcPr>
          <w:p w14:paraId="64626C08" w14:textId="77777777"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2ED74AD8" w14:textId="1B9177F8"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1F74573A" w14:textId="77777777" w:rsidTr="00860BDB">
        <w:tc>
          <w:tcPr>
            <w:tcW w:w="3510" w:type="dxa"/>
            <w:vMerge/>
            <w:shd w:val="clear" w:color="auto" w:fill="FFFFFF" w:themeFill="background1"/>
          </w:tcPr>
          <w:p w14:paraId="1EC642C8"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36FCA502" w14:textId="77777777" w:rsidR="00CD5119" w:rsidRPr="00C055DB" w:rsidRDefault="00CD5119" w:rsidP="00CD5119">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936" w:type="dxa"/>
            <w:vAlign w:val="center"/>
          </w:tcPr>
          <w:p w14:paraId="155319F7" w14:textId="37B967A7"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3017E336" w14:textId="389AAE21"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217C78D8" w14:textId="77777777" w:rsidTr="00860BDB">
        <w:tc>
          <w:tcPr>
            <w:tcW w:w="3510" w:type="dxa"/>
            <w:vMerge/>
            <w:shd w:val="clear" w:color="auto" w:fill="FFFFFF" w:themeFill="background1"/>
          </w:tcPr>
          <w:p w14:paraId="4D42FFEC"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1E60CEE3" w14:textId="77777777" w:rsidR="00CD5119" w:rsidRPr="00C055DB" w:rsidRDefault="00CD5119" w:rsidP="00CD5119">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936" w:type="dxa"/>
            <w:vAlign w:val="center"/>
          </w:tcPr>
          <w:p w14:paraId="02ED9F41" w14:textId="7AEDC501"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71032A58" w14:textId="0C1B0344"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2C625810" w14:textId="77777777" w:rsidTr="00860BDB">
        <w:tc>
          <w:tcPr>
            <w:tcW w:w="3510" w:type="dxa"/>
            <w:vMerge/>
            <w:shd w:val="clear" w:color="auto" w:fill="FFFFFF" w:themeFill="background1"/>
          </w:tcPr>
          <w:p w14:paraId="3F34BF39"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6598D5DB" w14:textId="77777777" w:rsidR="00CD5119" w:rsidRPr="00C055DB" w:rsidRDefault="00CD5119" w:rsidP="00CD5119">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936" w:type="dxa"/>
            <w:vAlign w:val="center"/>
          </w:tcPr>
          <w:p w14:paraId="33511ED5" w14:textId="6F206755"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4A1896E9" w14:textId="09A5AE7F"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3C79D6DB" w14:textId="77777777" w:rsidTr="00860BDB">
        <w:tc>
          <w:tcPr>
            <w:tcW w:w="3510" w:type="dxa"/>
            <w:vMerge/>
            <w:shd w:val="clear" w:color="auto" w:fill="FFFFFF" w:themeFill="background1"/>
          </w:tcPr>
          <w:p w14:paraId="53D93B79"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4FCB6CBE" w14:textId="77777777" w:rsidR="00CD5119" w:rsidRPr="00C055DB" w:rsidRDefault="00CD5119" w:rsidP="00CD5119">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936" w:type="dxa"/>
            <w:vAlign w:val="center"/>
          </w:tcPr>
          <w:p w14:paraId="4A17A26B" w14:textId="77777777"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07BEC435" w14:textId="61D38763"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0D706578" w14:textId="77777777" w:rsidTr="00860BDB">
        <w:tc>
          <w:tcPr>
            <w:tcW w:w="3510" w:type="dxa"/>
            <w:vMerge/>
            <w:shd w:val="clear" w:color="auto" w:fill="FFFFFF" w:themeFill="background1"/>
          </w:tcPr>
          <w:p w14:paraId="293472D7"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5C266F6E" w14:textId="77777777" w:rsidR="00CD5119" w:rsidRPr="00C055DB" w:rsidRDefault="00CD5119" w:rsidP="00CD5119">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936" w:type="dxa"/>
            <w:vAlign w:val="center"/>
          </w:tcPr>
          <w:p w14:paraId="498DBA2F" w14:textId="77777777"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5D2C7424" w14:textId="452A8908"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5B5AFF62" w14:textId="77777777" w:rsidTr="00860BDB">
        <w:tc>
          <w:tcPr>
            <w:tcW w:w="3510" w:type="dxa"/>
            <w:vMerge/>
            <w:shd w:val="clear" w:color="auto" w:fill="FFFFFF" w:themeFill="background1"/>
          </w:tcPr>
          <w:p w14:paraId="2BF15EA6"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65C8C6AB" w14:textId="77777777" w:rsidR="00CD5119" w:rsidRPr="00C055DB" w:rsidRDefault="00CD5119" w:rsidP="00CD5119">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936" w:type="dxa"/>
            <w:vAlign w:val="center"/>
          </w:tcPr>
          <w:p w14:paraId="627A6915" w14:textId="77777777"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0D1E381A" w14:textId="70968991" w:rsidR="00CD5119" w:rsidRPr="00EF0E8F" w:rsidRDefault="00CD5119" w:rsidP="00CD5119">
            <w:pPr>
              <w:tabs>
                <w:tab w:val="left" w:pos="360"/>
              </w:tabs>
              <w:jc w:val="center"/>
              <w:rPr>
                <w:sz w:val="18"/>
                <w:szCs w:val="18"/>
              </w:rPr>
            </w:pPr>
            <w:r w:rsidRPr="00B407CD">
              <w:rPr>
                <w:sz w:val="18"/>
                <w:szCs w:val="18"/>
              </w:rPr>
              <w:t xml:space="preserve">No risks identified </w:t>
            </w:r>
          </w:p>
        </w:tc>
      </w:tr>
      <w:tr w:rsidR="00CD5119" w:rsidRPr="00EF0E8F" w14:paraId="7AFAC06E" w14:textId="77777777" w:rsidTr="00860BDB">
        <w:tc>
          <w:tcPr>
            <w:tcW w:w="3510" w:type="dxa"/>
            <w:vMerge/>
            <w:shd w:val="clear" w:color="auto" w:fill="FFFFFF" w:themeFill="background1"/>
          </w:tcPr>
          <w:p w14:paraId="4D042672" w14:textId="77777777" w:rsidR="00CD5119" w:rsidRDefault="00CD5119" w:rsidP="00CD5119">
            <w:pPr>
              <w:tabs>
                <w:tab w:val="left" w:pos="270"/>
              </w:tabs>
              <w:ind w:left="270" w:hanging="270"/>
              <w:rPr>
                <w:sz w:val="18"/>
                <w:szCs w:val="18"/>
              </w:rPr>
            </w:pPr>
          </w:p>
        </w:tc>
        <w:tc>
          <w:tcPr>
            <w:tcW w:w="4343" w:type="dxa"/>
            <w:gridSpan w:val="3"/>
            <w:shd w:val="clear" w:color="auto" w:fill="auto"/>
          </w:tcPr>
          <w:p w14:paraId="3343C712" w14:textId="77777777" w:rsidR="00CD5119" w:rsidRPr="00C055DB" w:rsidRDefault="00CD5119" w:rsidP="00CD5119">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936" w:type="dxa"/>
            <w:vAlign w:val="center"/>
          </w:tcPr>
          <w:p w14:paraId="4A38C758" w14:textId="0EDE8C16" w:rsidR="00CD5119" w:rsidRPr="00EF0E8F" w:rsidRDefault="00CD5119" w:rsidP="00CD5119">
            <w:pPr>
              <w:tabs>
                <w:tab w:val="left" w:pos="360"/>
              </w:tabs>
              <w:rPr>
                <w:sz w:val="18"/>
                <w:szCs w:val="18"/>
              </w:rPr>
            </w:pPr>
            <w:r w:rsidRPr="00372083">
              <w:rPr>
                <w:rFonts w:ascii="Segoe UI Symbol" w:hAnsi="Segoe UI Symbol" w:cs="Segoe UI Symbol"/>
                <w:b/>
                <w:szCs w:val="20"/>
              </w:rPr>
              <w:t>☐</w:t>
            </w:r>
          </w:p>
        </w:tc>
        <w:tc>
          <w:tcPr>
            <w:tcW w:w="4351" w:type="dxa"/>
          </w:tcPr>
          <w:p w14:paraId="7F445195" w14:textId="5C26AA48" w:rsidR="00CD5119" w:rsidRPr="00EF0E8F" w:rsidRDefault="00CD5119" w:rsidP="00CD5119">
            <w:pPr>
              <w:tabs>
                <w:tab w:val="left" w:pos="360"/>
              </w:tabs>
              <w:jc w:val="center"/>
              <w:rPr>
                <w:sz w:val="18"/>
                <w:szCs w:val="18"/>
              </w:rPr>
            </w:pPr>
            <w:r w:rsidRPr="00B407CD">
              <w:rPr>
                <w:sz w:val="18"/>
                <w:szCs w:val="18"/>
              </w:rPr>
              <w:t xml:space="preserve">No risks identified </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41402787" w14:textId="77777777" w:rsidR="00F84586" w:rsidRDefault="00F84586" w:rsidP="00DD330A">
            <w:pPr>
              <w:tabs>
                <w:tab w:val="left" w:pos="360"/>
                <w:tab w:val="left" w:pos="4320"/>
              </w:tabs>
              <w:rPr>
                <w:szCs w:val="20"/>
              </w:rPr>
            </w:pPr>
            <w:r w:rsidRPr="00BD03F6">
              <w:rPr>
                <w:szCs w:val="20"/>
              </w:rPr>
              <w:t>QA Assessor</w:t>
            </w:r>
          </w:p>
          <w:p w14:paraId="0CD17856" w14:textId="77777777" w:rsidR="00C61DB9" w:rsidRDefault="00C61DB9" w:rsidP="00DD330A">
            <w:pPr>
              <w:tabs>
                <w:tab w:val="left" w:pos="360"/>
                <w:tab w:val="left" w:pos="4320"/>
              </w:tabs>
              <w:rPr>
                <w:szCs w:val="20"/>
              </w:rPr>
            </w:pPr>
          </w:p>
          <w:p w14:paraId="514054B9" w14:textId="502686D1" w:rsidR="00C61DB9" w:rsidRPr="00BD03F6" w:rsidRDefault="00C61DB9" w:rsidP="00DD330A">
            <w:pPr>
              <w:tabs>
                <w:tab w:val="left" w:pos="360"/>
                <w:tab w:val="left" w:pos="4320"/>
              </w:tabs>
              <w:rPr>
                <w:szCs w:val="20"/>
              </w:rPr>
            </w:pP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7F13719C" w:rsidR="008F36AD" w:rsidRPr="002E0918" w:rsidRDefault="00B103E8"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33FACED5" w:rsidR="00F07AAC" w:rsidRPr="002E0918" w:rsidRDefault="00541600" w:rsidP="00D0789F">
            <w:pPr>
              <w:tabs>
                <w:tab w:val="left" w:pos="810"/>
              </w:tabs>
              <w:rPr>
                <w:sz w:val="18"/>
                <w:szCs w:val="18"/>
              </w:rPr>
            </w:pPr>
            <w:r>
              <w:rPr>
                <w:sz w:val="18"/>
                <w:szCs w:val="18"/>
              </w:rPr>
              <w:t>No</w:t>
            </w:r>
          </w:p>
        </w:tc>
      </w:tr>
      <w:tr w:rsidR="00541600" w:rsidRPr="002E0918" w14:paraId="5C839242" w14:textId="77777777" w:rsidTr="00E603E0">
        <w:tc>
          <w:tcPr>
            <w:tcW w:w="8635" w:type="dxa"/>
            <w:tcBorders>
              <w:bottom w:val="single" w:sz="4" w:space="0" w:color="auto"/>
            </w:tcBorders>
            <w:shd w:val="clear" w:color="auto" w:fill="auto"/>
          </w:tcPr>
          <w:p w14:paraId="465B0B96" w14:textId="77777777" w:rsidR="00541600" w:rsidRPr="002E0918" w:rsidRDefault="00541600" w:rsidP="00541600">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26DB5AFD" w:rsidR="00541600" w:rsidRPr="002E0918" w:rsidRDefault="00541600" w:rsidP="00541600">
            <w:pPr>
              <w:tabs>
                <w:tab w:val="left" w:pos="810"/>
              </w:tabs>
              <w:rPr>
                <w:sz w:val="18"/>
                <w:szCs w:val="18"/>
              </w:rPr>
            </w:pPr>
            <w:r w:rsidRPr="00CE4437">
              <w:rPr>
                <w:sz w:val="18"/>
                <w:szCs w:val="18"/>
              </w:rPr>
              <w:t>No</w:t>
            </w:r>
          </w:p>
        </w:tc>
      </w:tr>
      <w:tr w:rsidR="00541600" w:rsidRPr="002E0918" w14:paraId="651CC62C" w14:textId="77777777" w:rsidTr="00E603E0">
        <w:tc>
          <w:tcPr>
            <w:tcW w:w="8635" w:type="dxa"/>
            <w:tcBorders>
              <w:bottom w:val="single" w:sz="4" w:space="0" w:color="auto"/>
            </w:tcBorders>
            <w:shd w:val="clear" w:color="auto" w:fill="auto"/>
          </w:tcPr>
          <w:p w14:paraId="3E8EE7E3" w14:textId="77777777" w:rsidR="00541600" w:rsidRPr="002E0918" w:rsidRDefault="00541600" w:rsidP="00541600">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483E735A" w:rsidR="00541600" w:rsidRPr="002E0918" w:rsidRDefault="00541600" w:rsidP="00541600">
            <w:pPr>
              <w:tabs>
                <w:tab w:val="left" w:pos="810"/>
              </w:tabs>
              <w:rPr>
                <w:sz w:val="18"/>
                <w:szCs w:val="18"/>
              </w:rPr>
            </w:pPr>
            <w:r w:rsidRPr="00CE4437">
              <w:rPr>
                <w:sz w:val="18"/>
                <w:szCs w:val="18"/>
              </w:rPr>
              <w:t>No</w:t>
            </w:r>
          </w:p>
        </w:tc>
      </w:tr>
      <w:tr w:rsidR="00541600" w:rsidRPr="002E0918" w14:paraId="4067F856" w14:textId="77777777" w:rsidTr="00E603E0">
        <w:tc>
          <w:tcPr>
            <w:tcW w:w="8635" w:type="dxa"/>
            <w:tcBorders>
              <w:bottom w:val="single" w:sz="4" w:space="0" w:color="auto"/>
            </w:tcBorders>
            <w:shd w:val="clear" w:color="auto" w:fill="auto"/>
          </w:tcPr>
          <w:p w14:paraId="6C649DC3" w14:textId="42B56D32" w:rsidR="00541600" w:rsidDel="00074D34" w:rsidRDefault="00541600" w:rsidP="00541600">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1EDC1C90" w:rsidR="00541600" w:rsidRPr="002E0918" w:rsidRDefault="00541600" w:rsidP="00541600">
            <w:pPr>
              <w:tabs>
                <w:tab w:val="left" w:pos="810"/>
              </w:tabs>
              <w:rPr>
                <w:sz w:val="18"/>
                <w:szCs w:val="18"/>
              </w:rPr>
            </w:pPr>
            <w:r w:rsidRPr="00CE4437">
              <w:rPr>
                <w:sz w:val="18"/>
                <w:szCs w:val="18"/>
              </w:rPr>
              <w:t>No</w:t>
            </w:r>
          </w:p>
        </w:tc>
      </w:tr>
      <w:tr w:rsidR="00541600" w:rsidRPr="002E0918" w14:paraId="1C7C8564" w14:textId="77777777" w:rsidTr="00E603E0">
        <w:tc>
          <w:tcPr>
            <w:tcW w:w="8635" w:type="dxa"/>
            <w:tcBorders>
              <w:bottom w:val="single" w:sz="4" w:space="0" w:color="auto"/>
            </w:tcBorders>
            <w:shd w:val="clear" w:color="auto" w:fill="auto"/>
          </w:tcPr>
          <w:p w14:paraId="6FAED946" w14:textId="1AEB2ADB" w:rsidR="00541600" w:rsidRDefault="00541600" w:rsidP="00541600">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D40841F" w:rsidR="00541600" w:rsidRPr="002E0918" w:rsidRDefault="00541600" w:rsidP="00541600">
            <w:pPr>
              <w:tabs>
                <w:tab w:val="left" w:pos="810"/>
              </w:tabs>
              <w:rPr>
                <w:sz w:val="18"/>
                <w:szCs w:val="18"/>
              </w:rPr>
            </w:pPr>
            <w:r w:rsidRPr="00CE4437">
              <w:rPr>
                <w:sz w:val="18"/>
                <w:szCs w:val="18"/>
              </w:rPr>
              <w:t>No</w:t>
            </w:r>
          </w:p>
        </w:tc>
      </w:tr>
      <w:tr w:rsidR="00541600" w:rsidRPr="002E0918" w14:paraId="2CEFE8B0" w14:textId="77777777" w:rsidTr="00E603E0">
        <w:tc>
          <w:tcPr>
            <w:tcW w:w="8635" w:type="dxa"/>
            <w:tcBorders>
              <w:bottom w:val="single" w:sz="4" w:space="0" w:color="auto"/>
            </w:tcBorders>
            <w:shd w:val="clear" w:color="auto" w:fill="auto"/>
          </w:tcPr>
          <w:p w14:paraId="7016181B" w14:textId="57B59F7E" w:rsidR="00541600" w:rsidRDefault="00541600" w:rsidP="00541600">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2F1981DD" w:rsidR="00541600" w:rsidRPr="002E0918" w:rsidRDefault="00541600" w:rsidP="00541600">
            <w:pPr>
              <w:tabs>
                <w:tab w:val="left" w:pos="810"/>
              </w:tabs>
              <w:rPr>
                <w:sz w:val="18"/>
                <w:szCs w:val="18"/>
              </w:rPr>
            </w:pPr>
            <w:r w:rsidRPr="00CE4437">
              <w:rPr>
                <w:sz w:val="18"/>
                <w:szCs w:val="18"/>
              </w:rPr>
              <w:t>No</w:t>
            </w:r>
          </w:p>
        </w:tc>
      </w:tr>
      <w:tr w:rsidR="00541600" w:rsidRPr="002E0918" w14:paraId="1BDD93D3" w14:textId="77777777" w:rsidTr="00E603E0">
        <w:tc>
          <w:tcPr>
            <w:tcW w:w="8635" w:type="dxa"/>
            <w:tcBorders>
              <w:bottom w:val="single" w:sz="4" w:space="0" w:color="auto"/>
            </w:tcBorders>
            <w:shd w:val="clear" w:color="auto" w:fill="auto"/>
          </w:tcPr>
          <w:p w14:paraId="0ABE7E8F" w14:textId="44CE0C24" w:rsidR="00541600" w:rsidRDefault="00541600" w:rsidP="00541600">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0097C4A5" w:rsidR="00541600" w:rsidRPr="002E0918" w:rsidRDefault="00541600" w:rsidP="00541600">
            <w:pPr>
              <w:tabs>
                <w:tab w:val="left" w:pos="810"/>
              </w:tabs>
              <w:rPr>
                <w:sz w:val="18"/>
                <w:szCs w:val="18"/>
              </w:rPr>
            </w:pPr>
            <w:r w:rsidRPr="00CE4437">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8210D8" w:rsidRPr="002E0918" w14:paraId="0CEEB146" w14:textId="77777777" w:rsidTr="00E603E0">
        <w:tc>
          <w:tcPr>
            <w:tcW w:w="8635" w:type="dxa"/>
            <w:tcBorders>
              <w:bottom w:val="single" w:sz="4" w:space="0" w:color="auto"/>
            </w:tcBorders>
            <w:shd w:val="clear" w:color="auto" w:fill="auto"/>
          </w:tcPr>
          <w:p w14:paraId="55C61E09" w14:textId="77777777" w:rsidR="008210D8" w:rsidRPr="00423014" w:rsidRDefault="008210D8" w:rsidP="008210D8">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795403D3" w:rsidR="008210D8" w:rsidRPr="002E0918" w:rsidRDefault="008210D8" w:rsidP="008210D8">
            <w:pPr>
              <w:tabs>
                <w:tab w:val="left" w:pos="810"/>
              </w:tabs>
              <w:rPr>
                <w:sz w:val="18"/>
                <w:szCs w:val="18"/>
              </w:rPr>
            </w:pPr>
            <w:r w:rsidRPr="000E3F63">
              <w:rPr>
                <w:sz w:val="18"/>
                <w:szCs w:val="18"/>
              </w:rPr>
              <w:t>No</w:t>
            </w:r>
          </w:p>
        </w:tc>
      </w:tr>
      <w:tr w:rsidR="008210D8" w:rsidRPr="002E0918" w14:paraId="35AF8179" w14:textId="77777777" w:rsidTr="00E603E0">
        <w:tc>
          <w:tcPr>
            <w:tcW w:w="8635" w:type="dxa"/>
            <w:tcBorders>
              <w:bottom w:val="single" w:sz="4" w:space="0" w:color="auto"/>
            </w:tcBorders>
            <w:shd w:val="clear" w:color="auto" w:fill="auto"/>
          </w:tcPr>
          <w:p w14:paraId="3C138267" w14:textId="77777777" w:rsidR="008210D8" w:rsidRPr="00F069F1" w:rsidRDefault="008210D8" w:rsidP="008210D8">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7239E1B" w:rsidR="008210D8" w:rsidRPr="002E0918" w:rsidRDefault="008210D8" w:rsidP="008210D8">
            <w:pPr>
              <w:tabs>
                <w:tab w:val="left" w:pos="810"/>
              </w:tabs>
              <w:rPr>
                <w:sz w:val="18"/>
                <w:szCs w:val="18"/>
              </w:rPr>
            </w:pPr>
            <w:r w:rsidRPr="000E3F63">
              <w:rPr>
                <w:sz w:val="18"/>
                <w:szCs w:val="18"/>
              </w:rPr>
              <w:t>No</w:t>
            </w:r>
          </w:p>
        </w:tc>
      </w:tr>
      <w:tr w:rsidR="008210D8" w:rsidRPr="002E0918" w14:paraId="3F85932C" w14:textId="77777777" w:rsidTr="00E603E0">
        <w:tc>
          <w:tcPr>
            <w:tcW w:w="8635" w:type="dxa"/>
            <w:tcBorders>
              <w:bottom w:val="single" w:sz="4" w:space="0" w:color="auto"/>
            </w:tcBorders>
            <w:shd w:val="clear" w:color="auto" w:fill="auto"/>
          </w:tcPr>
          <w:p w14:paraId="2906BD4D" w14:textId="77777777" w:rsidR="008210D8" w:rsidRDefault="008210D8" w:rsidP="008210D8">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1C752D61" w:rsidR="008210D8" w:rsidRPr="002E0918" w:rsidRDefault="008210D8" w:rsidP="008210D8">
            <w:pPr>
              <w:tabs>
                <w:tab w:val="left" w:pos="810"/>
              </w:tabs>
              <w:rPr>
                <w:sz w:val="18"/>
                <w:szCs w:val="18"/>
              </w:rPr>
            </w:pPr>
            <w:r w:rsidRPr="000E3F63">
              <w:rPr>
                <w:sz w:val="18"/>
                <w:szCs w:val="18"/>
              </w:rPr>
              <w:t>No</w:t>
            </w:r>
          </w:p>
        </w:tc>
      </w:tr>
      <w:tr w:rsidR="008210D8" w:rsidRPr="002E0918" w14:paraId="3B518EFE" w14:textId="77777777" w:rsidTr="00E603E0">
        <w:tc>
          <w:tcPr>
            <w:tcW w:w="8635" w:type="dxa"/>
            <w:tcBorders>
              <w:bottom w:val="single" w:sz="4" w:space="0" w:color="auto"/>
            </w:tcBorders>
            <w:shd w:val="clear" w:color="auto" w:fill="auto"/>
          </w:tcPr>
          <w:p w14:paraId="026BDD2D" w14:textId="356130F0" w:rsidR="008210D8" w:rsidRDefault="008210D8" w:rsidP="008210D8">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7F10B7D3" w14:textId="77777777" w:rsidR="008210D8" w:rsidRPr="003843AE" w:rsidRDefault="008210D8" w:rsidP="008210D8">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565AA539" w:rsidR="008210D8" w:rsidRPr="002E0918" w:rsidRDefault="008210D8" w:rsidP="008210D8">
            <w:pPr>
              <w:tabs>
                <w:tab w:val="left" w:pos="810"/>
              </w:tabs>
              <w:rPr>
                <w:sz w:val="18"/>
                <w:szCs w:val="18"/>
              </w:rPr>
            </w:pPr>
            <w:r w:rsidRPr="000E3F63">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8210D8" w:rsidRPr="00310835" w14:paraId="20E935CD" w14:textId="77777777" w:rsidTr="00E603E0">
        <w:tc>
          <w:tcPr>
            <w:tcW w:w="8635" w:type="dxa"/>
            <w:shd w:val="clear" w:color="auto" w:fill="auto"/>
          </w:tcPr>
          <w:p w14:paraId="336626D0"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70EBCB75" w14:textId="2EA857DA" w:rsidR="008210D8" w:rsidRPr="00310835" w:rsidRDefault="008210D8" w:rsidP="008210D8">
            <w:pPr>
              <w:rPr>
                <w:rFonts w:eastAsia="Times New Roman"/>
                <w:sz w:val="18"/>
                <w:szCs w:val="18"/>
              </w:rPr>
            </w:pPr>
            <w:r w:rsidRPr="0056451B">
              <w:rPr>
                <w:sz w:val="18"/>
                <w:szCs w:val="18"/>
              </w:rPr>
              <w:t>No</w:t>
            </w:r>
          </w:p>
        </w:tc>
      </w:tr>
      <w:tr w:rsidR="008210D8" w:rsidRPr="00310835" w14:paraId="3CB129AD" w14:textId="77777777" w:rsidTr="00E603E0">
        <w:tc>
          <w:tcPr>
            <w:tcW w:w="8635" w:type="dxa"/>
            <w:tcBorders>
              <w:bottom w:val="single" w:sz="4" w:space="0" w:color="auto"/>
            </w:tcBorders>
            <w:shd w:val="clear" w:color="auto" w:fill="auto"/>
          </w:tcPr>
          <w:p w14:paraId="2DC1BB56" w14:textId="77777777" w:rsidR="008210D8" w:rsidRPr="00310835" w:rsidRDefault="008210D8" w:rsidP="008210D8">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0B3F207D" w:rsidR="008210D8" w:rsidRPr="00310835" w:rsidRDefault="008210D8" w:rsidP="008210D8">
            <w:pPr>
              <w:rPr>
                <w:rFonts w:eastAsia="Times New Roman"/>
                <w:sz w:val="18"/>
                <w:szCs w:val="18"/>
              </w:rPr>
            </w:pPr>
            <w:r w:rsidRPr="0056451B">
              <w:rPr>
                <w:sz w:val="18"/>
                <w:szCs w:val="18"/>
              </w:rPr>
              <w:t>No</w:t>
            </w:r>
          </w:p>
        </w:tc>
      </w:tr>
      <w:tr w:rsidR="008210D8" w:rsidRPr="00310835" w14:paraId="6FCE1DE5" w14:textId="77777777" w:rsidTr="00E603E0">
        <w:tc>
          <w:tcPr>
            <w:tcW w:w="8635" w:type="dxa"/>
            <w:tcBorders>
              <w:bottom w:val="single" w:sz="4" w:space="0" w:color="auto"/>
            </w:tcBorders>
            <w:shd w:val="clear" w:color="auto" w:fill="auto"/>
          </w:tcPr>
          <w:p w14:paraId="73989B59"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FCE0A2B" w:rsidR="008210D8" w:rsidRPr="00310835" w:rsidRDefault="008210D8" w:rsidP="008210D8">
            <w:pPr>
              <w:rPr>
                <w:rFonts w:eastAsia="Times New Roman"/>
                <w:sz w:val="18"/>
                <w:szCs w:val="18"/>
              </w:rPr>
            </w:pPr>
            <w:r w:rsidRPr="0056451B">
              <w:rPr>
                <w:sz w:val="18"/>
                <w:szCs w:val="18"/>
              </w:rPr>
              <w:t>No</w:t>
            </w:r>
          </w:p>
        </w:tc>
      </w:tr>
      <w:tr w:rsidR="008210D8" w:rsidRPr="00310835" w14:paraId="3A58ED14" w14:textId="77777777" w:rsidTr="00E603E0">
        <w:tc>
          <w:tcPr>
            <w:tcW w:w="8635" w:type="dxa"/>
            <w:tcBorders>
              <w:bottom w:val="single" w:sz="4" w:space="0" w:color="auto"/>
            </w:tcBorders>
            <w:shd w:val="clear" w:color="auto" w:fill="auto"/>
          </w:tcPr>
          <w:p w14:paraId="515DC9D5" w14:textId="77777777" w:rsidR="008210D8" w:rsidRPr="00310835" w:rsidRDefault="008210D8" w:rsidP="008210D8">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6E68D448" w:rsidR="008210D8" w:rsidRPr="00310835" w:rsidRDefault="008210D8" w:rsidP="008210D8">
            <w:pPr>
              <w:rPr>
                <w:rFonts w:eastAsia="Times New Roman"/>
                <w:sz w:val="18"/>
                <w:szCs w:val="18"/>
              </w:rPr>
            </w:pPr>
            <w:r w:rsidRPr="0056451B">
              <w:rPr>
                <w:sz w:val="18"/>
                <w:szCs w:val="18"/>
              </w:rPr>
              <w:t>No</w:t>
            </w:r>
          </w:p>
        </w:tc>
      </w:tr>
      <w:tr w:rsidR="008210D8" w:rsidRPr="00310835" w14:paraId="40413CED" w14:textId="77777777" w:rsidTr="00E603E0">
        <w:tc>
          <w:tcPr>
            <w:tcW w:w="8635" w:type="dxa"/>
            <w:tcBorders>
              <w:bottom w:val="single" w:sz="4" w:space="0" w:color="auto"/>
            </w:tcBorders>
            <w:shd w:val="clear" w:color="auto" w:fill="auto"/>
          </w:tcPr>
          <w:p w14:paraId="008BFE8C"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46A4C4FE" w:rsidR="008210D8" w:rsidRPr="00310835" w:rsidRDefault="008210D8" w:rsidP="008210D8">
            <w:pPr>
              <w:rPr>
                <w:rFonts w:eastAsia="Times New Roman"/>
                <w:sz w:val="18"/>
                <w:szCs w:val="18"/>
              </w:rPr>
            </w:pPr>
            <w:r w:rsidRPr="0056451B">
              <w:rPr>
                <w:sz w:val="18"/>
                <w:szCs w:val="18"/>
              </w:rPr>
              <w:t>No</w:t>
            </w:r>
          </w:p>
        </w:tc>
      </w:tr>
      <w:tr w:rsidR="008210D8" w:rsidRPr="00310835" w14:paraId="1F975CC1" w14:textId="77777777" w:rsidTr="00E603E0">
        <w:tc>
          <w:tcPr>
            <w:tcW w:w="8635" w:type="dxa"/>
            <w:tcBorders>
              <w:bottom w:val="single" w:sz="4" w:space="0" w:color="auto"/>
            </w:tcBorders>
            <w:shd w:val="clear" w:color="auto" w:fill="auto"/>
          </w:tcPr>
          <w:p w14:paraId="21CB1B4A"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3A262169" w:rsidR="008210D8" w:rsidRPr="00310835" w:rsidRDefault="008210D8" w:rsidP="008210D8">
            <w:pPr>
              <w:rPr>
                <w:rFonts w:eastAsia="Times New Roman"/>
                <w:sz w:val="18"/>
                <w:szCs w:val="18"/>
              </w:rPr>
            </w:pPr>
            <w:r w:rsidRPr="0056451B">
              <w:rPr>
                <w:sz w:val="18"/>
                <w:szCs w:val="18"/>
              </w:rPr>
              <w:t>No</w:t>
            </w:r>
          </w:p>
        </w:tc>
      </w:tr>
      <w:tr w:rsidR="008210D8" w:rsidRPr="00310835" w14:paraId="7CF5844C" w14:textId="77777777" w:rsidTr="00E603E0">
        <w:tc>
          <w:tcPr>
            <w:tcW w:w="8635" w:type="dxa"/>
            <w:tcBorders>
              <w:bottom w:val="single" w:sz="4" w:space="0" w:color="auto"/>
            </w:tcBorders>
            <w:shd w:val="clear" w:color="auto" w:fill="auto"/>
          </w:tcPr>
          <w:p w14:paraId="0CCE18B4"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63DC8A84" w:rsidR="008210D8" w:rsidRPr="00310835" w:rsidRDefault="008210D8" w:rsidP="008210D8">
            <w:pPr>
              <w:rPr>
                <w:rFonts w:eastAsia="Times New Roman"/>
                <w:sz w:val="18"/>
                <w:szCs w:val="18"/>
              </w:rPr>
            </w:pPr>
            <w:r w:rsidRPr="0056451B">
              <w:rPr>
                <w:sz w:val="18"/>
                <w:szCs w:val="18"/>
              </w:rPr>
              <w:t>No</w:t>
            </w:r>
          </w:p>
        </w:tc>
      </w:tr>
      <w:tr w:rsidR="008210D8" w:rsidRPr="00310835" w14:paraId="40487EC9" w14:textId="77777777" w:rsidTr="00E603E0">
        <w:tc>
          <w:tcPr>
            <w:tcW w:w="8635" w:type="dxa"/>
            <w:tcBorders>
              <w:bottom w:val="single" w:sz="4" w:space="0" w:color="auto"/>
            </w:tcBorders>
            <w:shd w:val="clear" w:color="auto" w:fill="auto"/>
          </w:tcPr>
          <w:p w14:paraId="71E14108" w14:textId="77777777" w:rsidR="008210D8"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8210D8" w:rsidRPr="003843AE" w:rsidRDefault="008210D8" w:rsidP="008210D8">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EBACDD6" w:rsidR="008210D8" w:rsidRPr="00310835" w:rsidRDefault="008210D8" w:rsidP="008210D8">
            <w:pPr>
              <w:rPr>
                <w:rFonts w:eastAsia="Times New Roman"/>
                <w:sz w:val="18"/>
                <w:szCs w:val="18"/>
              </w:rPr>
            </w:pPr>
            <w:r w:rsidRPr="0056451B">
              <w:rPr>
                <w:sz w:val="18"/>
                <w:szCs w:val="18"/>
              </w:rPr>
              <w:t>No</w:t>
            </w:r>
          </w:p>
        </w:tc>
      </w:tr>
      <w:tr w:rsidR="008210D8" w:rsidRPr="00310835" w14:paraId="67A086E0" w14:textId="77777777" w:rsidTr="00E603E0">
        <w:tc>
          <w:tcPr>
            <w:tcW w:w="8635" w:type="dxa"/>
            <w:tcBorders>
              <w:bottom w:val="single" w:sz="4" w:space="0" w:color="auto"/>
            </w:tcBorders>
            <w:shd w:val="clear" w:color="auto" w:fill="auto"/>
          </w:tcPr>
          <w:p w14:paraId="3834A96E" w14:textId="77777777" w:rsidR="008210D8" w:rsidRPr="00310835" w:rsidRDefault="008210D8" w:rsidP="008210D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7F774316" w:rsidR="008210D8" w:rsidRPr="00310835" w:rsidRDefault="008210D8" w:rsidP="008210D8">
            <w:pPr>
              <w:tabs>
                <w:tab w:val="left" w:pos="585"/>
              </w:tabs>
              <w:spacing w:before="60" w:after="60"/>
              <w:ind w:left="567" w:hanging="567"/>
              <w:rPr>
                <w:rFonts w:eastAsia="Times New Roman"/>
                <w:sz w:val="18"/>
                <w:szCs w:val="18"/>
              </w:rPr>
            </w:pPr>
            <w:r w:rsidRPr="0056451B">
              <w:rPr>
                <w:sz w:val="18"/>
                <w:szCs w:val="18"/>
              </w:rPr>
              <w:t>No</w:t>
            </w:r>
          </w:p>
        </w:tc>
      </w:tr>
      <w:tr w:rsidR="008210D8" w:rsidRPr="00310835" w14:paraId="55A3776F" w14:textId="77777777" w:rsidTr="00E603E0">
        <w:tc>
          <w:tcPr>
            <w:tcW w:w="8635" w:type="dxa"/>
            <w:tcBorders>
              <w:bottom w:val="single" w:sz="4" w:space="0" w:color="auto"/>
            </w:tcBorders>
            <w:shd w:val="clear" w:color="auto" w:fill="auto"/>
          </w:tcPr>
          <w:p w14:paraId="14633BE9" w14:textId="77777777" w:rsidR="008210D8" w:rsidRPr="00310835" w:rsidRDefault="008210D8" w:rsidP="008210D8">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D55939D" w:rsidR="008210D8" w:rsidRPr="00310835" w:rsidRDefault="008210D8" w:rsidP="008210D8">
            <w:pPr>
              <w:tabs>
                <w:tab w:val="left" w:pos="585"/>
              </w:tabs>
              <w:spacing w:before="60" w:after="60"/>
              <w:ind w:left="567" w:hanging="567"/>
              <w:rPr>
                <w:rFonts w:eastAsia="Times New Roman"/>
                <w:sz w:val="18"/>
                <w:szCs w:val="18"/>
              </w:rPr>
            </w:pPr>
            <w:r w:rsidRPr="0056451B">
              <w:rPr>
                <w:sz w:val="18"/>
                <w:szCs w:val="18"/>
              </w:rPr>
              <w:t>No</w:t>
            </w:r>
          </w:p>
        </w:tc>
      </w:tr>
      <w:tr w:rsidR="008210D8" w:rsidRPr="00310835" w14:paraId="361D75DF" w14:textId="77777777" w:rsidTr="00E603E0">
        <w:tc>
          <w:tcPr>
            <w:tcW w:w="8635" w:type="dxa"/>
            <w:tcBorders>
              <w:bottom w:val="single" w:sz="4" w:space="0" w:color="auto"/>
            </w:tcBorders>
            <w:shd w:val="clear" w:color="auto" w:fill="auto"/>
          </w:tcPr>
          <w:p w14:paraId="7B29BF8D" w14:textId="77777777" w:rsidR="008210D8" w:rsidRDefault="008210D8" w:rsidP="008210D8">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8210D8" w:rsidRPr="003843AE" w:rsidRDefault="008210D8" w:rsidP="008210D8">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770CA1CF" w:rsidR="008210D8" w:rsidRPr="00310835" w:rsidRDefault="008210D8" w:rsidP="008210D8">
            <w:pPr>
              <w:tabs>
                <w:tab w:val="left" w:pos="585"/>
              </w:tabs>
              <w:spacing w:before="60" w:after="60"/>
              <w:ind w:left="567" w:hanging="567"/>
              <w:rPr>
                <w:rFonts w:eastAsia="Times New Roman"/>
                <w:sz w:val="18"/>
                <w:szCs w:val="18"/>
              </w:rPr>
            </w:pPr>
            <w:r w:rsidRPr="0056451B">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8210D8" w:rsidRPr="00310835" w14:paraId="74D48346" w14:textId="77777777" w:rsidTr="00E603E0">
        <w:tc>
          <w:tcPr>
            <w:tcW w:w="8635" w:type="dxa"/>
            <w:tcBorders>
              <w:bottom w:val="single" w:sz="4" w:space="0" w:color="auto"/>
            </w:tcBorders>
            <w:shd w:val="clear" w:color="auto" w:fill="auto"/>
          </w:tcPr>
          <w:p w14:paraId="0A8A570E"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23250840" w:rsidR="008210D8" w:rsidRPr="00310835" w:rsidRDefault="008210D8" w:rsidP="008210D8">
            <w:pPr>
              <w:tabs>
                <w:tab w:val="left" w:pos="585"/>
              </w:tabs>
              <w:spacing w:before="60" w:after="60"/>
              <w:ind w:left="567" w:hanging="567"/>
              <w:rPr>
                <w:rFonts w:eastAsia="Times New Roman"/>
                <w:sz w:val="18"/>
                <w:szCs w:val="18"/>
              </w:rPr>
            </w:pPr>
            <w:r w:rsidRPr="00B5362A">
              <w:rPr>
                <w:sz w:val="18"/>
                <w:szCs w:val="18"/>
              </w:rPr>
              <w:t>No</w:t>
            </w:r>
          </w:p>
        </w:tc>
      </w:tr>
      <w:tr w:rsidR="008210D8" w:rsidRPr="00310835" w14:paraId="4049D83F" w14:textId="77777777" w:rsidTr="00E603E0">
        <w:tc>
          <w:tcPr>
            <w:tcW w:w="8635" w:type="dxa"/>
            <w:tcBorders>
              <w:bottom w:val="single" w:sz="4" w:space="0" w:color="auto"/>
            </w:tcBorders>
            <w:shd w:val="clear" w:color="auto" w:fill="auto"/>
          </w:tcPr>
          <w:p w14:paraId="17BD0559" w14:textId="77777777" w:rsidR="008210D8" w:rsidRPr="008E7703" w:rsidRDefault="008210D8" w:rsidP="008210D8">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5EBA4DC6" w:rsidR="008210D8" w:rsidRPr="00310835" w:rsidRDefault="008210D8" w:rsidP="008210D8">
            <w:pPr>
              <w:tabs>
                <w:tab w:val="left" w:pos="585"/>
              </w:tabs>
              <w:spacing w:before="60" w:after="60"/>
              <w:ind w:left="567" w:hanging="567"/>
              <w:rPr>
                <w:rFonts w:eastAsia="Times New Roman"/>
                <w:sz w:val="18"/>
                <w:szCs w:val="18"/>
              </w:rPr>
            </w:pPr>
            <w:r w:rsidRPr="00B5362A">
              <w:rPr>
                <w:sz w:val="18"/>
                <w:szCs w:val="18"/>
              </w:rPr>
              <w:t>No</w:t>
            </w:r>
          </w:p>
        </w:tc>
      </w:tr>
      <w:tr w:rsidR="008210D8" w:rsidRPr="00310835" w14:paraId="2214CF77" w14:textId="77777777" w:rsidTr="00E603E0">
        <w:tc>
          <w:tcPr>
            <w:tcW w:w="8635" w:type="dxa"/>
            <w:tcBorders>
              <w:bottom w:val="single" w:sz="4" w:space="0" w:color="auto"/>
            </w:tcBorders>
            <w:shd w:val="clear" w:color="auto" w:fill="auto"/>
          </w:tcPr>
          <w:p w14:paraId="6BF9B34A" w14:textId="77777777" w:rsidR="008210D8"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8210D8" w:rsidRPr="00310835" w:rsidRDefault="008210D8" w:rsidP="008210D8">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C468C8F" w:rsidR="008210D8" w:rsidRPr="00310835" w:rsidRDefault="008210D8" w:rsidP="008210D8">
            <w:pPr>
              <w:tabs>
                <w:tab w:val="left" w:pos="585"/>
              </w:tabs>
              <w:spacing w:before="60" w:after="60"/>
              <w:ind w:left="567" w:hanging="567"/>
              <w:rPr>
                <w:rFonts w:eastAsia="Times New Roman"/>
                <w:sz w:val="18"/>
                <w:szCs w:val="18"/>
              </w:rPr>
            </w:pPr>
            <w:r w:rsidRPr="00B5362A">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8210D8" w:rsidRPr="00310835" w14:paraId="2B560F4E" w14:textId="77777777" w:rsidTr="00E603E0">
        <w:tc>
          <w:tcPr>
            <w:tcW w:w="8635" w:type="dxa"/>
            <w:tcBorders>
              <w:bottom w:val="single" w:sz="4" w:space="0" w:color="auto"/>
            </w:tcBorders>
            <w:shd w:val="clear" w:color="auto" w:fill="auto"/>
          </w:tcPr>
          <w:p w14:paraId="08E76682"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FC887C6" w:rsidR="008210D8" w:rsidRPr="00310835" w:rsidRDefault="008210D8" w:rsidP="008210D8">
            <w:pPr>
              <w:tabs>
                <w:tab w:val="left" w:pos="585"/>
              </w:tabs>
              <w:spacing w:before="60" w:after="60"/>
              <w:ind w:left="567" w:hanging="567"/>
              <w:rPr>
                <w:rFonts w:eastAsia="Times New Roman"/>
                <w:sz w:val="18"/>
                <w:szCs w:val="18"/>
              </w:rPr>
            </w:pPr>
            <w:r w:rsidRPr="00E17D61">
              <w:rPr>
                <w:sz w:val="18"/>
                <w:szCs w:val="18"/>
              </w:rPr>
              <w:t>No</w:t>
            </w:r>
          </w:p>
        </w:tc>
      </w:tr>
      <w:tr w:rsidR="008210D8" w:rsidRPr="00310835" w14:paraId="57B8C3CA" w14:textId="77777777" w:rsidTr="00E603E0">
        <w:tc>
          <w:tcPr>
            <w:tcW w:w="8635" w:type="dxa"/>
            <w:tcBorders>
              <w:bottom w:val="single" w:sz="4" w:space="0" w:color="auto"/>
            </w:tcBorders>
            <w:shd w:val="clear" w:color="auto" w:fill="auto"/>
          </w:tcPr>
          <w:p w14:paraId="1F95EBA5" w14:textId="77777777" w:rsidR="008210D8" w:rsidRPr="00310835" w:rsidRDefault="008210D8" w:rsidP="008210D8">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7B0DB7CE" w:rsidR="008210D8" w:rsidRPr="00310835" w:rsidRDefault="008210D8" w:rsidP="008210D8">
            <w:pPr>
              <w:tabs>
                <w:tab w:val="left" w:pos="585"/>
              </w:tabs>
              <w:spacing w:before="60" w:after="60"/>
              <w:ind w:left="567" w:hanging="567"/>
              <w:rPr>
                <w:rFonts w:eastAsia="Times New Roman"/>
                <w:sz w:val="18"/>
                <w:szCs w:val="18"/>
              </w:rPr>
            </w:pPr>
            <w:r w:rsidRPr="00E17D61">
              <w:rPr>
                <w:sz w:val="18"/>
                <w:szCs w:val="18"/>
              </w:rPr>
              <w:t>No</w:t>
            </w:r>
          </w:p>
        </w:tc>
      </w:tr>
      <w:tr w:rsidR="008210D8" w:rsidRPr="00310835" w14:paraId="15413B90" w14:textId="77777777" w:rsidTr="00E603E0">
        <w:tc>
          <w:tcPr>
            <w:tcW w:w="8635" w:type="dxa"/>
            <w:tcBorders>
              <w:bottom w:val="single" w:sz="4" w:space="0" w:color="auto"/>
            </w:tcBorders>
            <w:shd w:val="clear" w:color="auto" w:fill="auto"/>
          </w:tcPr>
          <w:p w14:paraId="663C0608" w14:textId="77777777" w:rsidR="008210D8" w:rsidRPr="00310835" w:rsidRDefault="008210D8" w:rsidP="008210D8">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886E434"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0BB7E90A" w14:textId="77777777" w:rsidTr="00E603E0">
        <w:tc>
          <w:tcPr>
            <w:tcW w:w="8635" w:type="dxa"/>
            <w:tcBorders>
              <w:bottom w:val="single" w:sz="4" w:space="0" w:color="auto"/>
            </w:tcBorders>
            <w:shd w:val="clear" w:color="auto" w:fill="auto"/>
          </w:tcPr>
          <w:p w14:paraId="0296AD80"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69ED9A98"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25541A0D" w14:textId="77777777" w:rsidTr="00E603E0">
        <w:tc>
          <w:tcPr>
            <w:tcW w:w="8635" w:type="dxa"/>
            <w:tcBorders>
              <w:bottom w:val="single" w:sz="4" w:space="0" w:color="auto"/>
            </w:tcBorders>
            <w:shd w:val="clear" w:color="auto" w:fill="auto"/>
          </w:tcPr>
          <w:p w14:paraId="2973DB68"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5B50B539"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40EB16CF" w14:textId="77777777" w:rsidTr="00E603E0">
        <w:tc>
          <w:tcPr>
            <w:tcW w:w="8635" w:type="dxa"/>
            <w:tcBorders>
              <w:bottom w:val="single" w:sz="4" w:space="0" w:color="auto"/>
            </w:tcBorders>
            <w:shd w:val="clear" w:color="auto" w:fill="auto"/>
          </w:tcPr>
          <w:p w14:paraId="26781D12"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42453D26"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73F0CD23" w14:textId="77777777" w:rsidTr="00E603E0">
        <w:tc>
          <w:tcPr>
            <w:tcW w:w="8635" w:type="dxa"/>
            <w:tcBorders>
              <w:bottom w:val="single" w:sz="4" w:space="0" w:color="auto"/>
            </w:tcBorders>
            <w:shd w:val="clear" w:color="auto" w:fill="auto"/>
          </w:tcPr>
          <w:p w14:paraId="15D6E9C7"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7547B4CA"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2897A732" w14:textId="77777777" w:rsidTr="00E603E0">
        <w:tc>
          <w:tcPr>
            <w:tcW w:w="8635" w:type="dxa"/>
            <w:tcBorders>
              <w:bottom w:val="single" w:sz="4" w:space="0" w:color="auto"/>
            </w:tcBorders>
            <w:shd w:val="clear" w:color="auto" w:fill="auto"/>
          </w:tcPr>
          <w:p w14:paraId="77FA9F56"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5AEFAF5A"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8210D8" w:rsidRPr="00310835" w14:paraId="032A3BD4" w14:textId="77777777" w:rsidTr="00E603E0">
        <w:tc>
          <w:tcPr>
            <w:tcW w:w="8635" w:type="dxa"/>
            <w:tcBorders>
              <w:bottom w:val="single" w:sz="4" w:space="0" w:color="auto"/>
            </w:tcBorders>
            <w:shd w:val="clear" w:color="auto" w:fill="auto"/>
          </w:tcPr>
          <w:p w14:paraId="5CF5F271"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8270735" w:rsidR="008210D8" w:rsidRPr="00310835" w:rsidRDefault="008210D8" w:rsidP="008210D8">
            <w:pPr>
              <w:tabs>
                <w:tab w:val="left" w:pos="585"/>
              </w:tabs>
              <w:spacing w:before="60" w:after="60"/>
              <w:ind w:left="567" w:hanging="567"/>
              <w:rPr>
                <w:rFonts w:eastAsia="Times New Roman"/>
                <w:sz w:val="18"/>
                <w:szCs w:val="18"/>
              </w:rPr>
            </w:pPr>
            <w:r w:rsidRPr="000327F7">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8210D8" w:rsidRPr="00310835" w14:paraId="14325B40" w14:textId="77777777" w:rsidTr="00E603E0">
        <w:tc>
          <w:tcPr>
            <w:tcW w:w="8635" w:type="dxa"/>
            <w:tcBorders>
              <w:bottom w:val="single" w:sz="4" w:space="0" w:color="auto"/>
            </w:tcBorders>
            <w:shd w:val="clear" w:color="auto" w:fill="auto"/>
          </w:tcPr>
          <w:p w14:paraId="40575D7E"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211BBAAD" w:rsidR="008210D8" w:rsidRPr="00310835" w:rsidRDefault="008210D8" w:rsidP="008210D8">
            <w:pPr>
              <w:tabs>
                <w:tab w:val="left" w:pos="585"/>
              </w:tabs>
              <w:spacing w:before="60" w:after="60"/>
              <w:ind w:left="567" w:hanging="567"/>
              <w:rPr>
                <w:rFonts w:eastAsia="Times New Roman"/>
                <w:sz w:val="18"/>
                <w:szCs w:val="18"/>
              </w:rPr>
            </w:pPr>
            <w:r w:rsidRPr="00DB3C6C">
              <w:rPr>
                <w:sz w:val="18"/>
                <w:szCs w:val="18"/>
              </w:rPr>
              <w:t>No</w:t>
            </w:r>
          </w:p>
        </w:tc>
      </w:tr>
      <w:tr w:rsidR="008210D8" w:rsidRPr="00310835" w14:paraId="601DBA94" w14:textId="77777777" w:rsidTr="00E603E0">
        <w:tc>
          <w:tcPr>
            <w:tcW w:w="8635" w:type="dxa"/>
            <w:tcBorders>
              <w:bottom w:val="single" w:sz="4" w:space="0" w:color="auto"/>
            </w:tcBorders>
            <w:shd w:val="clear" w:color="auto" w:fill="auto"/>
          </w:tcPr>
          <w:p w14:paraId="6AE36C75" w14:textId="77777777" w:rsidR="008210D8" w:rsidRPr="00310835" w:rsidRDefault="008210D8" w:rsidP="008210D8">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3FD53206" w:rsidR="008210D8" w:rsidRPr="00310835" w:rsidRDefault="008210D8" w:rsidP="008210D8">
            <w:pPr>
              <w:tabs>
                <w:tab w:val="left" w:pos="585"/>
              </w:tabs>
              <w:spacing w:before="60" w:after="60"/>
              <w:ind w:left="567" w:hanging="567"/>
              <w:rPr>
                <w:rFonts w:eastAsia="Times New Roman"/>
                <w:sz w:val="18"/>
                <w:szCs w:val="18"/>
              </w:rPr>
            </w:pPr>
            <w:r w:rsidRPr="00DB3C6C">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8210D8" w:rsidRPr="00310835" w14:paraId="0069DC11" w14:textId="77777777" w:rsidTr="00E603E0">
        <w:tc>
          <w:tcPr>
            <w:tcW w:w="8635" w:type="dxa"/>
            <w:tcBorders>
              <w:bottom w:val="single" w:sz="4" w:space="0" w:color="auto"/>
            </w:tcBorders>
            <w:shd w:val="clear" w:color="auto" w:fill="auto"/>
          </w:tcPr>
          <w:p w14:paraId="5CD671E5" w14:textId="77777777" w:rsidR="008210D8" w:rsidRPr="00310835" w:rsidRDefault="008210D8" w:rsidP="008210D8">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2DF42B8B" w:rsidR="008210D8" w:rsidRPr="00310835" w:rsidRDefault="008210D8" w:rsidP="008210D8">
            <w:pPr>
              <w:tabs>
                <w:tab w:val="left" w:pos="585"/>
              </w:tabs>
              <w:spacing w:before="60" w:after="60"/>
              <w:ind w:left="567" w:hanging="567"/>
              <w:rPr>
                <w:rFonts w:eastAsia="Times New Roman"/>
                <w:sz w:val="18"/>
                <w:szCs w:val="18"/>
              </w:rPr>
            </w:pPr>
            <w:r w:rsidRPr="00E750E6">
              <w:rPr>
                <w:sz w:val="18"/>
                <w:szCs w:val="18"/>
              </w:rPr>
              <w:t>No</w:t>
            </w:r>
          </w:p>
        </w:tc>
      </w:tr>
      <w:tr w:rsidR="008210D8" w:rsidRPr="00310835" w14:paraId="472CB117" w14:textId="77777777" w:rsidTr="00E603E0">
        <w:tc>
          <w:tcPr>
            <w:tcW w:w="8635" w:type="dxa"/>
            <w:tcBorders>
              <w:bottom w:val="single" w:sz="4" w:space="0" w:color="auto"/>
            </w:tcBorders>
            <w:shd w:val="clear" w:color="auto" w:fill="auto"/>
          </w:tcPr>
          <w:p w14:paraId="782C1AB7" w14:textId="77777777" w:rsidR="008210D8" w:rsidRPr="00310835" w:rsidRDefault="008210D8" w:rsidP="008210D8">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0B37447F" w:rsidR="008210D8" w:rsidRPr="00310835" w:rsidRDefault="008210D8" w:rsidP="008210D8">
            <w:pPr>
              <w:tabs>
                <w:tab w:val="left" w:pos="585"/>
              </w:tabs>
              <w:spacing w:before="60" w:after="60"/>
              <w:ind w:left="567" w:hanging="567"/>
              <w:rPr>
                <w:rFonts w:eastAsia="Times New Roman"/>
                <w:sz w:val="18"/>
                <w:szCs w:val="18"/>
              </w:rPr>
            </w:pPr>
            <w:r w:rsidRPr="00E750E6">
              <w:rPr>
                <w:sz w:val="18"/>
                <w:szCs w:val="18"/>
              </w:rPr>
              <w:t>No</w:t>
            </w:r>
          </w:p>
        </w:tc>
      </w:tr>
      <w:tr w:rsidR="008210D8" w:rsidRPr="00310835" w14:paraId="2FC618B0" w14:textId="77777777" w:rsidTr="00E603E0">
        <w:tc>
          <w:tcPr>
            <w:tcW w:w="8635" w:type="dxa"/>
            <w:tcBorders>
              <w:bottom w:val="single" w:sz="4" w:space="0" w:color="auto"/>
            </w:tcBorders>
            <w:shd w:val="clear" w:color="auto" w:fill="auto"/>
          </w:tcPr>
          <w:p w14:paraId="1892A735" w14:textId="77777777" w:rsidR="008210D8" w:rsidRPr="00310835" w:rsidRDefault="008210D8" w:rsidP="008210D8">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624B7D2C" w:rsidR="008210D8" w:rsidRPr="00310835" w:rsidRDefault="008210D8" w:rsidP="008210D8">
            <w:pPr>
              <w:tabs>
                <w:tab w:val="left" w:pos="585"/>
              </w:tabs>
              <w:spacing w:before="60" w:after="60"/>
              <w:ind w:left="567" w:hanging="567"/>
              <w:rPr>
                <w:rFonts w:eastAsia="Times New Roman"/>
                <w:sz w:val="18"/>
                <w:szCs w:val="18"/>
              </w:rPr>
            </w:pPr>
            <w:r w:rsidRPr="00E750E6">
              <w:rPr>
                <w:sz w:val="18"/>
                <w:szCs w:val="18"/>
              </w:rPr>
              <w:t>No</w:t>
            </w:r>
          </w:p>
        </w:tc>
      </w:tr>
      <w:tr w:rsidR="008210D8" w:rsidRPr="00310835" w14:paraId="7A435FCB" w14:textId="77777777" w:rsidTr="00E603E0">
        <w:tc>
          <w:tcPr>
            <w:tcW w:w="8635" w:type="dxa"/>
            <w:tcBorders>
              <w:bottom w:val="single" w:sz="4" w:space="0" w:color="auto"/>
            </w:tcBorders>
            <w:shd w:val="clear" w:color="auto" w:fill="auto"/>
          </w:tcPr>
          <w:p w14:paraId="5DADDF7E"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50DF44E" w:rsidR="008210D8" w:rsidRPr="00310835" w:rsidRDefault="008210D8" w:rsidP="008210D8">
            <w:pPr>
              <w:tabs>
                <w:tab w:val="left" w:pos="585"/>
              </w:tabs>
              <w:spacing w:before="60" w:after="60"/>
              <w:ind w:left="567" w:hanging="567"/>
              <w:rPr>
                <w:rFonts w:eastAsia="Times New Roman"/>
                <w:sz w:val="18"/>
                <w:szCs w:val="18"/>
              </w:rPr>
            </w:pPr>
            <w:r w:rsidRPr="00E750E6">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8210D8" w:rsidRPr="00310835" w14:paraId="5A1ACE55" w14:textId="77777777" w:rsidTr="00E603E0">
        <w:tc>
          <w:tcPr>
            <w:tcW w:w="8635" w:type="dxa"/>
            <w:tcBorders>
              <w:bottom w:val="single" w:sz="4" w:space="0" w:color="auto"/>
            </w:tcBorders>
            <w:shd w:val="clear" w:color="auto" w:fill="auto"/>
          </w:tcPr>
          <w:p w14:paraId="786FE915" w14:textId="77777777" w:rsidR="008210D8" w:rsidRPr="00310835" w:rsidRDefault="008210D8" w:rsidP="008210D8">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395D3119" w:rsidR="008210D8" w:rsidRPr="00310835" w:rsidRDefault="008210D8" w:rsidP="008210D8">
            <w:pPr>
              <w:tabs>
                <w:tab w:val="left" w:pos="585"/>
              </w:tabs>
              <w:spacing w:before="60" w:after="60"/>
              <w:ind w:left="567" w:hanging="567"/>
              <w:rPr>
                <w:rFonts w:eastAsia="Times New Roman"/>
                <w:sz w:val="18"/>
                <w:szCs w:val="18"/>
              </w:rPr>
            </w:pPr>
            <w:r w:rsidRPr="00C32BFC">
              <w:rPr>
                <w:sz w:val="18"/>
                <w:szCs w:val="18"/>
              </w:rPr>
              <w:t>No</w:t>
            </w:r>
          </w:p>
        </w:tc>
      </w:tr>
      <w:tr w:rsidR="008210D8" w:rsidRPr="00310835" w14:paraId="4EEF35B7" w14:textId="77777777" w:rsidTr="00E603E0">
        <w:tc>
          <w:tcPr>
            <w:tcW w:w="8635" w:type="dxa"/>
            <w:tcBorders>
              <w:bottom w:val="single" w:sz="4" w:space="0" w:color="auto"/>
            </w:tcBorders>
            <w:shd w:val="clear" w:color="auto" w:fill="auto"/>
          </w:tcPr>
          <w:p w14:paraId="516A69B8" w14:textId="77777777" w:rsidR="008210D8" w:rsidRPr="00310835" w:rsidRDefault="008210D8" w:rsidP="008210D8">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47316E2A" w:rsidR="008210D8" w:rsidRPr="00310835" w:rsidRDefault="008210D8" w:rsidP="008210D8">
            <w:pPr>
              <w:tabs>
                <w:tab w:val="left" w:pos="585"/>
              </w:tabs>
              <w:spacing w:before="60" w:after="60"/>
              <w:ind w:left="567" w:hanging="567"/>
              <w:rPr>
                <w:rFonts w:eastAsia="Times New Roman"/>
                <w:sz w:val="18"/>
                <w:szCs w:val="18"/>
              </w:rPr>
            </w:pPr>
            <w:r w:rsidRPr="00C32BFC">
              <w:rPr>
                <w:sz w:val="18"/>
                <w:szCs w:val="18"/>
              </w:rPr>
              <w:t>No</w:t>
            </w:r>
          </w:p>
        </w:tc>
      </w:tr>
      <w:tr w:rsidR="008210D8" w:rsidRPr="00310835" w14:paraId="2015B0FC" w14:textId="77777777" w:rsidTr="00E603E0">
        <w:tc>
          <w:tcPr>
            <w:tcW w:w="8635" w:type="dxa"/>
            <w:tcBorders>
              <w:bottom w:val="single" w:sz="4" w:space="0" w:color="auto"/>
            </w:tcBorders>
            <w:shd w:val="clear" w:color="auto" w:fill="auto"/>
          </w:tcPr>
          <w:p w14:paraId="76AD43AA" w14:textId="77777777" w:rsidR="008210D8" w:rsidRDefault="008210D8" w:rsidP="008210D8">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8210D8" w:rsidRPr="00C01EFE" w:rsidRDefault="008210D8" w:rsidP="008210D8">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D324F25" w:rsidR="008210D8" w:rsidRPr="00310835" w:rsidRDefault="008210D8" w:rsidP="008210D8">
            <w:pPr>
              <w:tabs>
                <w:tab w:val="left" w:pos="585"/>
              </w:tabs>
              <w:spacing w:before="60" w:after="60"/>
              <w:ind w:left="567" w:hanging="567"/>
              <w:rPr>
                <w:rFonts w:eastAsia="Times New Roman"/>
                <w:sz w:val="18"/>
                <w:szCs w:val="18"/>
              </w:rPr>
            </w:pPr>
            <w:r w:rsidRPr="00C32BFC">
              <w:rPr>
                <w:sz w:val="18"/>
                <w:szCs w:val="18"/>
              </w:rPr>
              <w:t>No</w:t>
            </w:r>
          </w:p>
        </w:tc>
      </w:tr>
      <w:tr w:rsidR="008210D8" w:rsidRPr="00310835" w14:paraId="7B8EBF35" w14:textId="77777777" w:rsidTr="00E603E0">
        <w:tc>
          <w:tcPr>
            <w:tcW w:w="8635" w:type="dxa"/>
            <w:tcBorders>
              <w:bottom w:val="single" w:sz="4" w:space="0" w:color="auto"/>
            </w:tcBorders>
            <w:shd w:val="clear" w:color="auto" w:fill="auto"/>
          </w:tcPr>
          <w:p w14:paraId="7B33703C" w14:textId="77777777" w:rsidR="008210D8" w:rsidRDefault="008210D8" w:rsidP="008210D8">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7E766505"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8210D8" w:rsidRPr="00310835" w14:paraId="72667D03" w14:textId="77777777" w:rsidTr="00E603E0">
        <w:tc>
          <w:tcPr>
            <w:tcW w:w="8635" w:type="dxa"/>
            <w:tcBorders>
              <w:bottom w:val="single" w:sz="4" w:space="0" w:color="auto"/>
            </w:tcBorders>
            <w:shd w:val="clear" w:color="auto" w:fill="auto"/>
          </w:tcPr>
          <w:p w14:paraId="2E4A579B" w14:textId="3E96BBD2" w:rsidR="008210D8" w:rsidRPr="00310835" w:rsidRDefault="008210D8" w:rsidP="008210D8">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F0E59B8"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8210D8" w:rsidRPr="00310835" w14:paraId="5222C2A1" w14:textId="77777777" w:rsidTr="00E603E0">
        <w:tc>
          <w:tcPr>
            <w:tcW w:w="8635" w:type="dxa"/>
            <w:tcBorders>
              <w:bottom w:val="single" w:sz="4" w:space="0" w:color="auto"/>
            </w:tcBorders>
            <w:shd w:val="clear" w:color="auto" w:fill="auto"/>
          </w:tcPr>
          <w:p w14:paraId="60D6DC4A" w14:textId="7DA2F8F8" w:rsidR="008210D8" w:rsidRPr="00310835" w:rsidRDefault="008210D8" w:rsidP="008210D8">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0494A6B6"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8210D8" w:rsidRPr="00310835" w14:paraId="1AA7D1CF" w14:textId="77777777" w:rsidTr="00E603E0">
        <w:tc>
          <w:tcPr>
            <w:tcW w:w="8635" w:type="dxa"/>
            <w:tcBorders>
              <w:bottom w:val="single" w:sz="4" w:space="0" w:color="auto"/>
            </w:tcBorders>
            <w:shd w:val="clear" w:color="auto" w:fill="auto"/>
          </w:tcPr>
          <w:p w14:paraId="1A918AF5" w14:textId="6DA86332" w:rsidR="008210D8" w:rsidRPr="00310835" w:rsidRDefault="008210D8" w:rsidP="008210D8">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55CC56CD"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8210D8" w:rsidRPr="00310835" w14:paraId="152D4485" w14:textId="77777777" w:rsidTr="00E603E0">
        <w:tc>
          <w:tcPr>
            <w:tcW w:w="8635" w:type="dxa"/>
            <w:tcBorders>
              <w:bottom w:val="single" w:sz="4" w:space="0" w:color="auto"/>
            </w:tcBorders>
            <w:shd w:val="clear" w:color="auto" w:fill="auto"/>
          </w:tcPr>
          <w:p w14:paraId="3328BE7A" w14:textId="4C202B63" w:rsidR="008210D8" w:rsidRPr="00310835" w:rsidRDefault="008210D8" w:rsidP="008210D8">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1B2AE9A4"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8210D8" w:rsidRPr="00310835" w14:paraId="3876E433" w14:textId="77777777" w:rsidTr="00E603E0">
        <w:tc>
          <w:tcPr>
            <w:tcW w:w="8635" w:type="dxa"/>
            <w:tcBorders>
              <w:bottom w:val="single" w:sz="4" w:space="0" w:color="auto"/>
            </w:tcBorders>
            <w:shd w:val="clear" w:color="auto" w:fill="auto"/>
          </w:tcPr>
          <w:p w14:paraId="04AA5319" w14:textId="01B227E8" w:rsidR="008210D8" w:rsidRPr="00310835" w:rsidRDefault="008210D8" w:rsidP="008210D8">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851F305" w:rsidR="008210D8" w:rsidRPr="00310835" w:rsidRDefault="008210D8" w:rsidP="008210D8">
            <w:pPr>
              <w:tabs>
                <w:tab w:val="left" w:pos="585"/>
              </w:tabs>
              <w:spacing w:before="60" w:after="60"/>
              <w:ind w:left="567" w:hanging="567"/>
              <w:rPr>
                <w:rFonts w:eastAsia="Times New Roman"/>
                <w:sz w:val="18"/>
                <w:szCs w:val="18"/>
              </w:rPr>
            </w:pPr>
            <w:r w:rsidRPr="00DD194C">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8210D8" w:rsidRPr="00310835" w14:paraId="1113903F" w14:textId="77777777" w:rsidTr="00E603E0">
        <w:tc>
          <w:tcPr>
            <w:tcW w:w="8635" w:type="dxa"/>
            <w:shd w:val="clear" w:color="auto" w:fill="auto"/>
          </w:tcPr>
          <w:p w14:paraId="0DB65383"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76526521" w:rsidR="008210D8" w:rsidRPr="00310835" w:rsidRDefault="008210D8" w:rsidP="008210D8">
            <w:pPr>
              <w:rPr>
                <w:rFonts w:eastAsia="Times New Roman"/>
                <w:sz w:val="18"/>
                <w:szCs w:val="18"/>
              </w:rPr>
            </w:pPr>
            <w:r w:rsidRPr="00CD7CD2">
              <w:rPr>
                <w:sz w:val="18"/>
                <w:szCs w:val="18"/>
              </w:rPr>
              <w:t>No</w:t>
            </w:r>
          </w:p>
        </w:tc>
      </w:tr>
      <w:tr w:rsidR="008210D8" w:rsidRPr="00310835" w14:paraId="2BB902A4" w14:textId="77777777" w:rsidTr="00E603E0">
        <w:tc>
          <w:tcPr>
            <w:tcW w:w="8635" w:type="dxa"/>
            <w:tcBorders>
              <w:bottom w:val="single" w:sz="4" w:space="0" w:color="auto"/>
            </w:tcBorders>
            <w:shd w:val="clear" w:color="auto" w:fill="auto"/>
          </w:tcPr>
          <w:p w14:paraId="36916993"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51FE8B10" w:rsidR="008210D8" w:rsidRPr="00310835" w:rsidRDefault="008210D8" w:rsidP="008210D8">
            <w:pPr>
              <w:rPr>
                <w:rFonts w:eastAsia="Times New Roman"/>
                <w:sz w:val="18"/>
                <w:szCs w:val="18"/>
              </w:rPr>
            </w:pPr>
            <w:r w:rsidRPr="00CD7CD2">
              <w:rPr>
                <w:sz w:val="18"/>
                <w:szCs w:val="18"/>
              </w:rPr>
              <w:t>No</w:t>
            </w:r>
          </w:p>
        </w:tc>
      </w:tr>
      <w:tr w:rsidR="008210D8"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8210D8"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8210D8" w:rsidRPr="00310835" w:rsidRDefault="008210D8" w:rsidP="008210D8">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2D29CA31" w:rsidR="008210D8" w:rsidRPr="00310835" w:rsidRDefault="008210D8" w:rsidP="008210D8">
            <w:pPr>
              <w:rPr>
                <w:rFonts w:eastAsia="Times New Roman"/>
                <w:sz w:val="18"/>
                <w:szCs w:val="18"/>
              </w:rPr>
            </w:pPr>
            <w:r w:rsidRPr="00CD7CD2">
              <w:rPr>
                <w:sz w:val="18"/>
                <w:szCs w:val="18"/>
              </w:rPr>
              <w:t>No</w:t>
            </w:r>
          </w:p>
        </w:tc>
      </w:tr>
      <w:tr w:rsidR="008210D8" w:rsidRPr="00310835" w14:paraId="05F84814" w14:textId="77777777" w:rsidTr="00E603E0">
        <w:tc>
          <w:tcPr>
            <w:tcW w:w="8635" w:type="dxa"/>
            <w:tcBorders>
              <w:bottom w:val="single" w:sz="4" w:space="0" w:color="auto"/>
            </w:tcBorders>
            <w:shd w:val="clear" w:color="auto" w:fill="auto"/>
          </w:tcPr>
          <w:p w14:paraId="7FBC90FF"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373E8A6D" w:rsidR="008210D8" w:rsidRPr="00310835" w:rsidRDefault="008210D8" w:rsidP="008210D8">
            <w:pPr>
              <w:tabs>
                <w:tab w:val="left" w:pos="585"/>
              </w:tabs>
              <w:spacing w:before="60" w:after="60"/>
              <w:ind w:left="567" w:hanging="567"/>
              <w:rPr>
                <w:rFonts w:eastAsia="Times New Roman"/>
                <w:sz w:val="18"/>
                <w:szCs w:val="18"/>
              </w:rPr>
            </w:pPr>
            <w:r w:rsidRPr="00CD7CD2">
              <w:rPr>
                <w:sz w:val="18"/>
                <w:szCs w:val="18"/>
              </w:rPr>
              <w:t>No</w:t>
            </w:r>
          </w:p>
        </w:tc>
      </w:tr>
      <w:tr w:rsidR="008210D8" w:rsidRPr="00310835" w14:paraId="673E3722" w14:textId="77777777" w:rsidTr="00E603E0">
        <w:tc>
          <w:tcPr>
            <w:tcW w:w="8635" w:type="dxa"/>
            <w:tcBorders>
              <w:bottom w:val="single" w:sz="4" w:space="0" w:color="auto"/>
            </w:tcBorders>
            <w:shd w:val="clear" w:color="auto" w:fill="auto"/>
          </w:tcPr>
          <w:p w14:paraId="20F1D62D" w14:textId="77777777" w:rsidR="008210D8" w:rsidRPr="00310835" w:rsidRDefault="008210D8" w:rsidP="008210D8">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75513C27" w:rsidR="008210D8" w:rsidRPr="00310835" w:rsidRDefault="008210D8" w:rsidP="008210D8">
            <w:pPr>
              <w:tabs>
                <w:tab w:val="left" w:pos="585"/>
              </w:tabs>
              <w:spacing w:before="60" w:after="60"/>
              <w:ind w:left="567" w:hanging="567"/>
              <w:rPr>
                <w:rFonts w:eastAsia="Times New Roman"/>
                <w:sz w:val="18"/>
                <w:szCs w:val="18"/>
              </w:rPr>
            </w:pPr>
            <w:r w:rsidRPr="00CD7CD2">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0581" w14:textId="77777777" w:rsidR="001E77A7" w:rsidRDefault="001E77A7" w:rsidP="00323A56">
      <w:r>
        <w:separator/>
      </w:r>
    </w:p>
  </w:endnote>
  <w:endnote w:type="continuationSeparator" w:id="0">
    <w:p w14:paraId="2E948D37" w14:textId="77777777" w:rsidR="001E77A7" w:rsidRDefault="001E77A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4FFA5254"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9CD">
      <w:rPr>
        <w:rStyle w:val="PageNumber"/>
        <w:noProof/>
      </w:rPr>
      <w:t>8</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838C" w14:textId="77777777" w:rsidR="001E77A7" w:rsidRDefault="001E77A7" w:rsidP="00323A56">
      <w:r>
        <w:separator/>
      </w:r>
    </w:p>
  </w:footnote>
  <w:footnote w:type="continuationSeparator" w:id="0">
    <w:p w14:paraId="4A3071FF" w14:textId="77777777" w:rsidR="001E77A7" w:rsidRDefault="001E77A7"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8210D8" w:rsidRPr="000319DF" w:rsidRDefault="008210D8" w:rsidP="008210D8">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8210D8" w:rsidRDefault="008210D8" w:rsidP="008210D8">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4C11809"/>
    <w:multiLevelType w:val="hybridMultilevel"/>
    <w:tmpl w:val="8AF8D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15"/>
  </w:num>
  <w:num w:numId="6">
    <w:abstractNumId w:val="19"/>
  </w:num>
  <w:num w:numId="7">
    <w:abstractNumId w:val="18"/>
  </w:num>
  <w:num w:numId="8">
    <w:abstractNumId w:val="10"/>
  </w:num>
  <w:num w:numId="9">
    <w:abstractNumId w:val="17"/>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9"/>
  </w:num>
  <w:num w:numId="17">
    <w:abstractNumId w:val="11"/>
  </w:num>
  <w:num w:numId="18">
    <w:abstractNumId w:val="3"/>
  </w:num>
  <w:num w:numId="19">
    <w:abstractNumId w:val="15"/>
  </w:num>
  <w:num w:numId="20">
    <w:abstractNumId w:val="2"/>
  </w:num>
  <w:num w:numId="21">
    <w:abstractNumId w:val="12"/>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6FD1"/>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281"/>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854"/>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53F4"/>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6F47"/>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6F32"/>
    <w:rsid w:val="00166F3D"/>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D29"/>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04FF"/>
    <w:rsid w:val="001C107D"/>
    <w:rsid w:val="001C1C59"/>
    <w:rsid w:val="001C2012"/>
    <w:rsid w:val="001C2018"/>
    <w:rsid w:val="001C3F12"/>
    <w:rsid w:val="001C41CE"/>
    <w:rsid w:val="001C47AD"/>
    <w:rsid w:val="001C5685"/>
    <w:rsid w:val="001C62A0"/>
    <w:rsid w:val="001C6884"/>
    <w:rsid w:val="001C6CC7"/>
    <w:rsid w:val="001C7D32"/>
    <w:rsid w:val="001C7E5C"/>
    <w:rsid w:val="001D1098"/>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7A7"/>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8E0"/>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D6CCE"/>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AA3"/>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AB"/>
    <w:rsid w:val="00375BB4"/>
    <w:rsid w:val="00375C64"/>
    <w:rsid w:val="0037665F"/>
    <w:rsid w:val="003768A3"/>
    <w:rsid w:val="003769C9"/>
    <w:rsid w:val="003771F3"/>
    <w:rsid w:val="003778A0"/>
    <w:rsid w:val="0038041B"/>
    <w:rsid w:val="003804C8"/>
    <w:rsid w:val="003804DC"/>
    <w:rsid w:val="00381D79"/>
    <w:rsid w:val="0038236F"/>
    <w:rsid w:val="0038247E"/>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2CE"/>
    <w:rsid w:val="00395696"/>
    <w:rsid w:val="00396855"/>
    <w:rsid w:val="00397106"/>
    <w:rsid w:val="0039736E"/>
    <w:rsid w:val="003A00D1"/>
    <w:rsid w:val="003A0AE4"/>
    <w:rsid w:val="003A18B1"/>
    <w:rsid w:val="003A19E2"/>
    <w:rsid w:val="003A262C"/>
    <w:rsid w:val="003A32A9"/>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2EB"/>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22D9"/>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0A12"/>
    <w:rsid w:val="00441284"/>
    <w:rsid w:val="004418C6"/>
    <w:rsid w:val="00441C22"/>
    <w:rsid w:val="00442544"/>
    <w:rsid w:val="00444054"/>
    <w:rsid w:val="0044437C"/>
    <w:rsid w:val="00445E50"/>
    <w:rsid w:val="00446061"/>
    <w:rsid w:val="00446D37"/>
    <w:rsid w:val="00447B37"/>
    <w:rsid w:val="00447BAA"/>
    <w:rsid w:val="00450F88"/>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53D7"/>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1C85"/>
    <w:rsid w:val="00492474"/>
    <w:rsid w:val="00492952"/>
    <w:rsid w:val="00492987"/>
    <w:rsid w:val="004941EA"/>
    <w:rsid w:val="0049481C"/>
    <w:rsid w:val="00495CA3"/>
    <w:rsid w:val="004965E9"/>
    <w:rsid w:val="00496C1B"/>
    <w:rsid w:val="00496C5B"/>
    <w:rsid w:val="00497CFA"/>
    <w:rsid w:val="004A03E1"/>
    <w:rsid w:val="004A05EB"/>
    <w:rsid w:val="004A0B84"/>
    <w:rsid w:val="004A1B95"/>
    <w:rsid w:val="004A30DE"/>
    <w:rsid w:val="004A319C"/>
    <w:rsid w:val="004A3CBA"/>
    <w:rsid w:val="004A4514"/>
    <w:rsid w:val="004A4E06"/>
    <w:rsid w:val="004A4E5D"/>
    <w:rsid w:val="004A4F54"/>
    <w:rsid w:val="004A5952"/>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81"/>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4F0D"/>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600"/>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B71"/>
    <w:rsid w:val="00560DB1"/>
    <w:rsid w:val="00560FF6"/>
    <w:rsid w:val="005612DB"/>
    <w:rsid w:val="00561A69"/>
    <w:rsid w:val="005626FD"/>
    <w:rsid w:val="0056278B"/>
    <w:rsid w:val="005642ED"/>
    <w:rsid w:val="00564CAC"/>
    <w:rsid w:val="00565648"/>
    <w:rsid w:val="005657AD"/>
    <w:rsid w:val="00566B20"/>
    <w:rsid w:val="005703D5"/>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3BDE"/>
    <w:rsid w:val="00624088"/>
    <w:rsid w:val="00624640"/>
    <w:rsid w:val="00624C52"/>
    <w:rsid w:val="00625CBA"/>
    <w:rsid w:val="00626BD9"/>
    <w:rsid w:val="00627751"/>
    <w:rsid w:val="00630678"/>
    <w:rsid w:val="0063156D"/>
    <w:rsid w:val="006319DF"/>
    <w:rsid w:val="00631F0A"/>
    <w:rsid w:val="00632785"/>
    <w:rsid w:val="00633E04"/>
    <w:rsid w:val="00634170"/>
    <w:rsid w:val="006344A3"/>
    <w:rsid w:val="00634E60"/>
    <w:rsid w:val="00635736"/>
    <w:rsid w:val="0063574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66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0DC5"/>
    <w:rsid w:val="0069177A"/>
    <w:rsid w:val="00692924"/>
    <w:rsid w:val="0069337F"/>
    <w:rsid w:val="0069408B"/>
    <w:rsid w:val="0069461E"/>
    <w:rsid w:val="00694F9E"/>
    <w:rsid w:val="00695858"/>
    <w:rsid w:val="006961C7"/>
    <w:rsid w:val="00697528"/>
    <w:rsid w:val="00697E8C"/>
    <w:rsid w:val="006A1E9A"/>
    <w:rsid w:val="006A2093"/>
    <w:rsid w:val="006A21D9"/>
    <w:rsid w:val="006A24EE"/>
    <w:rsid w:val="006A2DE8"/>
    <w:rsid w:val="006A3871"/>
    <w:rsid w:val="006A50D4"/>
    <w:rsid w:val="006A5249"/>
    <w:rsid w:val="006A54BB"/>
    <w:rsid w:val="006A5A88"/>
    <w:rsid w:val="006A6FC9"/>
    <w:rsid w:val="006B0466"/>
    <w:rsid w:val="006B05B7"/>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2F87"/>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6ABC"/>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6DC8"/>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1EEA"/>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386"/>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44D"/>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32A"/>
    <w:rsid w:val="00816429"/>
    <w:rsid w:val="00816521"/>
    <w:rsid w:val="008177B6"/>
    <w:rsid w:val="00817C6E"/>
    <w:rsid w:val="008210D8"/>
    <w:rsid w:val="00822DDD"/>
    <w:rsid w:val="00822E03"/>
    <w:rsid w:val="00823820"/>
    <w:rsid w:val="00825BCB"/>
    <w:rsid w:val="00826759"/>
    <w:rsid w:val="0082687F"/>
    <w:rsid w:val="00826BBD"/>
    <w:rsid w:val="00827080"/>
    <w:rsid w:val="0082788E"/>
    <w:rsid w:val="0083029C"/>
    <w:rsid w:val="00831733"/>
    <w:rsid w:val="008317BB"/>
    <w:rsid w:val="0083189D"/>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0BDB"/>
    <w:rsid w:val="008618AF"/>
    <w:rsid w:val="00862188"/>
    <w:rsid w:val="00862550"/>
    <w:rsid w:val="00862737"/>
    <w:rsid w:val="00862C1B"/>
    <w:rsid w:val="00862E1C"/>
    <w:rsid w:val="0086403E"/>
    <w:rsid w:val="008646BB"/>
    <w:rsid w:val="00865A82"/>
    <w:rsid w:val="00865AE5"/>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0C2"/>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8C6"/>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8A5"/>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2B2B"/>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9F7F2A"/>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17BBA"/>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579E"/>
    <w:rsid w:val="00A5699B"/>
    <w:rsid w:val="00A56D14"/>
    <w:rsid w:val="00A571FF"/>
    <w:rsid w:val="00A576C5"/>
    <w:rsid w:val="00A61369"/>
    <w:rsid w:val="00A62530"/>
    <w:rsid w:val="00A625DD"/>
    <w:rsid w:val="00A62603"/>
    <w:rsid w:val="00A62851"/>
    <w:rsid w:val="00A62963"/>
    <w:rsid w:val="00A65589"/>
    <w:rsid w:val="00A657AB"/>
    <w:rsid w:val="00A657C7"/>
    <w:rsid w:val="00A65A9C"/>
    <w:rsid w:val="00A65DAE"/>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458"/>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3C8"/>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0E83"/>
    <w:rsid w:val="00B02781"/>
    <w:rsid w:val="00B061E3"/>
    <w:rsid w:val="00B061E6"/>
    <w:rsid w:val="00B06D89"/>
    <w:rsid w:val="00B103E8"/>
    <w:rsid w:val="00B11D96"/>
    <w:rsid w:val="00B15323"/>
    <w:rsid w:val="00B15680"/>
    <w:rsid w:val="00B15B9B"/>
    <w:rsid w:val="00B15E2D"/>
    <w:rsid w:val="00B15E75"/>
    <w:rsid w:val="00B20B2B"/>
    <w:rsid w:val="00B214DE"/>
    <w:rsid w:val="00B21D34"/>
    <w:rsid w:val="00B227C0"/>
    <w:rsid w:val="00B2362E"/>
    <w:rsid w:val="00B249C9"/>
    <w:rsid w:val="00B254CC"/>
    <w:rsid w:val="00B25630"/>
    <w:rsid w:val="00B26492"/>
    <w:rsid w:val="00B26FC5"/>
    <w:rsid w:val="00B279EA"/>
    <w:rsid w:val="00B3095D"/>
    <w:rsid w:val="00B324C6"/>
    <w:rsid w:val="00B3259A"/>
    <w:rsid w:val="00B32D28"/>
    <w:rsid w:val="00B342F0"/>
    <w:rsid w:val="00B3497C"/>
    <w:rsid w:val="00B349F1"/>
    <w:rsid w:val="00B34FA5"/>
    <w:rsid w:val="00B352E1"/>
    <w:rsid w:val="00B3571F"/>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5384"/>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2A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1DB9"/>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119"/>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90E"/>
    <w:rsid w:val="00D14EAC"/>
    <w:rsid w:val="00D15423"/>
    <w:rsid w:val="00D15B4E"/>
    <w:rsid w:val="00D15DD8"/>
    <w:rsid w:val="00D1605A"/>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008"/>
    <w:rsid w:val="00D921FE"/>
    <w:rsid w:val="00D93988"/>
    <w:rsid w:val="00D93D8F"/>
    <w:rsid w:val="00D94246"/>
    <w:rsid w:val="00D959D5"/>
    <w:rsid w:val="00D95CF8"/>
    <w:rsid w:val="00D9662A"/>
    <w:rsid w:val="00D97241"/>
    <w:rsid w:val="00DA05EF"/>
    <w:rsid w:val="00DA0909"/>
    <w:rsid w:val="00DA208B"/>
    <w:rsid w:val="00DA2368"/>
    <w:rsid w:val="00DA4E01"/>
    <w:rsid w:val="00DA4F61"/>
    <w:rsid w:val="00DA5144"/>
    <w:rsid w:val="00DA52D2"/>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1CB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3F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9CD"/>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95F"/>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4EE6"/>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7FE"/>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5766"/>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0C93"/>
    <w:rsid w:val="00F31155"/>
    <w:rsid w:val="00F31842"/>
    <w:rsid w:val="00F3242D"/>
    <w:rsid w:val="00F328B3"/>
    <w:rsid w:val="00F338FE"/>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4D28"/>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1EB8"/>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093"/>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27C"/>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ist Paragraph (numbered (a))"/>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ftref,BVI fnr,Знак сноски 1,Ref,de nota al pie,Char Char Char Char Car Char,Appel note de bas de page,Appel note de bas de,note bp,Error-Fußnotenzeichen5,Error-Fußnotenzeichen6,SUPERS,BVI f,R,stylish"/>
    <w:link w:val="BVIfnrCharCharChar1CharCharCharCharCharCharChar1CharCharChar1Char"/>
    <w:uiPriority w:val="99"/>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Default">
    <w:name w:val="Default"/>
    <w:rsid w:val="00AE03C8"/>
    <w:pPr>
      <w:autoSpaceDE w:val="0"/>
      <w:autoSpaceDN w:val="0"/>
      <w:adjustRightInd w:val="0"/>
    </w:pPr>
    <w:rPr>
      <w:rFonts w:ascii="Myriad Pro" w:hAnsi="Myriad Pro" w:cs="Myriad Pro"/>
      <w:color w:val="000000"/>
      <w:lang w:val="en-GB"/>
    </w:rPr>
  </w:style>
  <w:style w:type="character" w:customStyle="1" w:styleId="ms-rtefontface-5">
    <w:name w:val="ms-rtefontface-5"/>
    <w:basedOn w:val="DefaultParagraphFont"/>
    <w:rsid w:val="004122D9"/>
  </w:style>
  <w:style w:type="character" w:customStyle="1" w:styleId="ms-rtethemeforecolor-6-4">
    <w:name w:val="ms-rtethemeforecolor-6-4"/>
    <w:basedOn w:val="DefaultParagraphFont"/>
    <w:rsid w:val="004122D9"/>
  </w:style>
  <w:style w:type="character" w:customStyle="1" w:styleId="ListParagraphChar">
    <w:name w:val="List Paragraph Char"/>
    <w:aliases w:val="List Paragraph (numbered (a)) Char"/>
    <w:link w:val="ListParagraph"/>
    <w:uiPriority w:val="34"/>
    <w:locked/>
    <w:rsid w:val="00F05766"/>
    <w:rPr>
      <w:rFonts w:asciiTheme="majorHAnsi" w:hAnsiTheme="majorHAnsi"/>
      <w:sz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05766"/>
    <w:pPr>
      <w:widowControl w:val="0"/>
      <w:adjustRightInd w:val="0"/>
      <w:spacing w:line="240" w:lineRule="exact"/>
      <w:jc w:val="both"/>
      <w:textAlignment w:val="baseline"/>
    </w:pPr>
    <w:rPr>
      <w:rFonts w:ascii="Calibri" w:hAnsi="Calibr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062410581">
      <w:bodyDiv w:val="1"/>
      <w:marLeft w:val="0"/>
      <w:marRight w:val="0"/>
      <w:marTop w:val="0"/>
      <w:marBottom w:val="0"/>
      <w:divBdr>
        <w:top w:val="none" w:sz="0" w:space="0" w:color="auto"/>
        <w:left w:val="none" w:sz="0" w:space="0" w:color="auto"/>
        <w:bottom w:val="none" w:sz="0" w:space="0" w:color="auto"/>
        <w:right w:val="none" w:sz="0" w:space="0" w:color="auto"/>
      </w:divBdr>
      <w:divsChild>
        <w:div w:id="952397847">
          <w:marLeft w:val="0"/>
          <w:marRight w:val="0"/>
          <w:marTop w:val="0"/>
          <w:marBottom w:val="0"/>
          <w:divBdr>
            <w:top w:val="none" w:sz="0" w:space="0" w:color="auto"/>
            <w:left w:val="none" w:sz="0" w:space="0" w:color="auto"/>
            <w:bottom w:val="none" w:sz="0" w:space="0" w:color="auto"/>
            <w:right w:val="none" w:sz="0" w:space="0" w:color="auto"/>
          </w:divBdr>
          <w:divsChild>
            <w:div w:id="574126847">
              <w:marLeft w:val="0"/>
              <w:marRight w:val="0"/>
              <w:marTop w:val="0"/>
              <w:marBottom w:val="0"/>
              <w:divBdr>
                <w:top w:val="none" w:sz="0" w:space="0" w:color="auto"/>
                <w:left w:val="none" w:sz="0" w:space="0" w:color="auto"/>
                <w:bottom w:val="none" w:sz="0" w:space="0" w:color="auto"/>
                <w:right w:val="none" w:sz="0" w:space="0" w:color="auto"/>
              </w:divBdr>
              <w:divsChild>
                <w:div w:id="2034375739">
                  <w:marLeft w:val="0"/>
                  <w:marRight w:val="0"/>
                  <w:marTop w:val="0"/>
                  <w:marBottom w:val="0"/>
                  <w:divBdr>
                    <w:top w:val="none" w:sz="0" w:space="0" w:color="auto"/>
                    <w:left w:val="none" w:sz="0" w:space="0" w:color="auto"/>
                    <w:bottom w:val="none" w:sz="0" w:space="0" w:color="auto"/>
                    <w:right w:val="none" w:sz="0" w:space="0" w:color="auto"/>
                  </w:divBdr>
                  <w:divsChild>
                    <w:div w:id="1661084197">
                      <w:marLeft w:val="0"/>
                      <w:marRight w:val="0"/>
                      <w:marTop w:val="0"/>
                      <w:marBottom w:val="0"/>
                      <w:divBdr>
                        <w:top w:val="none" w:sz="0" w:space="0" w:color="auto"/>
                        <w:left w:val="none" w:sz="0" w:space="0" w:color="auto"/>
                        <w:bottom w:val="none" w:sz="0" w:space="0" w:color="auto"/>
                        <w:right w:val="none" w:sz="0" w:space="0" w:color="auto"/>
                      </w:divBdr>
                      <w:divsChild>
                        <w:div w:id="625502579">
                          <w:marLeft w:val="0"/>
                          <w:marRight w:val="0"/>
                          <w:marTop w:val="0"/>
                          <w:marBottom w:val="0"/>
                          <w:divBdr>
                            <w:top w:val="none" w:sz="0" w:space="0" w:color="auto"/>
                            <w:left w:val="none" w:sz="0" w:space="0" w:color="auto"/>
                            <w:bottom w:val="none" w:sz="0" w:space="0" w:color="auto"/>
                            <w:right w:val="none" w:sz="0" w:space="0" w:color="auto"/>
                          </w:divBdr>
                          <w:divsChild>
                            <w:div w:id="1711759855">
                              <w:marLeft w:val="0"/>
                              <w:marRight w:val="0"/>
                              <w:marTop w:val="0"/>
                              <w:marBottom w:val="0"/>
                              <w:divBdr>
                                <w:top w:val="none" w:sz="0" w:space="0" w:color="auto"/>
                                <w:left w:val="none" w:sz="0" w:space="0" w:color="auto"/>
                                <w:bottom w:val="none" w:sz="0" w:space="0" w:color="auto"/>
                                <w:right w:val="none" w:sz="0" w:space="0" w:color="auto"/>
                              </w:divBdr>
                              <w:divsChild>
                                <w:div w:id="11778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3AFB019B133B4CBFE0BF171073FE91" ma:contentTypeVersion="15" ma:contentTypeDescription="" ma:contentTypeScope="" ma:versionID="4020b9a64c56e2fe188cefb357c04fc4">
  <xsd:schema xmlns:xsd="http://www.w3.org/2001/XMLSchema" xmlns:xs="http://www.w3.org/2001/XMLSchema" xmlns:p="http://schemas.microsoft.com/office/2006/metadata/properties" xmlns:ns2="http://schemas.microsoft.com/sharepoint/v3/fields" xmlns:ns3="f2dedf4b-28a9-49c4-9577-ab757ad15ccf" xmlns:ns4="1ed4137b-41b2-488b-8250-6d369ec27664" targetNamespace="http://schemas.microsoft.com/office/2006/metadata/properties" ma:root="true" ma:fieldsID="18c8a183ae9967d4c7c247d841079799" ns2:_="" ns3:_="" ns4:_="">
    <xsd:import namespace="http://schemas.microsoft.com/sharepoint/v3/fields"/>
    <xsd:import namespace="f2dedf4b-28a9-49c4-9577-ab757ad15ccf"/>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edf4b-28a9-49c4-9577-ab757ad15ccf"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747c918d-c12b-47f4-a716-1fb0427f20e0}" ma:internalName="TaxCatchAll" ma:showField="CatchAllData" ma:web="f2dedf4b-28a9-49c4-9577-ab757ad15cc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47c918d-c12b-47f4-a716-1fb0427f20e0}" ma:internalName="TaxCatchAllLabel" ma:readOnly="true" ma:showField="CatchAllDataLabel" ma:web="f2dedf4b-28a9-49c4-9577-ab757ad15ccf">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ATLASPDC-4-156039</_dlc_DocId>
    <_dlc_DocIdUrl xmlns="f1161f5b-24a3-4c2d-bc81-44cb9325e8ee">
      <Url>https://info.undp.org/docs/pdc/_layouts/DocIdRedir.aspx?ID=ATLASPDC-4-156039</Url>
      <Description>ATLASPDC-4-156039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A23CD0-91B3-4010-9F08-68DCD852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2dedf4b-28a9-49c4-9577-ab757ad15ccf"/>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1DB92-847E-491D-AD2E-EC216A6CE848}"/>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1ed4137b-41b2-488b-8250-6d369ec27664"/>
    <ds:schemaRef ds:uri="f2dedf4b-28a9-49c4-9577-ab757ad15ccf"/>
    <ds:schemaRef ds:uri="http://schemas.microsoft.com/sharepoint/v3/fields"/>
  </ds:schemaRefs>
</ds:datastoreItem>
</file>

<file path=customXml/itemProps4.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5.xml><?xml version="1.0" encoding="utf-8"?>
<ds:datastoreItem xmlns:ds="http://schemas.openxmlformats.org/officeDocument/2006/customXml" ds:itemID="{C33C21D9-D9A1-4396-83B6-6BC93E9BD5BE}">
  <ds:schemaRefs>
    <ds:schemaRef ds:uri="http://schemas.openxmlformats.org/officeDocument/2006/bibliography"/>
  </ds:schemaRefs>
</ds:datastoreItem>
</file>

<file path=customXml/itemProps6.xml><?xml version="1.0" encoding="utf-8"?>
<ds:datastoreItem xmlns:ds="http://schemas.openxmlformats.org/officeDocument/2006/customXml" ds:itemID="{D94D5FA9-034F-4EEC-854B-7F71DF64BE70}"/>
</file>

<file path=docProps/app.xml><?xml version="1.0" encoding="utf-8"?>
<Properties xmlns="http://schemas.openxmlformats.org/officeDocument/2006/extended-properties" xmlns:vt="http://schemas.openxmlformats.org/officeDocument/2006/docPropsVTypes">
  <Template>Normal.dotm</Template>
  <TotalTime>3</TotalTime>
  <Pages>1</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Michael Tewoldemedhin</cp:lastModifiedBy>
  <cp:revision>3</cp:revision>
  <cp:lastPrinted>2014-12-09T19:35:00Z</cp:lastPrinted>
  <dcterms:created xsi:type="dcterms:W3CDTF">2019-02-05T06:37:00Z</dcterms:created>
  <dcterms:modified xsi:type="dcterms:W3CDTF">2019-02-05T06:39:00Z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UNDP_POPP_BUSINESSUNIT">
    <vt:lpwstr>2;#Programme and Project Management|dea4c69a-7909-43f6-8de1-50c95d5a9f3f</vt:lpwstr>
  </property>
  <property fmtid="{D5CDD505-2E9C-101B-9397-08002B2CF9AE}" pid="5" name="_dlc_DocIdItemGuid">
    <vt:lpwstr>004415ea-3e8c-4478-b24e-ce5ff41f258c</vt:lpwstr>
  </property>
  <property fmtid="{D5CDD505-2E9C-101B-9397-08002B2CF9AE}" pid="6" name="UNDP_CPMS_QA_BUREAU">
    <vt:lpwstr>RBA</vt:lpwstr>
  </property>
  <property fmtid="{D5CDD505-2E9C-101B-9397-08002B2CF9AE}" pid="7" name="UNDP_CPMS_QA_SESREQUIREMENT">
    <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_CPMS_QA_FROMQUARTER">
    <vt:lpwstr>0</vt:lpwstr>
  </property>
  <property fmtid="{D5CDD505-2E9C-101B-9397-08002B2CF9AE}" pid="12" name="UNDP_CPMS_QA_RISKRATING">
    <vt:lpwstr>Low</vt:lpwstr>
  </property>
  <property fmtid="{D5CDD505-2E9C-101B-9397-08002B2CF9AE}" pid="13" name="UNDP_CPMS_QA_FORMYEAR">
    <vt:lpwstr>2017</vt:lpwstr>
  </property>
  <property fmtid="{D5CDD505-2E9C-101B-9397-08002B2CF9AE}" pid="14" name="UNDP_CPMS_QA_HQCO">
    <vt:lpwstr>CO</vt:lpwstr>
  </property>
  <property fmtid="{D5CDD505-2E9C-101B-9397-08002B2CF9AE}" pid="15" name="UNDP_CPMS_QA_FORMTYPE">
    <vt:lpwstr>DESIGNV3</vt:lpwstr>
  </property>
  <property fmtid="{D5CDD505-2E9C-101B-9397-08002B2CF9AE}" pid="16" name="UN Languages">
    <vt:lpwstr>1;#English|7f98b732-4b5b-4b70-ba90-a0eff09b5d2d</vt:lpwstr>
  </property>
  <property fmtid="{D5CDD505-2E9C-101B-9397-08002B2CF9AE}" pid="17" name="UNDP_CPMS_QA_UNIT">
    <vt:lpwstr>ERI</vt:lpwstr>
  </property>
  <property fmtid="{D5CDD505-2E9C-101B-9397-08002B2CF9AE}" pid="18" name="UNDP_CPMS_QA_QUESTIONNUMBER">
    <vt:lpwstr>509</vt:lpwstr>
  </property>
  <property fmtid="{D5CDD505-2E9C-101B-9397-08002B2CF9AE}" pid="19" name="UndpUnitMM">
    <vt:lpwstr/>
  </property>
  <property fmtid="{D5CDD505-2E9C-101B-9397-08002B2CF9AE}" pid="20" name="eRegFilingCodeMM">
    <vt:lpwstr/>
  </property>
  <property fmtid="{D5CDD505-2E9C-101B-9397-08002B2CF9AE}" pid="21" name="UNDPFocusAreas">
    <vt:lpwstr/>
  </property>
  <property fmtid="{D5CDD505-2E9C-101B-9397-08002B2CF9AE}" pid="22" name="UNDPFocusAreasTaxHTField0">
    <vt:lpwstr/>
  </property>
  <property fmtid="{D5CDD505-2E9C-101B-9397-08002B2CF9AE}" pid="23" name="o4086b1782a74105bb5269035bccc8e9">
    <vt:lpwstr>Draft|121d40a5-e62e-4d42-82e4-d6d12003de0a</vt:lpwstr>
  </property>
  <property fmtid="{D5CDD505-2E9C-101B-9397-08002B2CF9AE}" pid="24" name="b6db62fdefd74bd188b0c1cc54de5bcf">
    <vt:lpwstr/>
  </property>
  <property fmtid="{D5CDD505-2E9C-101B-9397-08002B2CF9AE}" pid="25" name="UNDPDocumentCategoryTaxHTField0">
    <vt:lpwstr/>
  </property>
  <property fmtid="{D5CDD505-2E9C-101B-9397-08002B2CF9AE}" pid="26" name="UNDPCountryTaxHTField0">
    <vt:lpwstr/>
  </property>
  <property fmtid="{D5CDD505-2E9C-101B-9397-08002B2CF9AE}" pid="27" name="c4e2ab2cc9354bbf9064eeb465a566ea">
    <vt:lpwstr/>
  </property>
  <property fmtid="{D5CDD505-2E9C-101B-9397-08002B2CF9AE}" pid="28" name="UN LanguagesTaxHTField0">
    <vt:lpwstr>English|7f98b732-4b5b-4b70-ba90-a0eff09b5d2d</vt:lpwstr>
  </property>
  <property fmtid="{D5CDD505-2E9C-101B-9397-08002B2CF9AE}" pid="29" name="TaxCatchAll">
    <vt:lpwstr>1189;#Social and Environmental Standards (SES)|7a9dffd9-0b1f-4966-9938-9886c04c9893;#1325;#ERI|867a7825-6c9b-44fa-9bc2-dfb760227d67;#1;#English|7f98b732-4b5b-4b70-ba90-a0eff09b5d2d;#763;#Draft|121d40a5-e62e-4d42-82e4-d6d12003de0a</vt:lpwstr>
  </property>
  <property fmtid="{D5CDD505-2E9C-101B-9397-08002B2CF9AE}" pid="30" name="UndpDocTypeMMTaxHTField0">
    <vt:lpwstr/>
  </property>
  <property fmtid="{D5CDD505-2E9C-101B-9397-08002B2CF9AE}" pid="31" name="UNDPPOPPFunctionalArea">
    <vt:lpwstr>Programme and Project</vt:lpwstr>
  </property>
  <property fmtid="{D5CDD505-2E9C-101B-9397-08002B2CF9AE}" pid="32" name="gc6531b704974d528487414686b72f6f">
    <vt:lpwstr>ERI|867a7825-6c9b-44fa-9bc2-dfb760227d67</vt:lpwstr>
  </property>
  <property fmtid="{D5CDD505-2E9C-101B-9397-08002B2CF9AE}" pid="33" name="Operating Unit0">
    <vt:lpwstr>1325;#ERI|867a7825-6c9b-44fa-9bc2-dfb760227d67</vt:lpwstr>
  </property>
  <property fmtid="{D5CDD505-2E9C-101B-9397-08002B2CF9AE}" pid="34" name="Atlas Document Status">
    <vt:lpwstr>763;#Draft|121d40a5-e62e-4d42-82e4-d6d12003de0a</vt:lpwstr>
  </property>
  <property fmtid="{D5CDD505-2E9C-101B-9397-08002B2CF9AE}" pid="35" name="UNDPPublishedDate">
    <vt:filetime>2022-03-19T19:00:00Z</vt:filetime>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Document Coverage Period End Date">
    <vt:filetime>2024-12-31T06:00:00Z</vt:filetime>
  </property>
  <property fmtid="{D5CDD505-2E9C-101B-9397-08002B2CF9AE}" pid="39" name="idff2b682fce4d0680503cd9036a3260">
    <vt:lpwstr>Social and Environmental Standards (SES)|7a9dffd9-0b1f-4966-9938-9886c04c9893</vt:lpwstr>
  </property>
  <property fmtid="{D5CDD505-2E9C-101B-9397-08002B2CF9AE}" pid="40" name="Atlas Document Type">
    <vt:lpwstr>1189;#Social and Environmental Standards (SES)|7a9dffd9-0b1f-4966-9938-9886c04c9893</vt:lpwstr>
  </property>
  <property fmtid="{D5CDD505-2E9C-101B-9397-08002B2CF9AE}" pid="41" name="UndpProjectNo">
    <vt:lpwstr>95534</vt:lpwstr>
  </property>
  <property fmtid="{D5CDD505-2E9C-101B-9397-08002B2CF9AE}" pid="42" name="UndpOUCode">
    <vt:lpwstr/>
  </property>
  <property fmtid="{D5CDD505-2E9C-101B-9397-08002B2CF9AE}" pid="44" name="DocumentSetDescription">
    <vt:lpwstr/>
  </property>
  <property fmtid="{D5CDD505-2E9C-101B-9397-08002B2CF9AE}" pid="45" name="UnitTaxHTField0">
    <vt:lpwstr/>
  </property>
  <property fmtid="{D5CDD505-2E9C-101B-9397-08002B2CF9AE}" pid="46" name="Project Manager">
    <vt:lpwstr/>
  </property>
  <property fmtid="{D5CDD505-2E9C-101B-9397-08002B2CF9AE}" pid="47" name="_Publisher">
    <vt:lpwstr/>
  </property>
  <property fmtid="{D5CDD505-2E9C-101B-9397-08002B2CF9AE}" pid="48" name="UndpDocStatus">
    <vt:lpwstr/>
  </property>
  <property fmtid="{D5CDD505-2E9C-101B-9397-08002B2CF9AE}" pid="49" name="Project Number">
    <vt:lpwstr/>
  </property>
  <property fmtid="{D5CDD505-2E9C-101B-9397-08002B2CF9AE}" pid="50" name="UndpDocFormat">
    <vt:lpwstr/>
  </property>
  <property fmtid="{D5CDD505-2E9C-101B-9397-08002B2CF9AE}" pid="51" name="Unit">
    <vt:lpwstr/>
  </property>
  <property fmtid="{D5CDD505-2E9C-101B-9397-08002B2CF9AE}" pid="52" name="UndpIsTemplate">
    <vt:lpwstr/>
  </property>
  <property fmtid="{D5CDD505-2E9C-101B-9397-08002B2CF9AE}" pid="53" name="URL">
    <vt:lpwstr/>
  </property>
  <property fmtid="{D5CDD505-2E9C-101B-9397-08002B2CF9AE}" pid="54" name="UndpDocID">
    <vt:lpwstr/>
  </property>
  <property fmtid="{D5CDD505-2E9C-101B-9397-08002B2CF9AE}" pid="55" name="Outcome1">
    <vt:lpwstr/>
  </property>
  <property fmtid="{D5CDD505-2E9C-101B-9397-08002B2CF9AE}" pid="56" name="UNDPSummary">
    <vt:lpwstr/>
  </property>
</Properties>
</file>