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8A030" w14:textId="77777777" w:rsidR="002A610B" w:rsidRDefault="005E5F0D" w:rsidP="005E5F0D">
      <w:pPr>
        <w:pStyle w:val="Heading1"/>
        <w:numPr>
          <w:ilvl w:val="0"/>
          <w:numId w:val="0"/>
        </w:numPr>
      </w:pPr>
      <w:bookmarkStart w:id="0" w:name="_Toc26282757"/>
      <w:r>
        <w:t>Social and Environmental Sc</w:t>
      </w:r>
    </w:p>
    <w:p w14:paraId="06D0B98A" w14:textId="257823F8" w:rsidR="005E5F0D" w:rsidRDefault="005E5F0D" w:rsidP="005E5F0D">
      <w:pPr>
        <w:pStyle w:val="Heading1"/>
        <w:numPr>
          <w:ilvl w:val="0"/>
          <w:numId w:val="0"/>
        </w:numPr>
      </w:pPr>
      <w:proofErr w:type="spellStart"/>
      <w:r>
        <w:t>reening</w:t>
      </w:r>
      <w:proofErr w:type="spellEnd"/>
      <w:r>
        <w:t xml:space="preserve">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09056BCC" w:rsidR="005E5F0D" w:rsidRPr="009831EA" w:rsidRDefault="009831EA" w:rsidP="00ED7343">
            <w:pPr>
              <w:rPr>
                <w:rFonts w:eastAsia="MS Mincho" w:cs="Arial"/>
                <w:lang w:eastAsia="ja-JP"/>
              </w:rPr>
            </w:pPr>
            <w:r w:rsidRPr="009831EA">
              <w:rPr>
                <w:rFonts w:eastAsia="MS Mincho" w:cs="Arial"/>
                <w:lang w:eastAsia="ja-JP"/>
              </w:rPr>
              <w:t>Governance Reform Fund (GRF) – Phase IV</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w:t>
            </w:r>
            <w:proofErr w:type="gramStart"/>
            <w:r w:rsidRPr="00310069">
              <w:rPr>
                <w:rFonts w:ascii="Arial" w:hAnsi="Arial" w:cs="Arial"/>
                <w:sz w:val="18"/>
                <w:szCs w:val="18"/>
              </w:rPr>
              <w:t>i.e.</w:t>
            </w:r>
            <w:proofErr w:type="gramEnd"/>
            <w:r w:rsidRPr="00310069">
              <w:rPr>
                <w:rFonts w:ascii="Arial" w:hAnsi="Arial" w:cs="Arial"/>
                <w:sz w:val="18"/>
                <w:szCs w:val="18"/>
              </w:rPr>
              <w:t xml:space="preserve"> Atlas project ID, PIMS+)</w:t>
            </w:r>
          </w:p>
        </w:tc>
        <w:tc>
          <w:tcPr>
            <w:tcW w:w="9023" w:type="dxa"/>
            <w:vAlign w:val="center"/>
          </w:tcPr>
          <w:p w14:paraId="31D74514" w14:textId="688A5530" w:rsidR="005E5F0D" w:rsidRPr="009831EA" w:rsidRDefault="009831EA" w:rsidP="00ED7343">
            <w:pPr>
              <w:rPr>
                <w:rFonts w:eastAsia="MS Mincho" w:cs="Arial"/>
                <w:lang w:eastAsia="ja-JP"/>
              </w:rPr>
            </w:pPr>
            <w:r w:rsidRPr="009831EA">
              <w:rPr>
                <w:rFonts w:eastAsia="MS Mincho" w:cs="Arial"/>
                <w:lang w:eastAsia="ja-JP"/>
              </w:rPr>
              <w:t>00136398 / Output: 00127317: GEN2</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1C2B7D96" w:rsidR="005E5F0D" w:rsidRPr="009831EA" w:rsidRDefault="009831EA" w:rsidP="00ED7343">
            <w:pPr>
              <w:rPr>
                <w:rFonts w:eastAsia="MS Mincho" w:cs="Arial"/>
                <w:lang w:eastAsia="ja-JP"/>
              </w:rPr>
            </w:pPr>
            <w:r w:rsidRPr="009831EA">
              <w:rPr>
                <w:rFonts w:eastAsia="MS Mincho" w:cs="Arial"/>
                <w:lang w:eastAsia="ja-JP"/>
              </w:rPr>
              <w:t>Georgia</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6C15C746" w:rsidR="005E5F0D" w:rsidRPr="009831EA" w:rsidRDefault="009831EA" w:rsidP="00ED7343">
            <w:pPr>
              <w:rPr>
                <w:rFonts w:eastAsia="MS Mincho" w:cs="Arial"/>
                <w:lang w:eastAsia="ja-JP"/>
              </w:rPr>
            </w:pPr>
            <w:r w:rsidRPr="009831EA">
              <w:rPr>
                <w:rFonts w:eastAsia="MS Mincho" w:cs="Arial"/>
                <w:lang w:eastAsia="ja-JP"/>
              </w:rP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0910E79F" w:rsidR="005E5F0D" w:rsidRPr="009831EA" w:rsidRDefault="009831EA" w:rsidP="00ED7343">
            <w:pPr>
              <w:rPr>
                <w:rFonts w:eastAsia="MS Mincho" w:cs="Arial"/>
                <w:lang w:eastAsia="ja-JP"/>
              </w:rPr>
            </w:pPr>
            <w:r w:rsidRPr="009831EA">
              <w:rPr>
                <w:rFonts w:eastAsia="MS Mincho" w:cs="Arial"/>
                <w:lang w:eastAsia="ja-JP"/>
              </w:rPr>
              <w:t>01 January 2022</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9831EA">
        <w:trPr>
          <w:trHeight w:val="1925"/>
        </w:trPr>
        <w:tc>
          <w:tcPr>
            <w:tcW w:w="13248" w:type="dxa"/>
          </w:tcPr>
          <w:p w14:paraId="5E92B005" w14:textId="7D1502FA" w:rsidR="005E5F0D" w:rsidRPr="009831EA" w:rsidRDefault="009831EA" w:rsidP="009831EA">
            <w:pPr>
              <w:pStyle w:val="ColorfulList-Accent11"/>
              <w:keepNext/>
              <w:keepLines/>
              <w:tabs>
                <w:tab w:val="left" w:pos="432"/>
              </w:tabs>
              <w:spacing w:before="60" w:after="60" w:line="276" w:lineRule="auto"/>
              <w:ind w:left="0"/>
              <w:jc w:val="both"/>
              <w:outlineLvl w:val="7"/>
              <w:rPr>
                <w:szCs w:val="20"/>
              </w:rPr>
            </w:pPr>
            <w:r w:rsidRPr="009831EA">
              <w:rPr>
                <w:rFonts w:ascii="Arial" w:eastAsia="Times New Roman" w:hAnsi="Arial" w:cs="Frutiger 45 Light"/>
                <w:bCs/>
                <w:iCs/>
                <w:szCs w:val="20"/>
                <w:lang w:eastAsia="en-US"/>
              </w:rPr>
              <w:t>In the framework of the project, GRF will integrate Human-Rights Based Approach (HRBA) as a cross-cutting theme to its interventions by drawing attention to the accountability to respect, protect, promote and fulfil the human rights of all people. Increased focus on accountability will hold the key to improved effectiveness and transparency of initiatives. Another important value provided by the application of the HRBA will be the focus on the most vulnerable, marginalized, and excluded in society as their human rights are most widely denied or left unfulfilled (whether in the social, economic, political, civil, or cultural spheres and often, a combination of these) through the establishment of citizen-centric governance systems.</w:t>
            </w:r>
            <w:r>
              <w:rPr>
                <w:rFonts w:ascii="Arial" w:eastAsia="Times New Roman" w:hAnsi="Arial" w:cs="Frutiger 45 Light"/>
                <w:bCs/>
                <w:iCs/>
                <w:szCs w:val="20"/>
                <w:lang w:eastAsia="en-US"/>
              </w:rPr>
              <w:t xml:space="preserve"> </w:t>
            </w:r>
            <w:r w:rsidRPr="009831EA">
              <w:rPr>
                <w:rFonts w:ascii="Arial" w:eastAsia="Times New Roman" w:hAnsi="Arial" w:cs="Frutiger 45 Light"/>
                <w:bCs/>
                <w:iCs/>
                <w:szCs w:val="20"/>
                <w:lang w:eastAsia="en-US"/>
              </w:rPr>
              <w:t xml:space="preserve">HRBA will generally lead to better </w:t>
            </w:r>
            <w:proofErr w:type="spellStart"/>
            <w:r w:rsidRPr="009831EA">
              <w:rPr>
                <w:rFonts w:ascii="Arial" w:eastAsia="Times New Roman" w:hAnsi="Arial" w:cs="Frutiger 45 Light"/>
                <w:bCs/>
                <w:iCs/>
                <w:szCs w:val="20"/>
                <w:lang w:eastAsia="en-US"/>
              </w:rPr>
              <w:t>analysed</w:t>
            </w:r>
            <w:proofErr w:type="spellEnd"/>
            <w:r w:rsidRPr="009831EA">
              <w:rPr>
                <w:rFonts w:ascii="Arial" w:eastAsia="Times New Roman" w:hAnsi="Arial" w:cs="Frutiger 45 Light"/>
                <w:bCs/>
                <w:iCs/>
                <w:szCs w:val="20"/>
                <w:lang w:eastAsia="en-US"/>
              </w:rPr>
              <w:t xml:space="preserve"> and more focused strategic interventions by providing the normative foundation for tackling democratic governance issues, including those related with the environmental governance. Those good governance dimensions shall enable the GRF project to align the HRBA principles with consistent analysis of interventions through these lenses. Furthermore, the GRF team will capitalize on the strengths of EU supported and UNDP implemented Human Rights project to seek guidance, advice, and synergy during the next phases.</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D93A5B">
        <w:trPr>
          <w:trHeight w:val="2240"/>
        </w:trPr>
        <w:tc>
          <w:tcPr>
            <w:tcW w:w="13248" w:type="dxa"/>
          </w:tcPr>
          <w:p w14:paraId="4E4D837A" w14:textId="0CC3CE9A" w:rsidR="005E5F0D" w:rsidRPr="00D93A5B" w:rsidRDefault="009831EA" w:rsidP="00D93A5B">
            <w:pPr>
              <w:pStyle w:val="ColorfulList-Accent11"/>
              <w:keepNext/>
              <w:keepLines/>
              <w:tabs>
                <w:tab w:val="left" w:pos="432"/>
              </w:tabs>
              <w:spacing w:before="60" w:after="60" w:line="276" w:lineRule="auto"/>
              <w:ind w:left="0"/>
              <w:jc w:val="both"/>
              <w:outlineLvl w:val="7"/>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lastRenderedPageBreak/>
              <w:t>Within the framework of GRF, UNDP will engage with national counterparts to ensure that gender mainstreaming is observed in the design and implementation of interventions (</w:t>
            </w:r>
            <w:proofErr w:type="gramStart"/>
            <w:r w:rsidRPr="009831EA">
              <w:rPr>
                <w:rFonts w:ascii="Arial" w:eastAsia="Times New Roman" w:hAnsi="Arial" w:cs="Frutiger 45 Light"/>
                <w:bCs/>
                <w:iCs/>
                <w:szCs w:val="20"/>
                <w:lang w:eastAsia="en-US"/>
              </w:rPr>
              <w:t>i.e.</w:t>
            </w:r>
            <w:proofErr w:type="gramEnd"/>
            <w:r w:rsidRPr="009831EA">
              <w:rPr>
                <w:rFonts w:ascii="Arial" w:eastAsia="Times New Roman" w:hAnsi="Arial" w:cs="Frutiger 45 Light"/>
                <w:bCs/>
                <w:iCs/>
                <w:szCs w:val="20"/>
                <w:lang w:eastAsia="en-US"/>
              </w:rPr>
              <w:t xml:space="preserve"> impacts on gender equality are analysed in the design phase, gender equality is maintained in implementation, and gender-disaggregated data are collected, where possible, for monitoring and evaluation purposes). Capacity-building measures have a long-term effect on representation and power relations in institutions, and therefore close attention will be paid in the current GRF phase to ensuring that women are proactively involved in the development and implementation of project activities and that they equally benefit from the results. Moreover, fair representation will be sought in different consultative processes, and female experts will be recruited whenever possible.</w:t>
            </w:r>
            <w:r>
              <w:rPr>
                <w:rFonts w:ascii="Arial" w:eastAsia="Times New Roman" w:hAnsi="Arial" w:cs="Frutiger 45 Light"/>
                <w:bCs/>
                <w:iCs/>
                <w:szCs w:val="20"/>
                <w:lang w:eastAsia="en-US"/>
              </w:rPr>
              <w:t xml:space="preserve"> </w:t>
            </w:r>
            <w:r w:rsidRPr="009831EA">
              <w:rPr>
                <w:rFonts w:ascii="Arial" w:eastAsia="Times New Roman" w:hAnsi="Arial" w:cs="Frutiger 45 Light"/>
                <w:bCs/>
                <w:iCs/>
                <w:szCs w:val="20"/>
                <w:lang w:eastAsia="en-US"/>
              </w:rPr>
              <w:t xml:space="preserve">In addition, the GRF team will utilize the knowledge and experience of the Government of Sweden- supported and UNDP implemented Gender project to explore potential avenues for synergies, collaboration and expertise during the implementation phase. </w:t>
            </w: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0341C869" w14:textId="77777777" w:rsidR="009831EA" w:rsidRPr="009831EA" w:rsidRDefault="009831EA" w:rsidP="009831EA">
            <w:pPr>
              <w:pStyle w:val="ColorfulList-Accent11"/>
              <w:tabs>
                <w:tab w:val="left" w:pos="432"/>
              </w:tabs>
              <w:spacing w:before="60" w:after="60"/>
              <w:ind w:left="-3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 xml:space="preserve">The sustainability of the project is a prerequisite to developing good governance practices and building a professional civil service. In other words, GRF will continue to work </w:t>
            </w:r>
            <w:proofErr w:type="gramStart"/>
            <w:r w:rsidRPr="009831EA">
              <w:rPr>
                <w:rFonts w:ascii="Arial" w:eastAsia="Times New Roman" w:hAnsi="Arial" w:cs="Frutiger 45 Light"/>
                <w:bCs/>
                <w:iCs/>
                <w:szCs w:val="20"/>
                <w:lang w:eastAsia="en-US"/>
              </w:rPr>
              <w:t>hand-in-hand</w:t>
            </w:r>
            <w:proofErr w:type="gramEnd"/>
            <w:r w:rsidRPr="009831EA">
              <w:rPr>
                <w:rFonts w:ascii="Arial" w:eastAsia="Times New Roman" w:hAnsi="Arial" w:cs="Frutiger 45 Light"/>
                <w:bCs/>
                <w:iCs/>
                <w:szCs w:val="20"/>
                <w:lang w:eastAsia="en-US"/>
              </w:rPr>
              <w:t xml:space="preserve"> with the Government in building the national capacity of state institutions to better manage public administration-related challenges. </w:t>
            </w:r>
          </w:p>
          <w:p w14:paraId="0DB20C9C" w14:textId="77777777" w:rsidR="009831EA" w:rsidRPr="009831EA" w:rsidRDefault="009831EA" w:rsidP="009831EA">
            <w:pPr>
              <w:pStyle w:val="ColorfulList-Accent11"/>
              <w:tabs>
                <w:tab w:val="left" w:pos="432"/>
              </w:tabs>
              <w:spacing w:before="60" w:after="60"/>
              <w:ind w:left="-3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 xml:space="preserve">Through a demand-driven, result-oriented, and on-the-job knowledge and skills transfer approach, the project will lay the foundation for sustainable results. GRF will respond to the needs and priorities identified by public institutions at the individual and organizational/institutional levels. Moreover, the project will create an environment that fosters sustainability, incorporating ownership, transparency, and accountability principles. </w:t>
            </w:r>
          </w:p>
          <w:p w14:paraId="029A7373" w14:textId="72CBABE3" w:rsidR="009831EA" w:rsidRPr="009831EA" w:rsidRDefault="009831EA" w:rsidP="009831EA">
            <w:pPr>
              <w:pStyle w:val="ColorfulList-Accent11"/>
              <w:tabs>
                <w:tab w:val="left" w:pos="432"/>
              </w:tabs>
              <w:spacing w:before="60" w:after="60"/>
              <w:ind w:left="-3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 xml:space="preserve">The sustainability of initiatives and the results will continue to be of the highest priority for UNDP in the GRF project as </w:t>
            </w:r>
            <w:r w:rsidR="00D93A5B" w:rsidRPr="009831EA">
              <w:rPr>
                <w:rFonts w:ascii="Arial" w:eastAsia="Times New Roman" w:hAnsi="Arial" w:cs="Frutiger 45 Light"/>
                <w:bCs/>
                <w:iCs/>
                <w:szCs w:val="20"/>
                <w:lang w:eastAsia="en-US"/>
              </w:rPr>
              <w:t>this criterion</w:t>
            </w:r>
            <w:r w:rsidRPr="009831EA">
              <w:rPr>
                <w:rFonts w:ascii="Arial" w:eastAsia="Times New Roman" w:hAnsi="Arial" w:cs="Frutiger 45 Light"/>
                <w:bCs/>
                <w:iCs/>
                <w:szCs w:val="20"/>
                <w:lang w:eastAsia="en-US"/>
              </w:rPr>
              <w:t xml:space="preserve"> is one of the key determinants for selecting initiatives for both CDF and ODS modalities. Moreover, the sustainability of the deliverables will be considered during the Project Board Meetings while presenting the project achievements. Pertinently, the experience and lessons learned from previous interventions as well as UNDP good practices, in general, will feed into the sustainability strategy of the project’s next phase. The approach effectively practiced by the GRF project from its very beginning has been to implement and maintain effective initiatives and systems that are continually responsive to stakeholders’ needs. This has been accomplished by examining factors that can increase the sustainability of interventions and their results if addressed diligently through strategic planning. </w:t>
            </w:r>
          </w:p>
          <w:p w14:paraId="7A4BC4C9" w14:textId="77777777" w:rsidR="009831EA" w:rsidRPr="009831EA" w:rsidRDefault="009831EA" w:rsidP="009831EA">
            <w:pPr>
              <w:pStyle w:val="ColorfulList-Accent11"/>
              <w:tabs>
                <w:tab w:val="left" w:pos="432"/>
              </w:tabs>
              <w:spacing w:before="60" w:after="60"/>
              <w:ind w:left="-3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 xml:space="preserve">Key risks that may jeopardize the sustainability of the next phase are as follows: </w:t>
            </w:r>
          </w:p>
          <w:p w14:paraId="47C95433"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Elections (municipal and parliamentary) could delay or even prevent implementation, and/or lead to personnel changes in partner agency leadership and subsequent priority changes.</w:t>
            </w:r>
          </w:p>
          <w:p w14:paraId="11AFF8C7"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Lack of ownership and commitment from the national partners.</w:t>
            </w:r>
          </w:p>
          <w:p w14:paraId="26E7B260"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Frequent changes in the senior management of implementing or beneficiary partner state institutions.</w:t>
            </w:r>
          </w:p>
          <w:p w14:paraId="21B2DCAD"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 xml:space="preserve">Changes in the priority directions of </w:t>
            </w:r>
            <w:proofErr w:type="spellStart"/>
            <w:r w:rsidRPr="009831EA">
              <w:rPr>
                <w:rFonts w:ascii="Arial" w:eastAsia="Times New Roman" w:hAnsi="Arial" w:cs="Frutiger 45 Light"/>
                <w:bCs/>
                <w:iCs/>
                <w:szCs w:val="20"/>
                <w:lang w:eastAsia="en-US"/>
              </w:rPr>
              <w:t>GoG</w:t>
            </w:r>
            <w:proofErr w:type="spellEnd"/>
            <w:r w:rsidRPr="009831EA">
              <w:rPr>
                <w:rFonts w:ascii="Arial" w:eastAsia="Times New Roman" w:hAnsi="Arial" w:cs="Frutiger 45 Light"/>
                <w:bCs/>
                <w:iCs/>
                <w:szCs w:val="20"/>
                <w:lang w:eastAsia="en-US"/>
              </w:rPr>
              <w:t>.</w:t>
            </w:r>
          </w:p>
          <w:p w14:paraId="65C89D7B"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Continued spread of COVID-19 and extension of corresponding restrictions; and</w:t>
            </w:r>
          </w:p>
          <w:p w14:paraId="5C4E6035" w14:textId="77777777" w:rsidR="009831EA" w:rsidRPr="009831EA" w:rsidRDefault="009831EA" w:rsidP="009831EA">
            <w:pPr>
              <w:pStyle w:val="ColorfulList-Accent11"/>
              <w:tabs>
                <w:tab w:val="left" w:pos="432"/>
              </w:tabs>
              <w:spacing w:before="60" w:after="60"/>
              <w:ind w:left="42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w:t>
            </w:r>
            <w:r w:rsidRPr="009831EA">
              <w:rPr>
                <w:rFonts w:ascii="Arial" w:eastAsia="Times New Roman" w:hAnsi="Arial" w:cs="Frutiger 45 Light"/>
                <w:bCs/>
                <w:iCs/>
                <w:szCs w:val="20"/>
                <w:lang w:eastAsia="en-US"/>
              </w:rPr>
              <w:tab/>
              <w:t>Changes in the senior political leadership.</w:t>
            </w:r>
          </w:p>
          <w:p w14:paraId="19AD1EF8" w14:textId="6FC3354E" w:rsidR="005E5F0D" w:rsidRPr="009831EA" w:rsidRDefault="009831EA" w:rsidP="009831EA">
            <w:pPr>
              <w:pStyle w:val="ColorfulList-Accent11"/>
              <w:tabs>
                <w:tab w:val="left" w:pos="432"/>
              </w:tabs>
              <w:spacing w:before="60" w:after="60"/>
              <w:ind w:left="-30"/>
              <w:jc w:val="both"/>
              <w:rPr>
                <w:rFonts w:ascii="Arial" w:eastAsia="Times New Roman" w:hAnsi="Arial" w:cs="Frutiger 45 Light"/>
                <w:bCs/>
                <w:iCs/>
                <w:szCs w:val="20"/>
                <w:lang w:eastAsia="en-US"/>
              </w:rPr>
            </w:pPr>
            <w:r w:rsidRPr="009831EA">
              <w:rPr>
                <w:rFonts w:ascii="Arial" w:eastAsia="Times New Roman" w:hAnsi="Arial" w:cs="Frutiger 45 Light"/>
                <w:bCs/>
                <w:iCs/>
                <w:szCs w:val="20"/>
                <w:lang w:eastAsia="en-US"/>
              </w:rPr>
              <w:t xml:space="preserve">However, the GRF team will </w:t>
            </w:r>
            <w:r w:rsidR="00D93A5B" w:rsidRPr="009831EA">
              <w:rPr>
                <w:rFonts w:ascii="Arial" w:eastAsia="Times New Roman" w:hAnsi="Arial" w:cs="Frutiger 45 Light"/>
                <w:bCs/>
                <w:iCs/>
                <w:szCs w:val="20"/>
                <w:lang w:eastAsia="en-US"/>
              </w:rPr>
              <w:t>instill</w:t>
            </w:r>
            <w:r w:rsidRPr="009831EA">
              <w:rPr>
                <w:rFonts w:ascii="Arial" w:eastAsia="Times New Roman" w:hAnsi="Arial" w:cs="Frutiger 45 Light"/>
                <w:bCs/>
                <w:iCs/>
                <w:szCs w:val="20"/>
                <w:lang w:eastAsia="en-US"/>
              </w:rPr>
              <w:t xml:space="preserve"> a high degree of ownership among the beneficiary agencies regarding the design, development, implementation, and sustainability of respective initiatives. By concentrating support on </w:t>
            </w:r>
            <w:proofErr w:type="spellStart"/>
            <w:r w:rsidRPr="009831EA">
              <w:rPr>
                <w:rFonts w:ascii="Arial" w:eastAsia="Times New Roman" w:hAnsi="Arial" w:cs="Frutiger 45 Light"/>
                <w:bCs/>
                <w:iCs/>
                <w:szCs w:val="20"/>
                <w:lang w:eastAsia="en-US"/>
              </w:rPr>
              <w:t>GoG’s</w:t>
            </w:r>
            <w:proofErr w:type="spellEnd"/>
            <w:r w:rsidRPr="009831EA">
              <w:rPr>
                <w:rFonts w:ascii="Arial" w:eastAsia="Times New Roman" w:hAnsi="Arial" w:cs="Frutiger 45 Light"/>
                <w:bCs/>
                <w:iCs/>
                <w:szCs w:val="20"/>
                <w:lang w:eastAsia="en-US"/>
              </w:rPr>
              <w:t xml:space="preserve"> priority areas, continuing to provide demand-driven assistance, and implementing principles of ownership and cooperation, potential risks would be reduced.</w:t>
            </w:r>
          </w:p>
        </w:tc>
      </w:tr>
      <w:tr w:rsidR="005E5F0D" w:rsidRPr="004B3E18" w14:paraId="1BBB6B66" w14:textId="77777777" w:rsidTr="00ED7343">
        <w:tc>
          <w:tcPr>
            <w:tcW w:w="13248" w:type="dxa"/>
            <w:shd w:val="clear" w:color="auto" w:fill="C6DAF1"/>
          </w:tcPr>
          <w:p w14:paraId="41595916" w14:textId="77777777" w:rsidR="005E5F0D" w:rsidRPr="004B3E18" w:rsidRDefault="005E5F0D" w:rsidP="00ED7343">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ED7343">
        <w:trPr>
          <w:trHeight w:val="440"/>
        </w:trPr>
        <w:tc>
          <w:tcPr>
            <w:tcW w:w="13248" w:type="dxa"/>
          </w:tcPr>
          <w:p w14:paraId="49DD1B53" w14:textId="77777777" w:rsidR="0088627F" w:rsidRPr="0088627F" w:rsidRDefault="0088627F" w:rsidP="0088627F">
            <w:pPr>
              <w:pStyle w:val="ColorfulList-Accent11"/>
              <w:tabs>
                <w:tab w:val="left" w:pos="432"/>
              </w:tabs>
              <w:spacing w:before="60" w:after="60"/>
              <w:ind w:left="-30"/>
              <w:jc w:val="both"/>
              <w:rPr>
                <w:rFonts w:ascii="Arial" w:eastAsia="Times New Roman" w:hAnsi="Arial" w:cs="Frutiger 45 Light"/>
                <w:bCs/>
                <w:iCs/>
                <w:szCs w:val="20"/>
                <w:lang w:eastAsia="en-US"/>
              </w:rPr>
            </w:pPr>
            <w:r w:rsidRPr="0088627F">
              <w:rPr>
                <w:rFonts w:ascii="Arial" w:eastAsia="Times New Roman" w:hAnsi="Arial" w:cs="Frutiger 45 Light"/>
                <w:bCs/>
                <w:iCs/>
                <w:szCs w:val="20"/>
                <w:lang w:eastAsia="en-US"/>
              </w:rPr>
              <w:t xml:space="preserve">GRF intends to create an environment for multi-stakeholder collaboration, strengthen partnerships with key actors and implementing partners, stimulate experience sharing while at the same time expanding the capabilities of applying gender lens and giving impetus to the cooperation patterns where gender and inclusivity aspects are supported.   </w:t>
            </w:r>
          </w:p>
          <w:p w14:paraId="438BA7D1" w14:textId="77777777" w:rsidR="0088627F" w:rsidRDefault="0088627F" w:rsidP="0088627F">
            <w:pPr>
              <w:pStyle w:val="ColorfulList-Accent11"/>
              <w:tabs>
                <w:tab w:val="left" w:pos="432"/>
              </w:tabs>
              <w:spacing w:before="60" w:after="60"/>
              <w:ind w:left="-30"/>
              <w:jc w:val="both"/>
              <w:rPr>
                <w:rFonts w:ascii="Arial" w:eastAsia="Times New Roman" w:hAnsi="Arial" w:cs="Frutiger 45 Light"/>
                <w:bCs/>
                <w:iCs/>
                <w:szCs w:val="20"/>
                <w:lang w:eastAsia="en-US"/>
              </w:rPr>
            </w:pPr>
            <w:r>
              <w:rPr>
                <w:rFonts w:ascii="Arial" w:eastAsia="Times New Roman" w:hAnsi="Arial" w:cs="Frutiger 45 Light"/>
                <w:bCs/>
                <w:iCs/>
                <w:szCs w:val="20"/>
                <w:lang w:eastAsia="en-US"/>
              </w:rPr>
              <w:t xml:space="preserve">The </w:t>
            </w:r>
            <w:r w:rsidRPr="0088627F">
              <w:rPr>
                <w:rFonts w:ascii="Arial" w:eastAsia="Times New Roman" w:hAnsi="Arial" w:cs="Frutiger 45 Light"/>
                <w:bCs/>
                <w:iCs/>
                <w:szCs w:val="20"/>
                <w:lang w:eastAsia="en-US"/>
              </w:rPr>
              <w:t>A</w:t>
            </w:r>
            <w:r>
              <w:rPr>
                <w:rFonts w:ascii="Arial" w:eastAsia="Times New Roman" w:hAnsi="Arial" w:cs="Frutiger 45 Light"/>
                <w:bCs/>
                <w:iCs/>
                <w:szCs w:val="20"/>
                <w:lang w:eastAsia="en-US"/>
              </w:rPr>
              <w:t xml:space="preserve">dministration of the Government of Georgia </w:t>
            </w:r>
            <w:r w:rsidRPr="0088627F">
              <w:rPr>
                <w:rFonts w:ascii="Arial" w:eastAsia="Times New Roman" w:hAnsi="Arial" w:cs="Frutiger 45 Light"/>
                <w:bCs/>
                <w:iCs/>
                <w:szCs w:val="20"/>
                <w:lang w:eastAsia="en-US"/>
              </w:rPr>
              <w:t xml:space="preserve">(with its Policy Planning Unit (PPU) and the Donor Coordination Unit (DCU)) will serve as the project’s Implementing Partner to ensure the overall coordination of the processes and at the same time identify the most critical needs, gaps and challenges that should be addressed by GRF in good governance direction, including the environmental one. However, at the implementation level, the project will cooperate with the key state institution, such as the Parliament of Georgia, Ministry of Internally Displaced Persons from the Occupied </w:t>
            </w:r>
            <w:r w:rsidRPr="0088627F">
              <w:rPr>
                <w:rFonts w:ascii="Arial" w:eastAsia="Times New Roman" w:hAnsi="Arial" w:cs="Frutiger 45 Light"/>
                <w:bCs/>
                <w:iCs/>
                <w:szCs w:val="20"/>
                <w:lang w:eastAsia="en-US"/>
              </w:rPr>
              <w:lastRenderedPageBreak/>
              <w:t xml:space="preserve">Territories, </w:t>
            </w:r>
            <w:proofErr w:type="spellStart"/>
            <w:r w:rsidRPr="0088627F">
              <w:rPr>
                <w:rFonts w:ascii="Arial" w:eastAsia="Times New Roman" w:hAnsi="Arial" w:cs="Frutiger 45 Light"/>
                <w:bCs/>
                <w:iCs/>
                <w:szCs w:val="20"/>
                <w:lang w:eastAsia="en-US"/>
              </w:rPr>
              <w:t>Labour</w:t>
            </w:r>
            <w:proofErr w:type="spellEnd"/>
            <w:r w:rsidRPr="0088627F">
              <w:rPr>
                <w:rFonts w:ascii="Arial" w:eastAsia="Times New Roman" w:hAnsi="Arial" w:cs="Frutiger 45 Light"/>
                <w:bCs/>
                <w:iCs/>
                <w:szCs w:val="20"/>
                <w:lang w:eastAsia="en-US"/>
              </w:rPr>
              <w:t>, Health and Social Affairs, Ministry of Education and Science, Ministry of Environmental Protection and Agriculture, Ministry of Economy and Sustainable Development, LEPL National Statistics Office of Georgia (</w:t>
            </w:r>
            <w:proofErr w:type="spellStart"/>
            <w:r w:rsidRPr="0088627F">
              <w:rPr>
                <w:rFonts w:ascii="Arial" w:eastAsia="Times New Roman" w:hAnsi="Arial" w:cs="Frutiger 45 Light"/>
                <w:bCs/>
                <w:iCs/>
                <w:szCs w:val="20"/>
                <w:lang w:eastAsia="en-US"/>
              </w:rPr>
              <w:t>Geostat</w:t>
            </w:r>
            <w:proofErr w:type="spellEnd"/>
            <w:r w:rsidRPr="0088627F">
              <w:rPr>
                <w:rFonts w:ascii="Arial" w:eastAsia="Times New Roman" w:hAnsi="Arial" w:cs="Frutiger 45 Light"/>
                <w:bCs/>
                <w:iCs/>
                <w:szCs w:val="20"/>
                <w:lang w:eastAsia="en-US"/>
              </w:rPr>
              <w:t xml:space="preserve">), LEPL Civil Service Bureau of Georgia, LEPL National Center for Disease Control and Public Health, LEPL National Environmental Agency, LEPL Social Service Agency, and other central and local level public agencies. Furthermore, in some instances, the project will encourage engagement of the civil society organizations with extensive experience and a good reputation in the respective sector as well as the think tanks. </w:t>
            </w:r>
          </w:p>
          <w:p w14:paraId="0013E9B2" w14:textId="3256B5DD" w:rsidR="005E5F0D" w:rsidRPr="004B3E18" w:rsidRDefault="0088627F" w:rsidP="0088627F">
            <w:pPr>
              <w:pStyle w:val="ColorfulList-Accent11"/>
              <w:tabs>
                <w:tab w:val="left" w:pos="432"/>
              </w:tabs>
              <w:spacing w:before="60" w:after="60"/>
              <w:ind w:left="-30"/>
              <w:jc w:val="both"/>
              <w:rPr>
                <w:rFonts w:eastAsia="Times New Roman"/>
                <w:i/>
                <w:color w:val="595959"/>
                <w:sz w:val="18"/>
                <w:szCs w:val="18"/>
              </w:rPr>
            </w:pPr>
            <w:r w:rsidRPr="0088627F">
              <w:rPr>
                <w:rFonts w:ascii="Arial" w:eastAsia="Times New Roman" w:hAnsi="Arial" w:cs="Frutiger 45 Light"/>
                <w:bCs/>
                <w:iCs/>
                <w:szCs w:val="20"/>
                <w:lang w:eastAsia="en-US"/>
              </w:rPr>
              <w:t xml:space="preserve">GRF will conduct the project board meetings on an annual basis with the participation of </w:t>
            </w:r>
            <w:proofErr w:type="spellStart"/>
            <w:r w:rsidRPr="0088627F">
              <w:rPr>
                <w:rFonts w:ascii="Arial" w:eastAsia="Times New Roman" w:hAnsi="Arial" w:cs="Frutiger 45 Light"/>
                <w:bCs/>
                <w:iCs/>
                <w:szCs w:val="20"/>
                <w:lang w:eastAsia="en-US"/>
              </w:rPr>
              <w:t>AoG</w:t>
            </w:r>
            <w:proofErr w:type="spellEnd"/>
            <w:r w:rsidRPr="0088627F">
              <w:rPr>
                <w:rFonts w:ascii="Arial" w:eastAsia="Times New Roman" w:hAnsi="Arial" w:cs="Frutiger 45 Light"/>
                <w:bCs/>
                <w:iCs/>
                <w:szCs w:val="20"/>
                <w:lang w:eastAsia="en-US"/>
              </w:rPr>
              <w:t>, donor representatives, and beneficiary state institutions and CSOs to take stock of the ongoing work and evaluate progress towards the set objectives.  During the previous phase of the GRF project, a close partnership has been built with other development partners (such as EU, UKAID, GIZ, USAID) and was engaged in the coordination meetings to update information about its activities. The project will continue engagement in the PAR Donor Coordination meetings organized by donor organizations on a rotation basis averagely once in two months, which supports both policy level communication/intervention and guarantees the complementarity of initiatives.</w:t>
            </w:r>
            <w:r w:rsidRPr="0088627F">
              <w:rPr>
                <w:rFonts w:eastAsia="Times New Roman"/>
                <w:i/>
                <w:color w:val="595959"/>
                <w:sz w:val="18"/>
                <w:szCs w:val="18"/>
              </w:rPr>
              <w:t xml:space="preserve">  </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Pr="00FC6BE8" w:rsidRDefault="005E5F0D" w:rsidP="00ED7343">
            <w:pPr>
              <w:rPr>
                <w:b/>
                <w:i/>
                <w:sz w:val="16"/>
                <w:szCs w:val="16"/>
              </w:rPr>
            </w:pPr>
            <w:r w:rsidRPr="00FC6BE8">
              <w:rPr>
                <w:b/>
                <w:i/>
                <w:sz w:val="16"/>
                <w:szCs w:val="16"/>
              </w:rPr>
              <w:t>Risk Description</w:t>
            </w:r>
          </w:p>
          <w:p w14:paraId="64C49A7E" w14:textId="77777777" w:rsidR="005E5F0D" w:rsidRPr="00FC6BE8" w:rsidRDefault="005E5F0D" w:rsidP="00ED7343">
            <w:pPr>
              <w:rPr>
                <w:b/>
                <w:i/>
                <w:sz w:val="16"/>
                <w:szCs w:val="16"/>
              </w:rPr>
            </w:pPr>
            <w:r w:rsidRPr="00FC6BE8">
              <w:rPr>
                <w:b/>
                <w:i/>
                <w:sz w:val="16"/>
                <w:szCs w:val="16"/>
              </w:rPr>
              <w:t>(broken down by event, cause, impact)</w:t>
            </w:r>
          </w:p>
        </w:tc>
        <w:tc>
          <w:tcPr>
            <w:tcW w:w="1080" w:type="dxa"/>
            <w:shd w:val="clear" w:color="auto" w:fill="C6D9F1"/>
          </w:tcPr>
          <w:p w14:paraId="6567CB22" w14:textId="77777777" w:rsidR="005E5F0D" w:rsidRPr="00FC6BE8" w:rsidRDefault="005E5F0D" w:rsidP="00ED7343">
            <w:pPr>
              <w:rPr>
                <w:b/>
                <w:i/>
                <w:sz w:val="16"/>
                <w:szCs w:val="16"/>
              </w:rPr>
            </w:pPr>
            <w:r w:rsidRPr="00FC6BE8">
              <w:rPr>
                <w:b/>
                <w:i/>
                <w:sz w:val="16"/>
                <w:szCs w:val="16"/>
              </w:rPr>
              <w:t xml:space="preserve">Impact and </w:t>
            </w:r>
            <w:proofErr w:type="gramStart"/>
            <w:r w:rsidRPr="00FC6BE8">
              <w:rPr>
                <w:b/>
                <w:i/>
                <w:sz w:val="16"/>
                <w:szCs w:val="16"/>
              </w:rPr>
              <w:t>Likelihood  (</w:t>
            </w:r>
            <w:proofErr w:type="gramEnd"/>
            <w:r w:rsidRPr="00FC6BE8">
              <w:rPr>
                <w:b/>
                <w:i/>
                <w:sz w:val="16"/>
                <w:szCs w:val="16"/>
              </w:rPr>
              <w:t>1-5)</w:t>
            </w:r>
          </w:p>
        </w:tc>
        <w:tc>
          <w:tcPr>
            <w:tcW w:w="1170" w:type="dxa"/>
            <w:shd w:val="clear" w:color="auto" w:fill="C6D9F1"/>
          </w:tcPr>
          <w:p w14:paraId="59E8BEC0" w14:textId="77777777" w:rsidR="005E5F0D" w:rsidRPr="00FC6BE8" w:rsidRDefault="005E5F0D" w:rsidP="00ED7343">
            <w:pPr>
              <w:rPr>
                <w:b/>
                <w:i/>
                <w:sz w:val="16"/>
                <w:szCs w:val="16"/>
              </w:rPr>
            </w:pPr>
            <w:r w:rsidRPr="00FC6BE8">
              <w:rPr>
                <w:b/>
                <w:i/>
                <w:sz w:val="16"/>
                <w:szCs w:val="16"/>
              </w:rPr>
              <w:t xml:space="preserve">Significance </w:t>
            </w:r>
          </w:p>
          <w:p w14:paraId="50EABF10" w14:textId="77777777" w:rsidR="005E5F0D" w:rsidRPr="00FC6BE8" w:rsidRDefault="005E5F0D" w:rsidP="00ED7343">
            <w:pPr>
              <w:rPr>
                <w:b/>
                <w:i/>
                <w:sz w:val="16"/>
                <w:szCs w:val="16"/>
              </w:rPr>
            </w:pPr>
            <w:r w:rsidRPr="00FC6BE8">
              <w:rPr>
                <w:b/>
                <w:i/>
                <w:sz w:val="16"/>
                <w:szCs w:val="16"/>
              </w:rPr>
              <w:t>(Low, Moderate Substantial, High)</w:t>
            </w:r>
          </w:p>
        </w:tc>
        <w:tc>
          <w:tcPr>
            <w:tcW w:w="2610" w:type="dxa"/>
            <w:gridSpan w:val="2"/>
            <w:shd w:val="clear" w:color="auto" w:fill="C6D9F1"/>
          </w:tcPr>
          <w:p w14:paraId="58B0B78E" w14:textId="77777777" w:rsidR="005E5F0D" w:rsidRPr="00FC6BE8" w:rsidRDefault="005E5F0D" w:rsidP="00ED7343">
            <w:pPr>
              <w:rPr>
                <w:b/>
                <w:i/>
                <w:sz w:val="16"/>
                <w:szCs w:val="16"/>
              </w:rPr>
            </w:pPr>
            <w:r w:rsidRPr="00FC6BE8">
              <w:rPr>
                <w:b/>
                <w:i/>
                <w:sz w:val="16"/>
                <w:szCs w:val="16"/>
              </w:rPr>
              <w:t>Comments (optional)</w:t>
            </w:r>
          </w:p>
        </w:tc>
        <w:tc>
          <w:tcPr>
            <w:tcW w:w="4770" w:type="dxa"/>
            <w:gridSpan w:val="4"/>
            <w:shd w:val="clear" w:color="auto" w:fill="C6D9F1"/>
          </w:tcPr>
          <w:p w14:paraId="0E7EAE43" w14:textId="77777777" w:rsidR="005E5F0D" w:rsidRPr="00FC6BE8" w:rsidRDefault="005E5F0D" w:rsidP="00ED7343">
            <w:pPr>
              <w:rPr>
                <w:b/>
                <w:i/>
                <w:sz w:val="16"/>
                <w:szCs w:val="16"/>
              </w:rPr>
            </w:pPr>
            <w:r w:rsidRPr="00FC6BE8">
              <w:rPr>
                <w:b/>
                <w:i/>
                <w:sz w:val="16"/>
                <w:szCs w:val="16"/>
              </w:rPr>
              <w:t xml:space="preserve">Description of assessment and management measures for risks rated as Moderate, Substantial or High </w:t>
            </w:r>
          </w:p>
        </w:tc>
      </w:tr>
      <w:tr w:rsidR="005E5F0D" w:rsidRPr="004B3E18" w14:paraId="1AE9C0DD" w14:textId="77777777" w:rsidTr="00ED7343">
        <w:tc>
          <w:tcPr>
            <w:tcW w:w="3505" w:type="dxa"/>
            <w:vAlign w:val="center"/>
          </w:tcPr>
          <w:p w14:paraId="0C834970" w14:textId="753BD7AF" w:rsidR="005E5F0D" w:rsidRPr="004B3E18" w:rsidRDefault="005E5F0D" w:rsidP="00ED7343">
            <w:r w:rsidRPr="004B3E18">
              <w:t>Risk 1:</w:t>
            </w:r>
            <w:r w:rsidR="00663539" w:rsidRPr="00CA5F6B">
              <w:rPr>
                <w:rFonts w:cs="Arial"/>
              </w:rPr>
              <w:t xml:space="preserve"> No Risk Identified</w:t>
            </w:r>
          </w:p>
        </w:tc>
        <w:tc>
          <w:tcPr>
            <w:tcW w:w="1080" w:type="dxa"/>
          </w:tcPr>
          <w:p w14:paraId="23A501FD" w14:textId="77777777" w:rsidR="005E5F0D" w:rsidRPr="004B3E18" w:rsidRDefault="005E5F0D" w:rsidP="00ED7343">
            <w:pPr>
              <w:rPr>
                <w:rFonts w:cs="Minion Pro"/>
              </w:rPr>
            </w:pPr>
            <w:r w:rsidRPr="004B3E18">
              <w:rPr>
                <w:rFonts w:cs="Minion Pro"/>
              </w:rPr>
              <w:t xml:space="preserve">I = </w:t>
            </w:r>
          </w:p>
          <w:p w14:paraId="0C4A1883" w14:textId="77777777" w:rsidR="005E5F0D" w:rsidRPr="004B3E18" w:rsidRDefault="005E5F0D" w:rsidP="00ED7343">
            <w:pPr>
              <w:rPr>
                <w:rFonts w:cs="Minion Pro"/>
              </w:rPr>
            </w:pPr>
            <w:r>
              <w:rPr>
                <w:rFonts w:cs="Minion Pro"/>
              </w:rPr>
              <w:t>L</w:t>
            </w:r>
            <w:r w:rsidRPr="004B3E18">
              <w:rPr>
                <w:rFonts w:cs="Minion Pro"/>
              </w:rPr>
              <w:t xml:space="preserve"> =</w:t>
            </w:r>
          </w:p>
        </w:tc>
        <w:tc>
          <w:tcPr>
            <w:tcW w:w="1170" w:type="dxa"/>
          </w:tcPr>
          <w:p w14:paraId="119B05A7" w14:textId="77777777" w:rsidR="005E5F0D" w:rsidRPr="004B3E18" w:rsidRDefault="005E5F0D" w:rsidP="00ED7343">
            <w:pPr>
              <w:rPr>
                <w:b/>
              </w:rPr>
            </w:pPr>
          </w:p>
        </w:tc>
        <w:tc>
          <w:tcPr>
            <w:tcW w:w="2610" w:type="dxa"/>
            <w:gridSpan w:val="2"/>
          </w:tcPr>
          <w:p w14:paraId="033483A8" w14:textId="77777777" w:rsidR="005E5F0D" w:rsidRPr="004B3E18" w:rsidRDefault="005E5F0D" w:rsidP="00ED7343">
            <w:pPr>
              <w:rPr>
                <w:b/>
              </w:rPr>
            </w:pPr>
          </w:p>
        </w:tc>
        <w:tc>
          <w:tcPr>
            <w:tcW w:w="4770" w:type="dxa"/>
            <w:gridSpan w:val="4"/>
          </w:tcPr>
          <w:p w14:paraId="10AB690D" w14:textId="77777777" w:rsidR="005E5F0D" w:rsidRPr="004B3E18" w:rsidRDefault="005E5F0D" w:rsidP="00ED7343">
            <w:pPr>
              <w:rPr>
                <w:b/>
              </w:rPr>
            </w:pPr>
          </w:p>
        </w:tc>
      </w:tr>
      <w:tr w:rsidR="005E5F0D" w:rsidRPr="004B3E18" w14:paraId="69FC12AE" w14:textId="77777777" w:rsidTr="00ED7343">
        <w:trPr>
          <w:trHeight w:val="593"/>
        </w:trPr>
        <w:tc>
          <w:tcPr>
            <w:tcW w:w="3505" w:type="dxa"/>
            <w:vMerge w:val="restart"/>
          </w:tcPr>
          <w:p w14:paraId="51B9A6B2" w14:textId="77777777" w:rsidR="005E5F0D" w:rsidRPr="004B3E18" w:rsidRDefault="005E5F0D" w:rsidP="00ED7343">
            <w:pPr>
              <w:rPr>
                <w:b/>
                <w:szCs w:val="20"/>
              </w:rPr>
            </w:pPr>
          </w:p>
        </w:tc>
        <w:tc>
          <w:tcPr>
            <w:tcW w:w="9630" w:type="dxa"/>
            <w:gridSpan w:val="8"/>
            <w:shd w:val="clear" w:color="auto" w:fill="0F243E"/>
          </w:tcPr>
          <w:p w14:paraId="5A3CCFC8" w14:textId="77777777" w:rsidR="005E5F0D" w:rsidRPr="004B3E18" w:rsidRDefault="005E5F0D" w:rsidP="00ED7343">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00ED7343">
        <w:trPr>
          <w:trHeight w:val="125"/>
        </w:trPr>
        <w:tc>
          <w:tcPr>
            <w:tcW w:w="3505" w:type="dxa"/>
            <w:vMerge/>
          </w:tcPr>
          <w:p w14:paraId="0665940D" w14:textId="77777777" w:rsidR="005E5F0D" w:rsidRPr="004B3E18" w:rsidRDefault="005E5F0D" w:rsidP="00ED7343">
            <w:pPr>
              <w:rPr>
                <w:u w:val="single"/>
              </w:rPr>
            </w:pPr>
          </w:p>
        </w:tc>
        <w:tc>
          <w:tcPr>
            <w:tcW w:w="9630" w:type="dxa"/>
            <w:gridSpan w:val="8"/>
          </w:tcPr>
          <w:p w14:paraId="01ED6D59" w14:textId="77777777" w:rsidR="005E5F0D" w:rsidRPr="00AA7D41"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4B3E18" w:rsidRDefault="005E5F0D" w:rsidP="00ED7343">
            <w:pPr>
              <w:rPr>
                <w:rFonts w:cs="Minion Pro"/>
              </w:rPr>
            </w:pPr>
          </w:p>
        </w:tc>
        <w:tc>
          <w:tcPr>
            <w:tcW w:w="4410" w:type="dxa"/>
            <w:gridSpan w:val="3"/>
            <w:shd w:val="clear" w:color="auto" w:fill="auto"/>
          </w:tcPr>
          <w:p w14:paraId="5156661B" w14:textId="77777777" w:rsidR="005E5F0D" w:rsidRPr="004B3E18" w:rsidRDefault="005E5F0D" w:rsidP="00ED7343">
            <w:pPr>
              <w:jc w:val="right"/>
              <w:rPr>
                <w:rFonts w:cs="Minion Pro"/>
                <w:b/>
                <w:i/>
              </w:rPr>
            </w:pPr>
            <w:r w:rsidRPr="004B3E18">
              <w:rPr>
                <w:rFonts w:cs="Minion Pro"/>
                <w:b/>
                <w:i/>
              </w:rPr>
              <w:t>Low Risk</w:t>
            </w:r>
          </w:p>
        </w:tc>
        <w:tc>
          <w:tcPr>
            <w:tcW w:w="473" w:type="dxa"/>
            <w:gridSpan w:val="2"/>
          </w:tcPr>
          <w:p w14:paraId="7A97F930" w14:textId="52627A33" w:rsidR="005E5F0D" w:rsidRPr="004B3E18" w:rsidRDefault="00663539" w:rsidP="00ED7343">
            <w:pPr>
              <w:ind w:left="-2230" w:firstLine="2230"/>
              <w:rPr>
                <w:b/>
              </w:rPr>
            </w:pPr>
            <w:r w:rsidRPr="00CA5F6B">
              <w:rPr>
                <w:rFonts w:cs="Arial"/>
                <w:b/>
                <w:szCs w:val="20"/>
              </w:rPr>
              <w:t>X</w:t>
            </w:r>
          </w:p>
        </w:tc>
        <w:tc>
          <w:tcPr>
            <w:tcW w:w="4747" w:type="dxa"/>
            <w:gridSpan w:val="3"/>
          </w:tcPr>
          <w:p w14:paraId="333FAF68" w14:textId="77777777" w:rsidR="005E5F0D" w:rsidRPr="004B3E18" w:rsidRDefault="005E5F0D" w:rsidP="00ED7343">
            <w:pPr>
              <w:rPr>
                <w:b/>
              </w:rPr>
            </w:pPr>
          </w:p>
        </w:tc>
      </w:tr>
      <w:tr w:rsidR="005E5F0D" w:rsidRPr="004B3E18" w14:paraId="5665CA39" w14:textId="77777777" w:rsidTr="003D38CD">
        <w:tc>
          <w:tcPr>
            <w:tcW w:w="3505" w:type="dxa"/>
            <w:vMerge/>
          </w:tcPr>
          <w:p w14:paraId="7F5FDCD8" w14:textId="77777777" w:rsidR="005E5F0D" w:rsidRPr="004B3E18" w:rsidRDefault="005E5F0D" w:rsidP="00ED7343">
            <w:pPr>
              <w:rPr>
                <w:rFonts w:cs="Minion Pro"/>
              </w:rPr>
            </w:pPr>
          </w:p>
        </w:tc>
        <w:tc>
          <w:tcPr>
            <w:tcW w:w="4410" w:type="dxa"/>
            <w:gridSpan w:val="3"/>
            <w:shd w:val="clear" w:color="auto" w:fill="auto"/>
          </w:tcPr>
          <w:p w14:paraId="1BA84488" w14:textId="77777777" w:rsidR="005E5F0D" w:rsidRPr="004B3E18" w:rsidRDefault="005E5F0D" w:rsidP="00ED7343">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ED7343">
            <w:pPr>
              <w:rPr>
                <w:b/>
              </w:rPr>
            </w:pPr>
          </w:p>
        </w:tc>
      </w:tr>
      <w:tr w:rsidR="005E5F0D" w:rsidRPr="004B3E18" w14:paraId="18FCEC1A" w14:textId="77777777" w:rsidTr="003D38CD">
        <w:tc>
          <w:tcPr>
            <w:tcW w:w="3505" w:type="dxa"/>
            <w:vMerge/>
          </w:tcPr>
          <w:p w14:paraId="1A0BCD11" w14:textId="77777777" w:rsidR="005E5F0D" w:rsidRPr="004B3E18" w:rsidRDefault="005E5F0D" w:rsidP="00ED7343">
            <w:pPr>
              <w:rPr>
                <w:rFonts w:cs="Minion Pro"/>
              </w:rPr>
            </w:pPr>
          </w:p>
        </w:tc>
        <w:tc>
          <w:tcPr>
            <w:tcW w:w="4410" w:type="dxa"/>
            <w:gridSpan w:val="3"/>
            <w:shd w:val="clear" w:color="auto" w:fill="auto"/>
          </w:tcPr>
          <w:p w14:paraId="51C6CF47" w14:textId="77777777" w:rsidR="005E5F0D" w:rsidRPr="004B3E18" w:rsidRDefault="005E5F0D" w:rsidP="00ED7343">
            <w:pPr>
              <w:jc w:val="right"/>
              <w:rPr>
                <w:rFonts w:cs="Minion Pro"/>
                <w:b/>
                <w:i/>
              </w:rPr>
            </w:pPr>
            <w:r>
              <w:rPr>
                <w:rFonts w:cs="Minion Pro"/>
                <w:b/>
                <w:i/>
              </w:rPr>
              <w:t>Substantial Risk</w:t>
            </w:r>
          </w:p>
        </w:tc>
        <w:tc>
          <w:tcPr>
            <w:tcW w:w="473" w:type="dxa"/>
            <w:gridSpan w:val="2"/>
          </w:tcPr>
          <w:p w14:paraId="530AC948" w14:textId="77777777" w:rsidR="005E5F0D" w:rsidRPr="004B3E18" w:rsidRDefault="005E5F0D" w:rsidP="00ED7343">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FD8BDF9" w14:textId="77777777" w:rsidR="005E5F0D" w:rsidRPr="004B3E18" w:rsidRDefault="005E5F0D" w:rsidP="00ED7343">
            <w:pPr>
              <w:rPr>
                <w:b/>
              </w:rPr>
            </w:pPr>
          </w:p>
        </w:tc>
      </w:tr>
      <w:tr w:rsidR="005E5F0D" w:rsidRPr="004B3E18" w14:paraId="3077E466" w14:textId="77777777" w:rsidTr="003D38CD">
        <w:tc>
          <w:tcPr>
            <w:tcW w:w="3505" w:type="dxa"/>
            <w:vMerge/>
          </w:tcPr>
          <w:p w14:paraId="39FA517A" w14:textId="77777777" w:rsidR="005E5F0D" w:rsidRPr="004B3E18" w:rsidRDefault="005E5F0D" w:rsidP="00ED7343">
            <w:pPr>
              <w:rPr>
                <w:rFonts w:cs="Minion Pro"/>
              </w:rPr>
            </w:pPr>
          </w:p>
        </w:tc>
        <w:tc>
          <w:tcPr>
            <w:tcW w:w="4410" w:type="dxa"/>
            <w:gridSpan w:val="3"/>
            <w:shd w:val="clear" w:color="auto" w:fill="auto"/>
          </w:tcPr>
          <w:p w14:paraId="5314795B" w14:textId="77777777" w:rsidR="005E5F0D" w:rsidRPr="004B3E18" w:rsidRDefault="005E5F0D" w:rsidP="00ED7343">
            <w:pPr>
              <w:jc w:val="right"/>
              <w:rPr>
                <w:rFonts w:cs="Minion Pro"/>
                <w:b/>
                <w:i/>
              </w:rPr>
            </w:pPr>
            <w:r w:rsidRPr="004B3E18">
              <w:rPr>
                <w:rFonts w:cs="Minion Pro"/>
                <w:b/>
                <w:i/>
              </w:rPr>
              <w:t>High Risk</w:t>
            </w:r>
          </w:p>
        </w:tc>
        <w:tc>
          <w:tcPr>
            <w:tcW w:w="473" w:type="dxa"/>
            <w:gridSpan w:val="2"/>
          </w:tcPr>
          <w:p w14:paraId="53806F33" w14:textId="77777777" w:rsidR="005E5F0D" w:rsidRPr="004B3E18" w:rsidRDefault="005E5F0D" w:rsidP="00ED7343">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w:t>
            </w:r>
            <w:proofErr w:type="gramStart"/>
            <w:r>
              <w:t>High Risk</w:t>
            </w:r>
            <w:proofErr w:type="gramEnd"/>
            <w:r>
              <w:t xml:space="preserve">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(completed,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Targeted management plans (</w:t>
            </w:r>
            <w:proofErr w:type="gramStart"/>
            <w:r>
              <w:t>e.g.</w:t>
            </w:r>
            <w:proofErr w:type="gramEnd"/>
            <w:r>
              <w:t xml:space="preserve">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D93A5B">
        <w:trPr>
          <w:trHeight w:val="413"/>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5E5F0D" w:rsidRPr="004B3E18" w14:paraId="5BBA62D9" w14:textId="77777777" w:rsidTr="003D38CD">
        <w:tc>
          <w:tcPr>
            <w:tcW w:w="3505" w:type="dxa"/>
            <w:vMerge/>
            <w:shd w:val="clear" w:color="auto" w:fill="FFFFFF"/>
          </w:tcPr>
          <w:p w14:paraId="2B10535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ED7343">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ED7343">
            <w:pPr>
              <w:tabs>
                <w:tab w:val="left" w:pos="360"/>
              </w:tabs>
            </w:pPr>
          </w:p>
        </w:tc>
        <w:tc>
          <w:tcPr>
            <w:tcW w:w="4747" w:type="dxa"/>
            <w:gridSpan w:val="3"/>
          </w:tcPr>
          <w:p w14:paraId="7C6F7A79" w14:textId="77777777" w:rsidR="005E5F0D" w:rsidRPr="004B3E18" w:rsidRDefault="005E5F0D"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540"/>
      </w:tblGrid>
      <w:tr w:rsidR="005E5F0D" w:rsidRPr="004B3E18" w14:paraId="318E675B" w14:textId="77777777" w:rsidTr="00D93A5B">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540"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88627F" w:rsidRPr="004B3E18" w14:paraId="67F19802" w14:textId="77777777" w:rsidTr="00D93A5B">
        <w:trPr>
          <w:trHeight w:val="701"/>
        </w:trPr>
        <w:tc>
          <w:tcPr>
            <w:tcW w:w="2695" w:type="dxa"/>
          </w:tcPr>
          <w:p w14:paraId="3F1FD89D" w14:textId="7F5B6218" w:rsidR="0088627F" w:rsidRPr="004B3E18" w:rsidRDefault="0088627F" w:rsidP="0088627F">
            <w:pPr>
              <w:tabs>
                <w:tab w:val="left" w:pos="360"/>
                <w:tab w:val="left" w:pos="4320"/>
              </w:tabs>
              <w:rPr>
                <w:szCs w:val="20"/>
              </w:rPr>
            </w:pPr>
            <w:r w:rsidRPr="00FA7BD6">
              <w:t>QA Assessor: Gigi Bregadze, DG Team Leader</w:t>
            </w:r>
          </w:p>
        </w:tc>
        <w:tc>
          <w:tcPr>
            <w:tcW w:w="900" w:type="dxa"/>
          </w:tcPr>
          <w:p w14:paraId="43C5DA1C" w14:textId="77777777" w:rsidR="0088627F" w:rsidRPr="004B3E18" w:rsidRDefault="0088627F" w:rsidP="0088627F">
            <w:pPr>
              <w:tabs>
                <w:tab w:val="left" w:pos="360"/>
                <w:tab w:val="left" w:pos="4320"/>
              </w:tabs>
              <w:rPr>
                <w:szCs w:val="20"/>
              </w:rPr>
            </w:pPr>
          </w:p>
        </w:tc>
        <w:tc>
          <w:tcPr>
            <w:tcW w:w="9540" w:type="dxa"/>
          </w:tcPr>
          <w:p w14:paraId="184D48E1" w14:textId="78889495" w:rsidR="0088627F" w:rsidRPr="00310069" w:rsidRDefault="0088627F" w:rsidP="0088627F">
            <w:pPr>
              <w:spacing w:line="276" w:lineRule="auto"/>
              <w:jc w:val="both"/>
            </w:pPr>
            <w:r w:rsidRPr="00FA7BD6">
              <w:t xml:space="preserve">UNDP staff member responsible for the project, typically a UNDP </w:t>
            </w:r>
            <w:proofErr w:type="spellStart"/>
            <w:r w:rsidRPr="00FA7BD6">
              <w:t>Programme</w:t>
            </w:r>
            <w:proofErr w:type="spellEnd"/>
            <w:r w:rsidRPr="00FA7BD6">
              <w:t xml:space="preserve"> Officer. Final signature confirms they have “checked” to ensure that the SESP is adequately conducted.</w:t>
            </w:r>
          </w:p>
        </w:tc>
      </w:tr>
      <w:tr w:rsidR="005E5F0D" w:rsidRPr="004B3E18" w14:paraId="015E7738" w14:textId="77777777" w:rsidTr="00D93A5B">
        <w:trPr>
          <w:trHeight w:val="710"/>
        </w:trPr>
        <w:tc>
          <w:tcPr>
            <w:tcW w:w="2695" w:type="dxa"/>
          </w:tcPr>
          <w:p w14:paraId="5C22AA2B" w14:textId="77777777" w:rsidR="0088627F" w:rsidRPr="00FC6BE8" w:rsidRDefault="0088627F" w:rsidP="0088627F">
            <w:pPr>
              <w:tabs>
                <w:tab w:val="left" w:pos="360"/>
                <w:tab w:val="left" w:pos="4320"/>
              </w:tabs>
              <w:rPr>
                <w:rFonts w:cs="Arial"/>
                <w:szCs w:val="20"/>
              </w:rPr>
            </w:pPr>
            <w:r w:rsidRPr="00FC6BE8">
              <w:rPr>
                <w:rFonts w:cs="Arial"/>
                <w:szCs w:val="20"/>
              </w:rPr>
              <w:t xml:space="preserve">QA Approver: </w:t>
            </w:r>
          </w:p>
          <w:p w14:paraId="3A616E60" w14:textId="38E72729" w:rsidR="005E5F0D" w:rsidRPr="00FC6BE8" w:rsidRDefault="0088627F" w:rsidP="0088627F">
            <w:pPr>
              <w:tabs>
                <w:tab w:val="left" w:pos="360"/>
                <w:tab w:val="left" w:pos="4320"/>
              </w:tabs>
              <w:rPr>
                <w:szCs w:val="20"/>
              </w:rPr>
            </w:pPr>
            <w:r w:rsidRPr="00FC6BE8">
              <w:rPr>
                <w:rFonts w:cs="Arial"/>
                <w:szCs w:val="20"/>
              </w:rPr>
              <w:t>Anna Chernyshova, DRR</w:t>
            </w:r>
          </w:p>
        </w:tc>
        <w:tc>
          <w:tcPr>
            <w:tcW w:w="900" w:type="dxa"/>
          </w:tcPr>
          <w:p w14:paraId="46D4370F" w14:textId="77777777" w:rsidR="005E5F0D" w:rsidRPr="004B3E18" w:rsidRDefault="005E5F0D" w:rsidP="00ED7343">
            <w:pPr>
              <w:tabs>
                <w:tab w:val="left" w:pos="360"/>
                <w:tab w:val="left" w:pos="4320"/>
              </w:tabs>
              <w:rPr>
                <w:szCs w:val="20"/>
              </w:rPr>
            </w:pPr>
          </w:p>
        </w:tc>
        <w:tc>
          <w:tcPr>
            <w:tcW w:w="9540" w:type="dxa"/>
            <w:vAlign w:val="center"/>
          </w:tcPr>
          <w:p w14:paraId="565120A6" w14:textId="646EB936" w:rsidR="005E5F0D" w:rsidRPr="00310069" w:rsidRDefault="0088627F" w:rsidP="00310069">
            <w:pPr>
              <w:spacing w:line="276" w:lineRule="auto"/>
              <w:jc w:val="both"/>
            </w:pPr>
            <w:r w:rsidRPr="00CA5F6B">
              <w:rPr>
                <w:rFonts w:cs="Arial"/>
              </w:rPr>
              <w:t>UNDP senior manager, typically the UNDP Deputy Country Director (DCD), Country Director (CD)</w:t>
            </w:r>
            <w:r w:rsidRPr="00CA5F6B">
              <w:rPr>
                <w:rFonts w:cs="Arial"/>
                <w:b/>
              </w:rPr>
              <w:t xml:space="preserve">, </w:t>
            </w:r>
            <w:r w:rsidRPr="00CA5F6B">
              <w:rPr>
                <w:rFonts w:cs="Arial"/>
              </w:rPr>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D93A5B">
        <w:trPr>
          <w:trHeight w:val="620"/>
        </w:trPr>
        <w:tc>
          <w:tcPr>
            <w:tcW w:w="2695" w:type="dxa"/>
          </w:tcPr>
          <w:p w14:paraId="20105CF0" w14:textId="01AE4CDE" w:rsidR="005E5F0D" w:rsidRPr="00FC6BE8" w:rsidRDefault="0088627F" w:rsidP="00ED7343">
            <w:pPr>
              <w:tabs>
                <w:tab w:val="left" w:pos="360"/>
                <w:tab w:val="left" w:pos="4320"/>
              </w:tabs>
              <w:rPr>
                <w:szCs w:val="20"/>
              </w:rPr>
            </w:pPr>
            <w:r w:rsidRPr="00FC6BE8">
              <w:rPr>
                <w:rFonts w:cs="Arial"/>
                <w:szCs w:val="20"/>
              </w:rPr>
              <w:t xml:space="preserve">PAC Chair: </w:t>
            </w:r>
            <w:r w:rsidR="00FC6BE8" w:rsidRPr="00FC6BE8">
              <w:rPr>
                <w:rFonts w:cs="Arial"/>
                <w:szCs w:val="20"/>
              </w:rPr>
              <w:t>Nick Beresford</w:t>
            </w:r>
            <w:r w:rsidRPr="00FC6BE8">
              <w:rPr>
                <w:rFonts w:cs="Arial"/>
                <w:szCs w:val="20"/>
              </w:rPr>
              <w:t xml:space="preserve">, RR </w:t>
            </w:r>
          </w:p>
        </w:tc>
        <w:tc>
          <w:tcPr>
            <w:tcW w:w="900" w:type="dxa"/>
          </w:tcPr>
          <w:p w14:paraId="2ECA2281" w14:textId="77777777" w:rsidR="005E5F0D" w:rsidRPr="004B3E18" w:rsidRDefault="005E5F0D" w:rsidP="00ED7343">
            <w:pPr>
              <w:tabs>
                <w:tab w:val="left" w:pos="360"/>
                <w:tab w:val="left" w:pos="4320"/>
              </w:tabs>
              <w:rPr>
                <w:szCs w:val="20"/>
              </w:rPr>
            </w:pPr>
          </w:p>
        </w:tc>
        <w:tc>
          <w:tcPr>
            <w:tcW w:w="9540" w:type="dxa"/>
            <w:vAlign w:val="center"/>
          </w:tcPr>
          <w:p w14:paraId="1B9A8080" w14:textId="630C91E0" w:rsidR="005E5F0D" w:rsidRPr="00310069" w:rsidRDefault="0088627F" w:rsidP="00310069">
            <w:pPr>
              <w:tabs>
                <w:tab w:val="left" w:pos="360"/>
                <w:tab w:val="left" w:pos="4320"/>
              </w:tabs>
              <w:spacing w:line="276" w:lineRule="auto"/>
              <w:jc w:val="both"/>
              <w:rPr>
                <w:rFonts w:cs="Arial"/>
              </w:rPr>
            </w:pPr>
            <w:r w:rsidRPr="00CA5F6B">
              <w:rPr>
                <w:rFonts w:cs="Arial"/>
              </w:rPr>
              <w:t xml:space="preserve">UNDP chair of the PAC.  In some </w:t>
            </w:r>
            <w:proofErr w:type="gramStart"/>
            <w:r w:rsidRPr="00CA5F6B">
              <w:rPr>
                <w:rFonts w:cs="Arial"/>
              </w:rPr>
              <w:t>cases</w:t>
            </w:r>
            <w:proofErr w:type="gramEnd"/>
            <w:r w:rsidRPr="00CA5F6B">
              <w:rPr>
                <w:rFonts w:cs="Arial"/>
              </w:rPr>
              <w:t xml:space="preserve"> PAC Chair may also be the QA Approver. Final signature confirms that the SESP was considered as part of the project appraisal and considered in recommendations of the PAC.</w:t>
            </w:r>
          </w:p>
        </w:tc>
      </w:tr>
    </w:tbl>
    <w:p w14:paraId="70447B2C" w14:textId="77777777" w:rsidR="005E5F0D" w:rsidRDefault="005E5F0D" w:rsidP="005E5F0D">
      <w:pPr>
        <w:sectPr w:rsidR="005E5F0D" w:rsidSect="00FC6BE8">
          <w:headerReference w:type="first" r:id="rId12"/>
          <w:pgSz w:w="15840" w:h="12240" w:orient="landscape"/>
          <w:pgMar w:top="709"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1" w:name="_Toc26282758"/>
      <w:r>
        <w:lastRenderedPageBreak/>
        <w:t xml:space="preserve">SESP Attachment 1. </w:t>
      </w:r>
      <w:r w:rsidRPr="003835FA">
        <w:t xml:space="preserve">Social and Environmental </w:t>
      </w:r>
      <w:r w:rsidRPr="0084274F">
        <w:t>Risk Screening Checklist</w:t>
      </w:r>
      <w:bookmarkEnd w:id="1"/>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ED7343">
            <w:pPr>
              <w:tabs>
                <w:tab w:val="left" w:pos="810"/>
              </w:tabs>
              <w:rPr>
                <w:rFonts w:eastAsia="Times New Roman"/>
                <w:sz w:val="16"/>
                <w:szCs w:val="16"/>
              </w:rPr>
            </w:pPr>
          </w:p>
        </w:tc>
      </w:tr>
      <w:tr w:rsidR="005E5F0D" w:rsidRPr="004B3E18" w14:paraId="2F750FDC" w14:textId="77777777" w:rsidTr="00D93A5B">
        <w:trPr>
          <w:trHeight w:val="710"/>
        </w:trPr>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663539" w:rsidRPr="00B72E50" w14:paraId="2A203A0D" w14:textId="77777777" w:rsidTr="003D38CD">
        <w:tc>
          <w:tcPr>
            <w:tcW w:w="8635" w:type="dxa"/>
            <w:tcBorders>
              <w:bottom w:val="single" w:sz="4" w:space="0" w:color="auto"/>
            </w:tcBorders>
            <w:shd w:val="clear" w:color="auto" w:fill="auto"/>
          </w:tcPr>
          <w:p w14:paraId="38EE34F4" w14:textId="16586507" w:rsidR="00663539" w:rsidRDefault="00663539" w:rsidP="00663539">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project (</w:t>
            </w:r>
            <w:r w:rsidR="00D93A5B">
              <w:rPr>
                <w:rFonts w:eastAsia="Times New Roman"/>
              </w:rPr>
              <w:t>e.g.,</w:t>
            </w:r>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366E7CA1" w:rsidR="00663539" w:rsidRPr="00B72E50" w:rsidRDefault="00663539" w:rsidP="00663539">
            <w:pPr>
              <w:tabs>
                <w:tab w:val="left" w:pos="810"/>
              </w:tabs>
              <w:rPr>
                <w:i/>
              </w:rPr>
            </w:pPr>
            <w:r w:rsidRPr="00414E16">
              <w:rPr>
                <w:rFonts w:cs="Arial"/>
                <w:i/>
              </w:rPr>
              <w:t>No</w:t>
            </w:r>
          </w:p>
        </w:tc>
      </w:tr>
      <w:tr w:rsidR="00663539" w:rsidRPr="00B72E50" w14:paraId="1FB1AC46" w14:textId="77777777" w:rsidTr="003D38CD">
        <w:tc>
          <w:tcPr>
            <w:tcW w:w="8635" w:type="dxa"/>
            <w:tcBorders>
              <w:bottom w:val="single" w:sz="4" w:space="0" w:color="auto"/>
            </w:tcBorders>
            <w:shd w:val="clear" w:color="auto" w:fill="auto"/>
          </w:tcPr>
          <w:p w14:paraId="315FD0A0" w14:textId="77777777" w:rsidR="00663539" w:rsidRDefault="00663539" w:rsidP="00663539">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w:t>
            </w:r>
            <w:proofErr w:type="gramStart"/>
            <w:r>
              <w:rPr>
                <w:rFonts w:eastAsia="Times New Roman"/>
              </w:rPr>
              <w:t>e.g.</w:t>
            </w:r>
            <w:proofErr w:type="gramEnd"/>
            <w:r>
              <w:rPr>
                <w:rFonts w:eastAsia="Times New Roman"/>
              </w:rPr>
              <w:t xml:space="preserve">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47B00A4C" w:rsidR="00663539" w:rsidRPr="00B72E50" w:rsidRDefault="00663539" w:rsidP="00663539">
            <w:pPr>
              <w:tabs>
                <w:tab w:val="left" w:pos="810"/>
              </w:tabs>
              <w:rPr>
                <w:i/>
              </w:rPr>
            </w:pPr>
            <w:r w:rsidRPr="00414E16">
              <w:rPr>
                <w:rFonts w:cs="Arial"/>
                <w:i/>
              </w:rPr>
              <w:t>No</w:t>
            </w:r>
          </w:p>
        </w:tc>
      </w:tr>
      <w:tr w:rsidR="00663539" w:rsidRPr="00B72E50" w14:paraId="362223CC" w14:textId="77777777" w:rsidTr="003D38CD">
        <w:tc>
          <w:tcPr>
            <w:tcW w:w="8635" w:type="dxa"/>
            <w:tcBorders>
              <w:bottom w:val="single" w:sz="4" w:space="0" w:color="auto"/>
            </w:tcBorders>
            <w:shd w:val="clear" w:color="auto" w:fill="auto"/>
          </w:tcPr>
          <w:p w14:paraId="7E2ACEB2" w14:textId="77777777" w:rsidR="00663539" w:rsidRDefault="00663539" w:rsidP="00663539">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w:t>
            </w:r>
            <w:proofErr w:type="gramStart"/>
            <w:r>
              <w:rPr>
                <w:rFonts w:eastAsia="Times New Roman"/>
              </w:rPr>
              <w:t>e.g.</w:t>
            </w:r>
            <w:proofErr w:type="gramEnd"/>
            <w:r>
              <w:rPr>
                <w:rFonts w:eastAsia="Times New Roman"/>
              </w:rPr>
              <w:t xml:space="preserve">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4787EF55" w:rsidR="00663539" w:rsidRPr="00B72E50" w:rsidRDefault="00663539" w:rsidP="00663539">
            <w:pPr>
              <w:tabs>
                <w:tab w:val="left" w:pos="810"/>
              </w:tabs>
              <w:rPr>
                <w:i/>
              </w:rPr>
            </w:pPr>
            <w:r w:rsidRPr="00414E16">
              <w:rPr>
                <w:rFonts w:cs="Arial"/>
                <w:i/>
              </w:rPr>
              <w:t>No</w:t>
            </w:r>
          </w:p>
        </w:tc>
      </w:tr>
      <w:tr w:rsidR="00663539" w:rsidRPr="00FE7BF3" w14:paraId="7EFC96CA" w14:textId="77777777" w:rsidTr="003D38CD">
        <w:tc>
          <w:tcPr>
            <w:tcW w:w="8635" w:type="dxa"/>
            <w:tcBorders>
              <w:bottom w:val="single" w:sz="4" w:space="0" w:color="auto"/>
            </w:tcBorders>
            <w:shd w:val="clear" w:color="auto" w:fill="auto"/>
          </w:tcPr>
          <w:p w14:paraId="56C40773" w14:textId="77777777" w:rsidR="00663539" w:rsidRPr="00E344B9" w:rsidDel="00855BCB" w:rsidRDefault="00663539" w:rsidP="00663539">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44F57508" w:rsidR="00663539" w:rsidRPr="00E344B9" w:rsidRDefault="00663539" w:rsidP="00663539">
            <w:pPr>
              <w:tabs>
                <w:tab w:val="left" w:pos="810"/>
              </w:tabs>
              <w:rPr>
                <w:i/>
              </w:rPr>
            </w:pPr>
            <w:r w:rsidRPr="00414E16">
              <w:rPr>
                <w:rFonts w:cs="Arial"/>
                <w:i/>
              </w:rPr>
              <w:t>No</w:t>
            </w:r>
          </w:p>
        </w:tc>
      </w:tr>
      <w:tr w:rsidR="00663539" w:rsidRPr="004B3E18" w14:paraId="642DB92D" w14:textId="77777777" w:rsidTr="003D38CD">
        <w:tc>
          <w:tcPr>
            <w:tcW w:w="8635" w:type="dxa"/>
            <w:tcBorders>
              <w:bottom w:val="single" w:sz="4" w:space="0" w:color="auto"/>
            </w:tcBorders>
            <w:shd w:val="clear" w:color="auto" w:fill="auto"/>
          </w:tcPr>
          <w:p w14:paraId="3B31C7EE" w14:textId="77777777" w:rsidR="00663539" w:rsidRPr="004B3E18" w:rsidRDefault="00663539" w:rsidP="00663539">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179795FD" w:rsidR="00663539" w:rsidRPr="004B3E18" w:rsidRDefault="00663539" w:rsidP="00663539">
            <w:pPr>
              <w:tabs>
                <w:tab w:val="left" w:pos="810"/>
              </w:tabs>
            </w:pPr>
            <w:r w:rsidRPr="00414E16">
              <w:rPr>
                <w:rFonts w:cs="Arial"/>
                <w:i/>
              </w:rPr>
              <w:t>No</w:t>
            </w:r>
          </w:p>
        </w:tc>
      </w:tr>
      <w:tr w:rsidR="00663539" w:rsidRPr="004B3E18" w14:paraId="29D02ED1" w14:textId="77777777" w:rsidTr="003D38CD">
        <w:tc>
          <w:tcPr>
            <w:tcW w:w="8635" w:type="dxa"/>
            <w:tcBorders>
              <w:bottom w:val="single" w:sz="4" w:space="0" w:color="auto"/>
            </w:tcBorders>
            <w:shd w:val="clear" w:color="auto" w:fill="auto"/>
          </w:tcPr>
          <w:p w14:paraId="4925D32E" w14:textId="77777777" w:rsidR="00663539" w:rsidRPr="004B3E18" w:rsidRDefault="00663539" w:rsidP="00663539">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2D61DBD6" w:rsidR="00663539" w:rsidRPr="004B3E18" w:rsidRDefault="00663539" w:rsidP="00663539">
            <w:pPr>
              <w:tabs>
                <w:tab w:val="left" w:pos="810"/>
              </w:tabs>
            </w:pPr>
            <w:r w:rsidRPr="00414E16">
              <w:rPr>
                <w:rFonts w:cs="Arial"/>
                <w:i/>
              </w:rPr>
              <w:t>No</w:t>
            </w:r>
          </w:p>
        </w:tc>
      </w:tr>
      <w:tr w:rsidR="00663539" w:rsidRPr="004B3E18" w14:paraId="1E9F12F6" w14:textId="77777777" w:rsidTr="003D38CD">
        <w:tc>
          <w:tcPr>
            <w:tcW w:w="8635" w:type="dxa"/>
            <w:tcBorders>
              <w:bottom w:val="single" w:sz="4" w:space="0" w:color="auto"/>
            </w:tcBorders>
            <w:shd w:val="clear" w:color="auto" w:fill="auto"/>
          </w:tcPr>
          <w:p w14:paraId="32A0CDC3" w14:textId="77777777" w:rsidR="00663539" w:rsidRPr="004B3E18" w:rsidRDefault="00663539" w:rsidP="00663539">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w:t>
            </w:r>
            <w:proofErr w:type="gramStart"/>
            <w:r w:rsidRPr="004B3E18">
              <w:rPr>
                <w:rFonts w:eastAsia="Times New Roman"/>
              </w:rPr>
              <w:t>in particular to</w:t>
            </w:r>
            <w:proofErr w:type="gramEnd"/>
            <w:r w:rsidRPr="004B3E18">
              <w:rPr>
                <w:rFonts w:eastAsia="Times New Roman"/>
              </w:rPr>
              <w:t xml:space="preserve">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1E3B5AD0" w:rsidR="00663539" w:rsidRPr="004B3E18" w:rsidRDefault="00663539" w:rsidP="00663539">
            <w:pPr>
              <w:tabs>
                <w:tab w:val="left" w:pos="810"/>
              </w:tabs>
            </w:pPr>
            <w:r w:rsidRPr="00414E16">
              <w:rPr>
                <w:rFonts w:cs="Arial"/>
                <w:i/>
              </w:rPr>
              <w:t>No</w:t>
            </w:r>
          </w:p>
        </w:tc>
      </w:tr>
      <w:tr w:rsidR="00663539" w:rsidRPr="004B3E18" w14:paraId="16A91F71" w14:textId="77777777" w:rsidTr="003D38CD">
        <w:tc>
          <w:tcPr>
            <w:tcW w:w="8635" w:type="dxa"/>
            <w:tcBorders>
              <w:bottom w:val="single" w:sz="4" w:space="0" w:color="auto"/>
            </w:tcBorders>
            <w:shd w:val="clear" w:color="auto" w:fill="auto"/>
          </w:tcPr>
          <w:p w14:paraId="57A71E4A" w14:textId="77777777" w:rsidR="00663539" w:rsidRPr="004B3E18" w:rsidRDefault="00663539" w:rsidP="00663539">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6617AEA2" w:rsidR="00663539" w:rsidRPr="004B3E18" w:rsidRDefault="00663539" w:rsidP="00663539">
            <w:pPr>
              <w:tabs>
                <w:tab w:val="left" w:pos="810"/>
              </w:tabs>
            </w:pPr>
            <w:r w:rsidRPr="00414E16">
              <w:rPr>
                <w:rFonts w:cs="Arial"/>
                <w:i/>
              </w:rPr>
              <w:t>No</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ED7343">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ED7343">
            <w:pPr>
              <w:tabs>
                <w:tab w:val="left" w:pos="810"/>
              </w:tabs>
              <w:spacing w:before="120" w:after="120"/>
              <w:rPr>
                <w:b/>
              </w:rPr>
            </w:pPr>
          </w:p>
        </w:tc>
      </w:tr>
      <w:tr w:rsidR="00663539" w:rsidRPr="004B3E18" w14:paraId="6DDE812B" w14:textId="77777777" w:rsidTr="003D38CD">
        <w:tc>
          <w:tcPr>
            <w:tcW w:w="8635" w:type="dxa"/>
            <w:tcBorders>
              <w:bottom w:val="single" w:sz="4" w:space="0" w:color="auto"/>
            </w:tcBorders>
            <w:shd w:val="clear" w:color="auto" w:fill="auto"/>
          </w:tcPr>
          <w:p w14:paraId="30E98E51" w14:textId="77777777" w:rsidR="00663539" w:rsidRDefault="00663539" w:rsidP="00663539">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40DE0FFB" w:rsidR="00663539" w:rsidRPr="004B3E18" w:rsidRDefault="00663539" w:rsidP="00663539">
            <w:pPr>
              <w:tabs>
                <w:tab w:val="left" w:pos="810"/>
              </w:tabs>
            </w:pPr>
            <w:r w:rsidRPr="00EF4558">
              <w:rPr>
                <w:rFonts w:cs="Arial"/>
                <w:i/>
              </w:rPr>
              <w:t>No</w:t>
            </w:r>
          </w:p>
        </w:tc>
      </w:tr>
      <w:tr w:rsidR="00663539" w:rsidRPr="00D64824" w14:paraId="0509F931" w14:textId="77777777" w:rsidTr="003D38CD">
        <w:tc>
          <w:tcPr>
            <w:tcW w:w="8635" w:type="dxa"/>
            <w:tcBorders>
              <w:bottom w:val="single" w:sz="4" w:space="0" w:color="auto"/>
            </w:tcBorders>
            <w:shd w:val="clear" w:color="auto" w:fill="auto"/>
          </w:tcPr>
          <w:p w14:paraId="0C0E4563" w14:textId="77777777" w:rsidR="00663539" w:rsidRPr="00D64824" w:rsidRDefault="00663539" w:rsidP="00663539">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2217E7ED" w:rsidR="00663539" w:rsidRPr="00D64824" w:rsidRDefault="00663539" w:rsidP="00663539">
            <w:pPr>
              <w:tabs>
                <w:tab w:val="left" w:pos="810"/>
              </w:tabs>
              <w:rPr>
                <w:i/>
              </w:rPr>
            </w:pPr>
            <w:r w:rsidRPr="00EF4558">
              <w:rPr>
                <w:rFonts w:cs="Arial"/>
                <w:i/>
              </w:rPr>
              <w:t>No</w:t>
            </w:r>
          </w:p>
        </w:tc>
      </w:tr>
      <w:tr w:rsidR="00663539" w:rsidRPr="00D64824" w14:paraId="1333CB81" w14:textId="77777777" w:rsidTr="003D38CD">
        <w:tc>
          <w:tcPr>
            <w:tcW w:w="8635" w:type="dxa"/>
            <w:tcBorders>
              <w:bottom w:val="single" w:sz="4" w:space="0" w:color="auto"/>
            </w:tcBorders>
            <w:shd w:val="clear" w:color="auto" w:fill="auto"/>
          </w:tcPr>
          <w:p w14:paraId="6AA98E10" w14:textId="77777777" w:rsidR="00663539" w:rsidRPr="00E344B9" w:rsidRDefault="00663539" w:rsidP="00663539">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0A293D7A" w:rsidR="00663539" w:rsidRPr="00E344B9" w:rsidRDefault="00663539" w:rsidP="00663539">
            <w:pPr>
              <w:tabs>
                <w:tab w:val="left" w:pos="810"/>
              </w:tabs>
              <w:rPr>
                <w:i/>
              </w:rPr>
            </w:pPr>
            <w:r w:rsidRPr="00EF4558">
              <w:rPr>
                <w:rFonts w:cs="Arial"/>
                <w:i/>
              </w:rPr>
              <w:t>No</w:t>
            </w:r>
          </w:p>
        </w:tc>
      </w:tr>
      <w:tr w:rsidR="00663539" w:rsidRPr="004B3E18" w14:paraId="573DF185" w14:textId="77777777" w:rsidTr="003D38CD">
        <w:tc>
          <w:tcPr>
            <w:tcW w:w="8635" w:type="dxa"/>
            <w:tcBorders>
              <w:bottom w:val="single" w:sz="4" w:space="0" w:color="auto"/>
            </w:tcBorders>
            <w:shd w:val="clear" w:color="auto" w:fill="auto"/>
          </w:tcPr>
          <w:p w14:paraId="4512DA4C" w14:textId="77777777" w:rsidR="00663539" w:rsidRPr="004B3E18" w:rsidRDefault="00663539" w:rsidP="00663539">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6B2824A5" w:rsidR="00663539" w:rsidRPr="004B3E18" w:rsidRDefault="00663539" w:rsidP="00663539">
            <w:pPr>
              <w:tabs>
                <w:tab w:val="left" w:pos="810"/>
              </w:tabs>
            </w:pPr>
            <w:r w:rsidRPr="00EF4558">
              <w:rPr>
                <w:rFonts w:cs="Arial"/>
                <w:i/>
              </w:rPr>
              <w:t>No</w:t>
            </w:r>
          </w:p>
        </w:tc>
      </w:tr>
      <w:tr w:rsidR="00663539" w:rsidRPr="004B3E18" w14:paraId="3AF276F8" w14:textId="77777777" w:rsidTr="003D38CD">
        <w:tc>
          <w:tcPr>
            <w:tcW w:w="8635" w:type="dxa"/>
            <w:tcBorders>
              <w:bottom w:val="single" w:sz="4" w:space="0" w:color="auto"/>
            </w:tcBorders>
            <w:shd w:val="clear" w:color="auto" w:fill="auto"/>
          </w:tcPr>
          <w:p w14:paraId="7E675BBF" w14:textId="77777777" w:rsidR="00663539" w:rsidRPr="004B3E18" w:rsidRDefault="00663539" w:rsidP="00663539">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663539" w:rsidRPr="004B3E18" w:rsidRDefault="00663539" w:rsidP="00663539">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7E12B809" w:rsidR="00663539" w:rsidRPr="004B3E18" w:rsidRDefault="00663539" w:rsidP="00663539">
            <w:pPr>
              <w:tabs>
                <w:tab w:val="left" w:pos="810"/>
              </w:tabs>
            </w:pPr>
            <w:r w:rsidRPr="00EF4558">
              <w:rPr>
                <w:rFonts w:cs="Arial"/>
                <w:i/>
              </w:rPr>
              <w:t>No</w:t>
            </w:r>
          </w:p>
        </w:tc>
      </w:tr>
      <w:tr w:rsidR="00663539" w:rsidRPr="004B3E18" w14:paraId="75E18FBC" w14:textId="77777777" w:rsidTr="003D38CD">
        <w:tc>
          <w:tcPr>
            <w:tcW w:w="8635" w:type="dxa"/>
            <w:tcBorders>
              <w:bottom w:val="single" w:sz="4" w:space="0" w:color="auto"/>
            </w:tcBorders>
            <w:shd w:val="clear" w:color="auto" w:fill="auto"/>
          </w:tcPr>
          <w:p w14:paraId="02CAC89C" w14:textId="77777777" w:rsidR="00663539" w:rsidRDefault="00663539" w:rsidP="00663539">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663539" w:rsidRPr="004B3E18" w:rsidRDefault="00663539" w:rsidP="00663539">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2F2B3944" w:rsidR="00663539" w:rsidRPr="004B3E18" w:rsidRDefault="00663539" w:rsidP="00663539">
            <w:pPr>
              <w:tabs>
                <w:tab w:val="left" w:pos="810"/>
              </w:tabs>
            </w:pPr>
            <w:r w:rsidRPr="00EF4558">
              <w:rPr>
                <w:rFonts w:cs="Arial"/>
                <w:i/>
              </w:rPr>
              <w:t>No</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ED7343">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ED7343">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ED7343">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ED7343">
            <w:pPr>
              <w:tabs>
                <w:tab w:val="left" w:pos="810"/>
              </w:tabs>
            </w:pPr>
          </w:p>
        </w:tc>
      </w:tr>
      <w:tr w:rsidR="00663539" w:rsidRPr="00D64824" w14:paraId="710A0F86" w14:textId="77777777" w:rsidTr="003D38CD">
        <w:tc>
          <w:tcPr>
            <w:tcW w:w="8635" w:type="dxa"/>
            <w:tcBorders>
              <w:bottom w:val="single" w:sz="4" w:space="0" w:color="auto"/>
            </w:tcBorders>
            <w:shd w:val="clear" w:color="auto" w:fill="auto"/>
          </w:tcPr>
          <w:p w14:paraId="08FA1B23" w14:textId="77777777" w:rsidR="00663539" w:rsidRPr="00E344B9" w:rsidDel="008B0622" w:rsidRDefault="00663539" w:rsidP="00663539">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3C0C1C7A" w:rsidR="00663539" w:rsidRPr="00E344B9" w:rsidRDefault="00663539" w:rsidP="00663539">
            <w:pPr>
              <w:tabs>
                <w:tab w:val="left" w:pos="810"/>
              </w:tabs>
              <w:rPr>
                <w:i/>
              </w:rPr>
            </w:pPr>
          </w:p>
        </w:tc>
      </w:tr>
      <w:tr w:rsidR="00663539" w:rsidRPr="004B3E18" w14:paraId="6E73BABD" w14:textId="77777777" w:rsidTr="003D38CD">
        <w:tc>
          <w:tcPr>
            <w:tcW w:w="8635" w:type="dxa"/>
            <w:tcBorders>
              <w:bottom w:val="single" w:sz="4" w:space="0" w:color="auto"/>
            </w:tcBorders>
            <w:shd w:val="clear" w:color="auto" w:fill="auto"/>
          </w:tcPr>
          <w:p w14:paraId="2A027500" w14:textId="77777777" w:rsidR="00663539" w:rsidRPr="00AA7405" w:rsidDel="002666A6" w:rsidRDefault="00663539" w:rsidP="00663539">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5796C844" w:rsidR="00663539" w:rsidRPr="004B3E18" w:rsidRDefault="00663539" w:rsidP="00663539">
            <w:pPr>
              <w:tabs>
                <w:tab w:val="left" w:pos="810"/>
              </w:tabs>
            </w:pPr>
            <w:r w:rsidRPr="00AD7BC2">
              <w:rPr>
                <w:rFonts w:cs="Arial"/>
                <w:i/>
              </w:rPr>
              <w:t>No</w:t>
            </w:r>
          </w:p>
        </w:tc>
      </w:tr>
      <w:tr w:rsidR="00663539" w:rsidRPr="004B3E18" w14:paraId="1D13940D" w14:textId="77777777" w:rsidTr="003D38CD">
        <w:tc>
          <w:tcPr>
            <w:tcW w:w="8635" w:type="dxa"/>
            <w:tcBorders>
              <w:bottom w:val="single" w:sz="4" w:space="0" w:color="auto"/>
            </w:tcBorders>
            <w:shd w:val="clear" w:color="auto" w:fill="auto"/>
          </w:tcPr>
          <w:p w14:paraId="68CFE9CE" w14:textId="77777777" w:rsidR="00663539" w:rsidRPr="00AA7405" w:rsidRDefault="00663539" w:rsidP="00663539">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4E8DB131" w:rsidR="00663539" w:rsidRPr="004B3E18" w:rsidRDefault="00663539" w:rsidP="00663539">
            <w:pPr>
              <w:tabs>
                <w:tab w:val="left" w:pos="810"/>
              </w:tabs>
            </w:pPr>
            <w:r w:rsidRPr="00AD7BC2">
              <w:rPr>
                <w:rFonts w:cs="Arial"/>
                <w:i/>
              </w:rPr>
              <w:t>No</w:t>
            </w:r>
          </w:p>
        </w:tc>
      </w:tr>
      <w:tr w:rsidR="00663539" w:rsidRPr="004B3E18" w14:paraId="6E1938CB" w14:textId="77777777" w:rsidTr="003D38CD">
        <w:tc>
          <w:tcPr>
            <w:tcW w:w="8635" w:type="dxa"/>
            <w:tcBorders>
              <w:bottom w:val="single" w:sz="4" w:space="0" w:color="auto"/>
            </w:tcBorders>
            <w:shd w:val="clear" w:color="auto" w:fill="auto"/>
          </w:tcPr>
          <w:p w14:paraId="13237331" w14:textId="77777777" w:rsidR="00663539" w:rsidRPr="00AA7405" w:rsidRDefault="00663539" w:rsidP="00663539">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2CD3927F" w:rsidR="00663539" w:rsidRPr="004B3E18" w:rsidRDefault="00663539" w:rsidP="00663539">
            <w:pPr>
              <w:tabs>
                <w:tab w:val="left" w:pos="810"/>
              </w:tabs>
            </w:pPr>
            <w:r w:rsidRPr="00AD7BC2">
              <w:rPr>
                <w:rFonts w:cs="Arial"/>
                <w:i/>
              </w:rPr>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ED7343">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ED7343">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ED7343">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ED7343">
            <w:pPr>
              <w:rPr>
                <w:rFonts w:eastAsia="Times New Roman"/>
                <w:b/>
              </w:rPr>
            </w:pPr>
          </w:p>
        </w:tc>
      </w:tr>
      <w:tr w:rsidR="00663539" w:rsidRPr="004B3E18" w14:paraId="5F29E3DE" w14:textId="77777777" w:rsidTr="003D38CD">
        <w:tc>
          <w:tcPr>
            <w:tcW w:w="8635" w:type="dxa"/>
            <w:shd w:val="clear" w:color="auto" w:fill="auto"/>
          </w:tcPr>
          <w:p w14:paraId="6DF050A0" w14:textId="77777777" w:rsidR="00663539" w:rsidRPr="007C1F1F" w:rsidRDefault="00663539" w:rsidP="00663539">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37AD501C" w:rsidR="00663539" w:rsidRPr="004B3E18" w:rsidRDefault="00663539" w:rsidP="00663539">
            <w:pPr>
              <w:rPr>
                <w:rFonts w:eastAsia="Times New Roman"/>
              </w:rPr>
            </w:pPr>
          </w:p>
        </w:tc>
      </w:tr>
      <w:tr w:rsidR="00663539" w:rsidRPr="004B3E18" w14:paraId="34864CAA" w14:textId="77777777" w:rsidTr="003D38CD">
        <w:tc>
          <w:tcPr>
            <w:tcW w:w="8635" w:type="dxa"/>
            <w:shd w:val="clear" w:color="auto" w:fill="auto"/>
          </w:tcPr>
          <w:p w14:paraId="6517A658" w14:textId="77777777" w:rsidR="00663539" w:rsidRDefault="00663539" w:rsidP="00663539">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w:t>
            </w:r>
            <w:proofErr w:type="gramStart"/>
            <w:r w:rsidRPr="004B3E18">
              <w:rPr>
                <w:rFonts w:eastAsia="Times New Roman"/>
              </w:rPr>
              <w:t>e.g.</w:t>
            </w:r>
            <w:proofErr w:type="gramEnd"/>
            <w:r w:rsidRPr="004B3E18">
              <w:rPr>
                <w:rFonts w:eastAsia="Times New Roman"/>
              </w:rPr>
              <w:t xml:space="preserve"> modified, natural, and critical habitats) and/or ecosystems and ecosystem services?</w:t>
            </w:r>
          </w:p>
          <w:p w14:paraId="575570FC" w14:textId="77777777" w:rsidR="00663539" w:rsidRPr="004B3E18" w:rsidRDefault="00663539" w:rsidP="00663539">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1BDFAEC2" w:rsidR="00663539" w:rsidRPr="004B3E18" w:rsidRDefault="00663539" w:rsidP="00663539">
            <w:pPr>
              <w:rPr>
                <w:rFonts w:eastAsia="Times New Roman"/>
              </w:rPr>
            </w:pPr>
            <w:r w:rsidRPr="006933F1">
              <w:rPr>
                <w:rFonts w:cs="Arial"/>
                <w:i/>
              </w:rPr>
              <w:t>No</w:t>
            </w:r>
          </w:p>
        </w:tc>
      </w:tr>
      <w:tr w:rsidR="00663539" w:rsidRPr="004B3E18" w14:paraId="27C41435" w14:textId="77777777" w:rsidTr="003D38CD">
        <w:tc>
          <w:tcPr>
            <w:tcW w:w="8635" w:type="dxa"/>
            <w:tcBorders>
              <w:bottom w:val="single" w:sz="4" w:space="0" w:color="auto"/>
            </w:tcBorders>
            <w:shd w:val="clear" w:color="auto" w:fill="auto"/>
          </w:tcPr>
          <w:p w14:paraId="1F37EEC6" w14:textId="77777777" w:rsidR="00663539" w:rsidRPr="004B3E18" w:rsidRDefault="00663539" w:rsidP="00663539">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w:t>
            </w:r>
            <w:proofErr w:type="gramStart"/>
            <w:r w:rsidRPr="004B3E18">
              <w:rPr>
                <w:rFonts w:eastAsia="Times New Roman"/>
                <w:bCs/>
                <w:color w:val="000000"/>
              </w:rPr>
              <w:t>e.g.</w:t>
            </w:r>
            <w:proofErr w:type="gramEnd"/>
            <w:r w:rsidRPr="004B3E18">
              <w:rPr>
                <w:rFonts w:eastAsia="Times New Roman"/>
                <w:bCs/>
                <w:color w:val="00000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6F3FFFFF" w:rsidR="00663539" w:rsidRPr="004B3E18" w:rsidRDefault="00663539" w:rsidP="00663539">
            <w:pPr>
              <w:rPr>
                <w:rFonts w:eastAsia="Times New Roman"/>
              </w:rPr>
            </w:pPr>
            <w:r w:rsidRPr="006933F1">
              <w:rPr>
                <w:rFonts w:cs="Arial"/>
                <w:i/>
              </w:rPr>
              <w:t>No</w:t>
            </w:r>
          </w:p>
        </w:tc>
      </w:tr>
      <w:tr w:rsidR="00663539" w:rsidRPr="004B3E18" w14:paraId="6EB241AD" w14:textId="77777777" w:rsidTr="00D93A5B">
        <w:trPr>
          <w:trHeight w:val="656"/>
        </w:trPr>
        <w:tc>
          <w:tcPr>
            <w:tcW w:w="8635" w:type="dxa"/>
            <w:tcBorders>
              <w:bottom w:val="single" w:sz="4" w:space="0" w:color="auto"/>
            </w:tcBorders>
            <w:shd w:val="clear" w:color="auto" w:fill="auto"/>
          </w:tcPr>
          <w:p w14:paraId="2847FF5C" w14:textId="77777777" w:rsidR="00663539" w:rsidRPr="004B3E18" w:rsidRDefault="00663539" w:rsidP="00663539">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054CCA55" w:rsidR="00663539" w:rsidRPr="004B3E18" w:rsidRDefault="00663539" w:rsidP="00663539">
            <w:pPr>
              <w:rPr>
                <w:rFonts w:eastAsia="Times New Roman"/>
              </w:rPr>
            </w:pPr>
            <w:r w:rsidRPr="006933F1">
              <w:rPr>
                <w:rFonts w:cs="Arial"/>
                <w:i/>
              </w:rPr>
              <w:t>No</w:t>
            </w:r>
          </w:p>
        </w:tc>
      </w:tr>
      <w:tr w:rsidR="00663539"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663539" w:rsidRPr="004B3E18" w:rsidRDefault="00663539" w:rsidP="00663539">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w:t>
            </w:r>
            <w:proofErr w:type="gramStart"/>
            <w:r>
              <w:rPr>
                <w:rFonts w:eastAsia="Times New Roman"/>
              </w:rPr>
              <w:t>e.g.</w:t>
            </w:r>
            <w:proofErr w:type="gramEnd"/>
            <w:r>
              <w:rPr>
                <w:rFonts w:eastAsia="Times New Roman"/>
              </w:rPr>
              <w:t xml:space="preserve">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6DFAD98C" w:rsidR="00663539" w:rsidRPr="004B3E18" w:rsidRDefault="00663539" w:rsidP="00663539">
            <w:pPr>
              <w:rPr>
                <w:rFonts w:eastAsia="Times New Roman"/>
              </w:rPr>
            </w:pPr>
            <w:r w:rsidRPr="006933F1">
              <w:rPr>
                <w:rFonts w:cs="Arial"/>
                <w:i/>
              </w:rPr>
              <w:t>No</w:t>
            </w:r>
          </w:p>
        </w:tc>
      </w:tr>
      <w:tr w:rsidR="00663539" w:rsidRPr="004B3E18" w14:paraId="0A45FB20" w14:textId="77777777" w:rsidTr="003D38CD">
        <w:tc>
          <w:tcPr>
            <w:tcW w:w="8635" w:type="dxa"/>
            <w:tcBorders>
              <w:bottom w:val="single" w:sz="4" w:space="0" w:color="auto"/>
            </w:tcBorders>
            <w:shd w:val="clear" w:color="auto" w:fill="auto"/>
          </w:tcPr>
          <w:p w14:paraId="19251B40" w14:textId="77777777" w:rsidR="00663539" w:rsidRPr="004B3E18" w:rsidRDefault="00663539" w:rsidP="00663539">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4B78B251" w:rsidR="00663539" w:rsidRPr="004B3E18" w:rsidRDefault="00663539" w:rsidP="00663539">
            <w:pPr>
              <w:rPr>
                <w:rFonts w:eastAsia="Times New Roman"/>
              </w:rPr>
            </w:pPr>
            <w:r w:rsidRPr="006933F1">
              <w:rPr>
                <w:rFonts w:cs="Arial"/>
                <w:i/>
              </w:rPr>
              <w:t>No</w:t>
            </w:r>
          </w:p>
        </w:tc>
      </w:tr>
      <w:tr w:rsidR="00663539" w:rsidRPr="004B3E18" w14:paraId="750E7F48" w14:textId="77777777" w:rsidTr="003D38CD">
        <w:tc>
          <w:tcPr>
            <w:tcW w:w="8635" w:type="dxa"/>
            <w:tcBorders>
              <w:bottom w:val="single" w:sz="4" w:space="0" w:color="auto"/>
            </w:tcBorders>
            <w:shd w:val="clear" w:color="auto" w:fill="auto"/>
          </w:tcPr>
          <w:p w14:paraId="39BFA483" w14:textId="77777777" w:rsidR="00663539" w:rsidRPr="004B3E18" w:rsidRDefault="00663539" w:rsidP="00663539">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705D9AF9" w:rsidR="00663539" w:rsidRPr="004B3E18" w:rsidRDefault="00663539" w:rsidP="00663539">
            <w:pPr>
              <w:rPr>
                <w:rFonts w:eastAsia="Times New Roman"/>
              </w:rPr>
            </w:pPr>
            <w:r w:rsidRPr="006933F1">
              <w:rPr>
                <w:rFonts w:cs="Arial"/>
                <w:i/>
              </w:rPr>
              <w:t>No</w:t>
            </w:r>
          </w:p>
        </w:tc>
      </w:tr>
      <w:tr w:rsidR="00663539" w:rsidRPr="00E11C43" w14:paraId="5435C70D" w14:textId="77777777" w:rsidTr="003D38CD">
        <w:tc>
          <w:tcPr>
            <w:tcW w:w="8635" w:type="dxa"/>
            <w:tcBorders>
              <w:bottom w:val="single" w:sz="4" w:space="0" w:color="auto"/>
            </w:tcBorders>
            <w:shd w:val="clear" w:color="auto" w:fill="auto"/>
          </w:tcPr>
          <w:p w14:paraId="4835D827" w14:textId="77777777" w:rsidR="00663539" w:rsidRDefault="00663539" w:rsidP="00663539">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520F4295" w:rsidR="00663539" w:rsidRPr="00E11C43" w:rsidRDefault="00663539" w:rsidP="00663539">
            <w:pPr>
              <w:rPr>
                <w:rFonts w:eastAsia="Times New Roman"/>
              </w:rPr>
            </w:pPr>
            <w:r w:rsidRPr="006933F1">
              <w:rPr>
                <w:rFonts w:cs="Arial"/>
                <w:i/>
              </w:rPr>
              <w:t>No</w:t>
            </w:r>
          </w:p>
        </w:tc>
      </w:tr>
      <w:tr w:rsidR="00663539" w:rsidRPr="00E11C43" w14:paraId="79144CA7" w14:textId="77777777" w:rsidTr="003D38CD">
        <w:tc>
          <w:tcPr>
            <w:tcW w:w="8635" w:type="dxa"/>
            <w:tcBorders>
              <w:bottom w:val="single" w:sz="4" w:space="0" w:color="auto"/>
            </w:tcBorders>
            <w:shd w:val="clear" w:color="auto" w:fill="auto"/>
          </w:tcPr>
          <w:p w14:paraId="2E221504" w14:textId="77777777" w:rsidR="00663539" w:rsidRDefault="00663539" w:rsidP="00663539">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2E7A3F59" w:rsidR="00663539" w:rsidRPr="00E11C43" w:rsidRDefault="00663539" w:rsidP="00663539">
            <w:pPr>
              <w:rPr>
                <w:rFonts w:eastAsia="Times New Roman"/>
              </w:rPr>
            </w:pPr>
            <w:r w:rsidRPr="006933F1">
              <w:rPr>
                <w:rFonts w:cs="Arial"/>
                <w:i/>
              </w:rPr>
              <w:t>No</w:t>
            </w:r>
          </w:p>
        </w:tc>
      </w:tr>
      <w:tr w:rsidR="00663539" w:rsidRPr="00E11C43" w14:paraId="00CDEC43" w14:textId="77777777" w:rsidTr="003D38CD">
        <w:tc>
          <w:tcPr>
            <w:tcW w:w="8635" w:type="dxa"/>
            <w:tcBorders>
              <w:bottom w:val="single" w:sz="4" w:space="0" w:color="auto"/>
            </w:tcBorders>
            <w:shd w:val="clear" w:color="auto" w:fill="auto"/>
          </w:tcPr>
          <w:p w14:paraId="1ACD8A99" w14:textId="77777777" w:rsidR="00663539" w:rsidRDefault="00663539" w:rsidP="00663539">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22DCFE6B" w:rsidR="00663539" w:rsidRPr="00E11C43" w:rsidRDefault="00663539" w:rsidP="00663539">
            <w:pPr>
              <w:rPr>
                <w:rFonts w:eastAsia="Times New Roman"/>
              </w:rPr>
            </w:pPr>
            <w:r w:rsidRPr="006933F1">
              <w:rPr>
                <w:rFonts w:cs="Arial"/>
                <w:i/>
              </w:rPr>
              <w:t>No</w:t>
            </w:r>
          </w:p>
        </w:tc>
      </w:tr>
      <w:tr w:rsidR="00663539" w:rsidRPr="00E11C43" w14:paraId="691DB6AC" w14:textId="77777777" w:rsidTr="003D38CD">
        <w:tc>
          <w:tcPr>
            <w:tcW w:w="8635" w:type="dxa"/>
            <w:tcBorders>
              <w:bottom w:val="single" w:sz="4" w:space="0" w:color="auto"/>
            </w:tcBorders>
            <w:shd w:val="clear" w:color="auto" w:fill="auto"/>
          </w:tcPr>
          <w:p w14:paraId="76ED8A26" w14:textId="77777777" w:rsidR="00663539" w:rsidRDefault="00663539" w:rsidP="00663539">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1319147C" w:rsidR="00663539" w:rsidRPr="00E11C43" w:rsidRDefault="00663539" w:rsidP="00663539">
            <w:pPr>
              <w:rPr>
                <w:rFonts w:eastAsia="Times New Roman"/>
              </w:rPr>
            </w:pPr>
            <w:r w:rsidRPr="006933F1">
              <w:rPr>
                <w:rFonts w:cs="Arial"/>
                <w:i/>
              </w:rPr>
              <w:t>No</w:t>
            </w:r>
          </w:p>
        </w:tc>
      </w:tr>
      <w:tr w:rsidR="00663539" w:rsidRPr="004B3E18" w14:paraId="5DFFEE4D" w14:textId="77777777" w:rsidTr="003D38CD">
        <w:tc>
          <w:tcPr>
            <w:tcW w:w="8635" w:type="dxa"/>
            <w:tcBorders>
              <w:bottom w:val="single" w:sz="4" w:space="0" w:color="auto"/>
            </w:tcBorders>
            <w:shd w:val="clear" w:color="auto" w:fill="auto"/>
          </w:tcPr>
          <w:p w14:paraId="33F5DCF8" w14:textId="77777777" w:rsidR="00663539" w:rsidRPr="004B3E18" w:rsidRDefault="00663539" w:rsidP="00663539">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663539" w:rsidRPr="004B3E18" w:rsidRDefault="00663539" w:rsidP="00663539">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443382B5" w:rsidR="00663539" w:rsidRPr="004B3E18" w:rsidRDefault="00663539" w:rsidP="00663539">
            <w:pPr>
              <w:rPr>
                <w:rFonts w:eastAsia="Times New Roman"/>
              </w:rPr>
            </w:pPr>
            <w:r w:rsidRPr="006933F1">
              <w:rPr>
                <w:rFonts w:cs="Arial"/>
                <w:i/>
              </w:rPr>
              <w:t>No</w:t>
            </w:r>
          </w:p>
        </w:tc>
      </w:tr>
      <w:tr w:rsidR="00663539" w:rsidRPr="004B3E18" w14:paraId="1954ADEF" w14:textId="77777777" w:rsidTr="003D38CD">
        <w:tc>
          <w:tcPr>
            <w:tcW w:w="8635" w:type="dxa"/>
            <w:tcBorders>
              <w:bottom w:val="single" w:sz="4" w:space="0" w:color="auto"/>
            </w:tcBorders>
            <w:shd w:val="clear" w:color="auto" w:fill="auto"/>
          </w:tcPr>
          <w:p w14:paraId="3E65EB1F" w14:textId="77777777" w:rsidR="00663539" w:rsidRPr="004B3E18" w:rsidRDefault="00663539" w:rsidP="00663539">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072A334C" w:rsidR="00663539" w:rsidRPr="004B3E18" w:rsidRDefault="00663539" w:rsidP="00663539">
            <w:pPr>
              <w:tabs>
                <w:tab w:val="left" w:pos="585"/>
              </w:tabs>
              <w:spacing w:before="60" w:after="60"/>
              <w:ind w:left="567" w:hanging="567"/>
              <w:rPr>
                <w:rFonts w:eastAsia="Times New Roman"/>
              </w:rPr>
            </w:pPr>
            <w:r w:rsidRPr="006933F1">
              <w:rPr>
                <w:rFonts w:cs="Arial"/>
                <w:i/>
              </w:rPr>
              <w:t>No</w:t>
            </w:r>
          </w:p>
        </w:tc>
      </w:tr>
      <w:tr w:rsidR="00663539" w:rsidRPr="004B3E18" w14:paraId="1D41B9F5" w14:textId="77777777" w:rsidTr="003D38CD">
        <w:tc>
          <w:tcPr>
            <w:tcW w:w="8635" w:type="dxa"/>
            <w:tcBorders>
              <w:bottom w:val="single" w:sz="4" w:space="0" w:color="auto"/>
            </w:tcBorders>
            <w:shd w:val="clear" w:color="auto" w:fill="auto"/>
          </w:tcPr>
          <w:p w14:paraId="60A15B80" w14:textId="77777777" w:rsidR="00663539" w:rsidRPr="004B3E18" w:rsidRDefault="00663539" w:rsidP="00663539">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w:t>
            </w:r>
            <w:proofErr w:type="gramStart"/>
            <w:r w:rsidRPr="004B3E18">
              <w:rPr>
                <w:rFonts w:eastAsia="Times New Roman"/>
              </w:rPr>
              <w:t>e.g.</w:t>
            </w:r>
            <w:proofErr w:type="gramEnd"/>
            <w:r w:rsidRPr="004B3E18">
              <w:rPr>
                <w:rFonts w:eastAsia="Times New Roman"/>
              </w:rPr>
              <w:t xml:space="preserve">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78FEA068" w:rsidR="00663539" w:rsidRPr="004B3E18" w:rsidRDefault="00663539" w:rsidP="00663539">
            <w:pPr>
              <w:tabs>
                <w:tab w:val="left" w:pos="585"/>
              </w:tabs>
              <w:spacing w:before="60" w:after="60"/>
              <w:ind w:left="567" w:hanging="567"/>
              <w:rPr>
                <w:rFonts w:eastAsia="Times New Roman"/>
              </w:rPr>
            </w:pPr>
            <w:r w:rsidRPr="006933F1">
              <w:rPr>
                <w:rFonts w:cs="Arial"/>
                <w:i/>
              </w:rPr>
              <w:t>No</w:t>
            </w:r>
          </w:p>
        </w:tc>
      </w:tr>
      <w:tr w:rsidR="00663539" w:rsidRPr="004B3E18" w14:paraId="01039B9D" w14:textId="77777777" w:rsidTr="003D38CD">
        <w:tc>
          <w:tcPr>
            <w:tcW w:w="8635" w:type="dxa"/>
            <w:tcBorders>
              <w:bottom w:val="single" w:sz="4" w:space="0" w:color="auto"/>
            </w:tcBorders>
            <w:shd w:val="clear" w:color="auto" w:fill="auto"/>
          </w:tcPr>
          <w:p w14:paraId="7D87B13C" w14:textId="77777777" w:rsidR="00663539" w:rsidRPr="004B3E18" w:rsidRDefault="00663539" w:rsidP="00663539">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5B5C9FA7" w:rsidR="00663539" w:rsidRPr="004B3E18" w:rsidRDefault="00663539" w:rsidP="00663539">
            <w:pPr>
              <w:tabs>
                <w:tab w:val="left" w:pos="585"/>
              </w:tabs>
              <w:spacing w:before="60" w:after="60"/>
              <w:ind w:left="567" w:hanging="567"/>
              <w:rPr>
                <w:rFonts w:eastAsia="Times New Roman"/>
              </w:rPr>
            </w:pPr>
            <w:r w:rsidRPr="006933F1">
              <w:rPr>
                <w:rFonts w:cs="Arial"/>
                <w:i/>
              </w:rPr>
              <w:t>No</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ED7343">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ED7343">
            <w:pPr>
              <w:tabs>
                <w:tab w:val="left" w:pos="585"/>
              </w:tabs>
              <w:spacing w:before="60" w:after="60"/>
              <w:ind w:left="567" w:hanging="567"/>
              <w:rPr>
                <w:rFonts w:eastAsia="Times New Roman"/>
              </w:rPr>
            </w:pPr>
          </w:p>
        </w:tc>
      </w:tr>
      <w:tr w:rsidR="00663539" w:rsidRPr="004B3E18" w14:paraId="4FF9108C" w14:textId="77777777" w:rsidTr="003D38CD">
        <w:tc>
          <w:tcPr>
            <w:tcW w:w="8635" w:type="dxa"/>
            <w:tcBorders>
              <w:bottom w:val="single" w:sz="4" w:space="0" w:color="auto"/>
            </w:tcBorders>
            <w:shd w:val="clear" w:color="auto" w:fill="auto"/>
          </w:tcPr>
          <w:p w14:paraId="791C6C7D" w14:textId="77777777" w:rsidR="00663539" w:rsidRDefault="00663539" w:rsidP="00663539">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0EE70935" w:rsidR="00663539" w:rsidRPr="004B3E18" w:rsidRDefault="00663539" w:rsidP="00663539">
            <w:pPr>
              <w:tabs>
                <w:tab w:val="left" w:pos="585"/>
              </w:tabs>
              <w:spacing w:before="60" w:after="60"/>
              <w:ind w:left="567" w:hanging="567"/>
              <w:rPr>
                <w:rFonts w:eastAsia="Times New Roman"/>
              </w:rPr>
            </w:pPr>
          </w:p>
        </w:tc>
      </w:tr>
      <w:tr w:rsidR="00663539" w:rsidRPr="004B3E18" w14:paraId="245D0597" w14:textId="77777777" w:rsidTr="003D38CD">
        <w:tc>
          <w:tcPr>
            <w:tcW w:w="8635" w:type="dxa"/>
            <w:tcBorders>
              <w:bottom w:val="single" w:sz="4" w:space="0" w:color="auto"/>
            </w:tcBorders>
            <w:shd w:val="clear" w:color="auto" w:fill="auto"/>
          </w:tcPr>
          <w:p w14:paraId="20FCA287" w14:textId="77777777" w:rsidR="00663539" w:rsidRPr="004B3E18" w:rsidRDefault="00663539" w:rsidP="00663539">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47F31B0E" w:rsidR="00663539" w:rsidRPr="004B3E18" w:rsidRDefault="00663539" w:rsidP="00663539">
            <w:pPr>
              <w:tabs>
                <w:tab w:val="left" w:pos="585"/>
              </w:tabs>
              <w:spacing w:before="60" w:after="60"/>
              <w:ind w:left="567" w:hanging="567"/>
              <w:rPr>
                <w:rFonts w:eastAsia="Times New Roman"/>
              </w:rPr>
            </w:pPr>
            <w:r w:rsidRPr="004D2DCE">
              <w:rPr>
                <w:rFonts w:cs="Arial"/>
                <w:i/>
              </w:rPr>
              <w:t>No</w:t>
            </w:r>
          </w:p>
        </w:tc>
      </w:tr>
      <w:tr w:rsidR="00663539" w:rsidRPr="004B3E18" w14:paraId="6DF5C93F" w14:textId="77777777" w:rsidTr="003D38CD">
        <w:tc>
          <w:tcPr>
            <w:tcW w:w="8635" w:type="dxa"/>
            <w:tcBorders>
              <w:bottom w:val="single" w:sz="4" w:space="0" w:color="auto"/>
            </w:tcBorders>
            <w:shd w:val="clear" w:color="auto" w:fill="auto"/>
          </w:tcPr>
          <w:p w14:paraId="1FAC3538" w14:textId="77777777" w:rsidR="00663539" w:rsidRDefault="00663539" w:rsidP="00663539">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663539" w:rsidRPr="00E344B9" w:rsidRDefault="00663539" w:rsidP="00663539">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5461D5B5" w:rsidR="00663539" w:rsidRPr="004B3E18" w:rsidRDefault="00663539" w:rsidP="00663539">
            <w:pPr>
              <w:tabs>
                <w:tab w:val="left" w:pos="585"/>
              </w:tabs>
              <w:spacing w:before="60" w:after="60"/>
              <w:ind w:left="567" w:hanging="567"/>
              <w:rPr>
                <w:rFonts w:eastAsia="Times New Roman"/>
              </w:rPr>
            </w:pPr>
            <w:r w:rsidRPr="004D2DCE">
              <w:rPr>
                <w:rFonts w:cs="Arial"/>
                <w:i/>
              </w:rPr>
              <w:lastRenderedPageBreak/>
              <w:t>No</w:t>
            </w:r>
          </w:p>
        </w:tc>
      </w:tr>
      <w:tr w:rsidR="00663539" w:rsidRPr="004B3E18" w14:paraId="715615F7" w14:textId="77777777" w:rsidTr="003D38CD">
        <w:tc>
          <w:tcPr>
            <w:tcW w:w="8635" w:type="dxa"/>
            <w:tcBorders>
              <w:bottom w:val="single" w:sz="4" w:space="0" w:color="auto"/>
            </w:tcBorders>
            <w:shd w:val="clear" w:color="auto" w:fill="auto"/>
          </w:tcPr>
          <w:p w14:paraId="09365653" w14:textId="77777777" w:rsidR="00663539" w:rsidRPr="004B3E18" w:rsidRDefault="00663539" w:rsidP="00663539">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663539" w:rsidRPr="004B3E18" w:rsidRDefault="00663539" w:rsidP="00663539">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485050A1" w:rsidR="00663539" w:rsidRPr="004B3E18" w:rsidRDefault="00663539" w:rsidP="00663539">
            <w:pPr>
              <w:tabs>
                <w:tab w:val="left" w:pos="585"/>
              </w:tabs>
              <w:spacing w:before="60" w:after="60"/>
              <w:ind w:left="567" w:hanging="567"/>
              <w:rPr>
                <w:rFonts w:eastAsia="Times New Roman"/>
              </w:rPr>
            </w:pPr>
            <w:r w:rsidRPr="004D2DCE">
              <w:rPr>
                <w:rFonts w:cs="Arial"/>
                <w:i/>
              </w:rPr>
              <w:t>No</w:t>
            </w:r>
          </w:p>
        </w:tc>
      </w:tr>
      <w:tr w:rsidR="00663539" w:rsidRPr="004B3E18" w14:paraId="6E1241E8" w14:textId="77777777" w:rsidTr="003D38CD">
        <w:tc>
          <w:tcPr>
            <w:tcW w:w="8635" w:type="dxa"/>
            <w:tcBorders>
              <w:bottom w:val="single" w:sz="4" w:space="0" w:color="auto"/>
            </w:tcBorders>
            <w:shd w:val="clear" w:color="auto" w:fill="auto"/>
          </w:tcPr>
          <w:p w14:paraId="0E95943A" w14:textId="77777777" w:rsidR="00663539" w:rsidRPr="004B3E18" w:rsidRDefault="00663539" w:rsidP="00663539">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4C31FC17" w:rsidR="00663539" w:rsidRPr="004B3E18" w:rsidRDefault="00663539" w:rsidP="00663539">
            <w:pPr>
              <w:tabs>
                <w:tab w:val="left" w:pos="585"/>
              </w:tabs>
              <w:spacing w:before="60" w:after="60"/>
              <w:ind w:left="567" w:hanging="567"/>
              <w:rPr>
                <w:rFonts w:eastAsia="Times New Roman"/>
              </w:rPr>
            </w:pPr>
            <w:r w:rsidRPr="004D2DCE">
              <w:rPr>
                <w:rFonts w:cs="Arial"/>
                <w:i/>
              </w:rPr>
              <w:t>No</w:t>
            </w:r>
          </w:p>
        </w:tc>
      </w:tr>
      <w:tr w:rsidR="005E5F0D" w:rsidRPr="004B3E18" w14:paraId="7B65C1FF" w14:textId="77777777" w:rsidTr="00D93A5B">
        <w:trPr>
          <w:trHeight w:val="278"/>
        </w:trPr>
        <w:tc>
          <w:tcPr>
            <w:tcW w:w="8635" w:type="dxa"/>
            <w:tcBorders>
              <w:bottom w:val="single" w:sz="4" w:space="0" w:color="auto"/>
            </w:tcBorders>
            <w:shd w:val="clear" w:color="auto" w:fill="DBE5F1"/>
            <w:vAlign w:val="center"/>
          </w:tcPr>
          <w:p w14:paraId="4D774F0D"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ED7343">
            <w:pPr>
              <w:tabs>
                <w:tab w:val="left" w:pos="585"/>
              </w:tabs>
              <w:spacing w:before="60" w:after="60"/>
              <w:ind w:left="567" w:hanging="567"/>
              <w:rPr>
                <w:rFonts w:eastAsia="Times New Roman"/>
              </w:rPr>
            </w:pPr>
          </w:p>
        </w:tc>
      </w:tr>
      <w:tr w:rsidR="00663539" w:rsidRPr="000403E3" w14:paraId="731FB10E" w14:textId="77777777" w:rsidTr="003D38CD">
        <w:tc>
          <w:tcPr>
            <w:tcW w:w="8635" w:type="dxa"/>
            <w:tcBorders>
              <w:bottom w:val="single" w:sz="4" w:space="0" w:color="auto"/>
            </w:tcBorders>
            <w:shd w:val="clear" w:color="auto" w:fill="auto"/>
          </w:tcPr>
          <w:p w14:paraId="09D05B09" w14:textId="77777777" w:rsidR="00663539" w:rsidRPr="00E344B9" w:rsidRDefault="00663539" w:rsidP="00663539">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0E8C1DE2" w:rsidR="00663539" w:rsidRPr="00E344B9" w:rsidRDefault="00663539" w:rsidP="00663539">
            <w:pPr>
              <w:tabs>
                <w:tab w:val="left" w:pos="585"/>
              </w:tabs>
              <w:spacing w:before="60" w:after="60"/>
              <w:ind w:left="567" w:hanging="567"/>
              <w:rPr>
                <w:rFonts w:eastAsia="Times New Roman"/>
                <w:i/>
              </w:rPr>
            </w:pPr>
          </w:p>
        </w:tc>
      </w:tr>
      <w:tr w:rsidR="00663539" w:rsidRPr="004B3E18" w14:paraId="30EA454F" w14:textId="77777777" w:rsidTr="003D38CD">
        <w:tc>
          <w:tcPr>
            <w:tcW w:w="8635" w:type="dxa"/>
            <w:tcBorders>
              <w:bottom w:val="single" w:sz="4" w:space="0" w:color="auto"/>
            </w:tcBorders>
            <w:shd w:val="clear" w:color="auto" w:fill="auto"/>
          </w:tcPr>
          <w:p w14:paraId="21D85428" w14:textId="77777777" w:rsidR="00663539" w:rsidRPr="004B3E18" w:rsidRDefault="00663539" w:rsidP="00663539">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w:t>
            </w:r>
            <w:proofErr w:type="gramStart"/>
            <w:r w:rsidRPr="004B3E18">
              <w:rPr>
                <w:rFonts w:eastAsia="Times New Roman"/>
              </w:rPr>
              <w:t>e.g.</w:t>
            </w:r>
            <w:proofErr w:type="gramEnd"/>
            <w:r w:rsidRPr="004B3E18">
              <w:rPr>
                <w:rFonts w:eastAsia="Times New Roman"/>
              </w:rPr>
              <w:t xml:space="preserve">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2A7EB429"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07850FD3" w14:textId="77777777" w:rsidTr="003D38CD">
        <w:tc>
          <w:tcPr>
            <w:tcW w:w="8635" w:type="dxa"/>
            <w:tcBorders>
              <w:bottom w:val="single" w:sz="4" w:space="0" w:color="auto"/>
            </w:tcBorders>
            <w:shd w:val="clear" w:color="auto" w:fill="auto"/>
          </w:tcPr>
          <w:p w14:paraId="2671A3DF" w14:textId="77777777" w:rsidR="00663539" w:rsidRDefault="00663539" w:rsidP="00663539">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59D242F6"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094C4119" w14:textId="77777777" w:rsidTr="003D38CD">
        <w:tc>
          <w:tcPr>
            <w:tcW w:w="8635" w:type="dxa"/>
            <w:tcBorders>
              <w:bottom w:val="single" w:sz="4" w:space="0" w:color="auto"/>
            </w:tcBorders>
            <w:shd w:val="clear" w:color="auto" w:fill="auto"/>
          </w:tcPr>
          <w:p w14:paraId="16BCBF70" w14:textId="77777777" w:rsidR="00663539" w:rsidRDefault="00663539" w:rsidP="00663539">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w:t>
            </w:r>
            <w:proofErr w:type="gramStart"/>
            <w:r w:rsidRPr="004B3E18">
              <w:rPr>
                <w:rFonts w:eastAsia="Times New Roman"/>
              </w:rPr>
              <w:t>e.g.</w:t>
            </w:r>
            <w:proofErr w:type="gramEnd"/>
            <w:r w:rsidRPr="004B3E18">
              <w:rPr>
                <w:rFonts w:eastAsia="Times New Roman"/>
              </w:rPr>
              <w:t xml:space="preserve"> collapse of buildings or infrastructure)?</w:t>
            </w:r>
          </w:p>
        </w:tc>
        <w:tc>
          <w:tcPr>
            <w:tcW w:w="900" w:type="dxa"/>
            <w:tcBorders>
              <w:bottom w:val="single" w:sz="4" w:space="0" w:color="auto"/>
            </w:tcBorders>
            <w:shd w:val="clear" w:color="auto" w:fill="auto"/>
          </w:tcPr>
          <w:p w14:paraId="6208DE7D" w14:textId="725FCECD"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69F4D3AA" w14:textId="77777777" w:rsidTr="003D38CD">
        <w:tc>
          <w:tcPr>
            <w:tcW w:w="8635" w:type="dxa"/>
            <w:tcBorders>
              <w:bottom w:val="single" w:sz="4" w:space="0" w:color="auto"/>
            </w:tcBorders>
            <w:shd w:val="clear" w:color="auto" w:fill="auto"/>
          </w:tcPr>
          <w:p w14:paraId="4D6A0DD5" w14:textId="77777777" w:rsidR="00663539" w:rsidRDefault="00663539" w:rsidP="00663539">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w:t>
            </w:r>
            <w:proofErr w:type="gramStart"/>
            <w:r>
              <w:rPr>
                <w:rFonts w:eastAsia="Times New Roman"/>
              </w:rPr>
              <w:t>e.g.</w:t>
            </w:r>
            <w:proofErr w:type="gramEnd"/>
            <w:r>
              <w:rPr>
                <w:rFonts w:eastAsia="Times New Roman"/>
              </w:rPr>
              <w:t xml:space="preserve">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608D7CD7"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2988317A" w14:textId="77777777" w:rsidTr="003D38CD">
        <w:tc>
          <w:tcPr>
            <w:tcW w:w="8635" w:type="dxa"/>
            <w:tcBorders>
              <w:bottom w:val="single" w:sz="4" w:space="0" w:color="auto"/>
            </w:tcBorders>
            <w:shd w:val="clear" w:color="auto" w:fill="auto"/>
          </w:tcPr>
          <w:p w14:paraId="70690CE0" w14:textId="77777777" w:rsidR="00663539" w:rsidRDefault="00663539" w:rsidP="00663539">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w:t>
            </w:r>
            <w:proofErr w:type="gramStart"/>
            <w:r w:rsidRPr="004B3E18">
              <w:t>e.g.</w:t>
            </w:r>
            <w:proofErr w:type="gramEnd"/>
            <w:r w:rsidRPr="004B3E18">
              <w:t xml:space="preserve"> explosives, fuel and other chemicals during construction and operation)?</w:t>
            </w:r>
          </w:p>
        </w:tc>
        <w:tc>
          <w:tcPr>
            <w:tcW w:w="900" w:type="dxa"/>
            <w:tcBorders>
              <w:bottom w:val="single" w:sz="4" w:space="0" w:color="auto"/>
            </w:tcBorders>
            <w:shd w:val="clear" w:color="auto" w:fill="auto"/>
          </w:tcPr>
          <w:p w14:paraId="091FF1B4" w14:textId="2EFB3360"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3BA2B63A" w14:textId="77777777" w:rsidTr="003D38CD">
        <w:tc>
          <w:tcPr>
            <w:tcW w:w="8635" w:type="dxa"/>
            <w:tcBorders>
              <w:bottom w:val="single" w:sz="4" w:space="0" w:color="auto"/>
            </w:tcBorders>
            <w:shd w:val="clear" w:color="auto" w:fill="auto"/>
          </w:tcPr>
          <w:p w14:paraId="68DED9CD" w14:textId="77777777" w:rsidR="00663539" w:rsidRDefault="00663539" w:rsidP="00663539">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w:t>
            </w:r>
            <w:proofErr w:type="gramStart"/>
            <w:r>
              <w:rPr>
                <w:rFonts w:eastAsia="Times New Roman"/>
              </w:rPr>
              <w:t>e.g.</w:t>
            </w:r>
            <w:proofErr w:type="gramEnd"/>
            <w:r>
              <w:rPr>
                <w:rFonts w:eastAsia="Times New Roman"/>
              </w:rPr>
              <w:t xml:space="preserve"> food, surface water purification, natural buffers from flooding)?</w:t>
            </w:r>
          </w:p>
        </w:tc>
        <w:tc>
          <w:tcPr>
            <w:tcW w:w="900" w:type="dxa"/>
            <w:tcBorders>
              <w:bottom w:val="single" w:sz="4" w:space="0" w:color="auto"/>
            </w:tcBorders>
            <w:shd w:val="clear" w:color="auto" w:fill="auto"/>
          </w:tcPr>
          <w:p w14:paraId="48568E6D" w14:textId="75EEB999"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0866FDC8" w14:textId="77777777" w:rsidTr="003D38CD">
        <w:tc>
          <w:tcPr>
            <w:tcW w:w="8635" w:type="dxa"/>
            <w:tcBorders>
              <w:bottom w:val="single" w:sz="4" w:space="0" w:color="auto"/>
            </w:tcBorders>
            <w:shd w:val="clear" w:color="auto" w:fill="auto"/>
          </w:tcPr>
          <w:p w14:paraId="6C35A59C" w14:textId="77777777" w:rsidR="00663539" w:rsidRPr="004B3E18" w:rsidRDefault="00663539" w:rsidP="00663539">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6253069C"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663539" w:rsidRPr="004B3E18" w14:paraId="7F77914E" w14:textId="77777777" w:rsidTr="003D38CD">
        <w:tc>
          <w:tcPr>
            <w:tcW w:w="8635" w:type="dxa"/>
            <w:tcBorders>
              <w:bottom w:val="single" w:sz="4" w:space="0" w:color="auto"/>
            </w:tcBorders>
            <w:shd w:val="clear" w:color="auto" w:fill="auto"/>
          </w:tcPr>
          <w:p w14:paraId="722286F8" w14:textId="77777777" w:rsidR="00663539" w:rsidRPr="004B3E18" w:rsidRDefault="00663539" w:rsidP="00663539">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26317B65" w:rsidR="00663539" w:rsidRPr="004B3E18" w:rsidRDefault="00663539" w:rsidP="00663539">
            <w:pPr>
              <w:tabs>
                <w:tab w:val="left" w:pos="585"/>
              </w:tabs>
              <w:spacing w:before="60" w:after="60"/>
              <w:ind w:left="567" w:hanging="567"/>
              <w:rPr>
                <w:rFonts w:eastAsia="Times New Roman"/>
              </w:rPr>
            </w:pPr>
            <w:r w:rsidRPr="00D06075">
              <w:rPr>
                <w:rFonts w:cs="Arial"/>
                <w:i/>
              </w:rPr>
              <w:t>No</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ED7343">
            <w:pPr>
              <w:tabs>
                <w:tab w:val="left" w:pos="585"/>
              </w:tabs>
              <w:spacing w:before="60" w:after="60"/>
              <w:ind w:left="567" w:hanging="567"/>
              <w:rPr>
                <w:rFonts w:eastAsia="Times New Roman"/>
              </w:rPr>
            </w:pPr>
          </w:p>
        </w:tc>
      </w:tr>
      <w:tr w:rsidR="00663539" w:rsidRPr="00E14174" w14:paraId="58F3370B" w14:textId="77777777" w:rsidTr="003D38CD">
        <w:tc>
          <w:tcPr>
            <w:tcW w:w="8635" w:type="dxa"/>
            <w:tcBorders>
              <w:bottom w:val="single" w:sz="4" w:space="0" w:color="auto"/>
            </w:tcBorders>
            <w:shd w:val="clear" w:color="auto" w:fill="auto"/>
          </w:tcPr>
          <w:p w14:paraId="255832BF" w14:textId="77777777" w:rsidR="00663539" w:rsidRPr="00E344B9" w:rsidRDefault="00663539" w:rsidP="00663539">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66328B05" w:rsidR="00663539" w:rsidRPr="00E14174" w:rsidRDefault="00663539" w:rsidP="00663539">
            <w:pPr>
              <w:tabs>
                <w:tab w:val="left" w:pos="585"/>
              </w:tabs>
              <w:spacing w:before="60" w:after="60"/>
              <w:ind w:left="567" w:hanging="567"/>
              <w:rPr>
                <w:rFonts w:eastAsia="Times New Roman"/>
              </w:rPr>
            </w:pPr>
          </w:p>
        </w:tc>
      </w:tr>
      <w:tr w:rsidR="00663539" w:rsidRPr="003C46F8" w14:paraId="3EC62225" w14:textId="77777777" w:rsidTr="003D38CD">
        <w:tc>
          <w:tcPr>
            <w:tcW w:w="8635" w:type="dxa"/>
            <w:tcBorders>
              <w:bottom w:val="single" w:sz="4" w:space="0" w:color="auto"/>
            </w:tcBorders>
            <w:shd w:val="clear" w:color="auto" w:fill="auto"/>
          </w:tcPr>
          <w:p w14:paraId="0593773E" w14:textId="77777777" w:rsidR="00663539" w:rsidRPr="00E344B9" w:rsidRDefault="00663539" w:rsidP="00663539">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494BC59F" w:rsidR="00663539" w:rsidRPr="00E344B9" w:rsidRDefault="00663539" w:rsidP="00663539">
            <w:pPr>
              <w:tabs>
                <w:tab w:val="left" w:pos="585"/>
              </w:tabs>
              <w:spacing w:before="60" w:after="60"/>
              <w:ind w:left="567" w:hanging="567"/>
              <w:rPr>
                <w:rFonts w:eastAsia="Times New Roman"/>
              </w:rPr>
            </w:pPr>
            <w:r w:rsidRPr="00E24FEA">
              <w:rPr>
                <w:rFonts w:cs="Arial"/>
                <w:i/>
              </w:rPr>
              <w:t>No</w:t>
            </w:r>
          </w:p>
        </w:tc>
      </w:tr>
      <w:tr w:rsidR="00663539" w:rsidRPr="003C46F8" w14:paraId="1561499E" w14:textId="77777777" w:rsidTr="003D38CD">
        <w:tc>
          <w:tcPr>
            <w:tcW w:w="8635" w:type="dxa"/>
            <w:tcBorders>
              <w:bottom w:val="single" w:sz="4" w:space="0" w:color="auto"/>
            </w:tcBorders>
            <w:shd w:val="clear" w:color="auto" w:fill="auto"/>
          </w:tcPr>
          <w:p w14:paraId="5218C80C" w14:textId="77777777" w:rsidR="00663539" w:rsidRPr="00E344B9" w:rsidRDefault="00663539" w:rsidP="00663539">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AE95287" w:rsidR="00663539" w:rsidRPr="00E344B9" w:rsidRDefault="00663539" w:rsidP="00663539">
            <w:pPr>
              <w:tabs>
                <w:tab w:val="left" w:pos="585"/>
              </w:tabs>
              <w:spacing w:before="60" w:after="60"/>
              <w:ind w:left="567" w:hanging="567"/>
              <w:rPr>
                <w:rFonts w:eastAsia="Times New Roman"/>
              </w:rPr>
            </w:pPr>
            <w:r w:rsidRPr="00E24FEA">
              <w:rPr>
                <w:rFonts w:cs="Arial"/>
                <w:i/>
              </w:rPr>
              <w:t>No</w:t>
            </w:r>
          </w:p>
        </w:tc>
      </w:tr>
      <w:tr w:rsidR="00663539" w:rsidRPr="004B3E18" w14:paraId="6C6A7EB6" w14:textId="77777777" w:rsidTr="00D93A5B">
        <w:trPr>
          <w:trHeight w:val="899"/>
        </w:trPr>
        <w:tc>
          <w:tcPr>
            <w:tcW w:w="8635" w:type="dxa"/>
            <w:tcBorders>
              <w:bottom w:val="single" w:sz="4" w:space="0" w:color="auto"/>
            </w:tcBorders>
            <w:shd w:val="clear" w:color="auto" w:fill="auto"/>
          </w:tcPr>
          <w:p w14:paraId="5051DFBB" w14:textId="77777777" w:rsidR="00663539" w:rsidRPr="004B3E18" w:rsidRDefault="00663539" w:rsidP="00663539">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w:t>
            </w:r>
            <w:proofErr w:type="gramStart"/>
            <w:r w:rsidRPr="004B3E18">
              <w:rPr>
                <w:rFonts w:eastAsia="Times New Roman"/>
              </w:rPr>
              <w:t>e.g.</w:t>
            </w:r>
            <w:proofErr w:type="gramEnd"/>
            <w:r w:rsidRPr="004B3E18">
              <w:rPr>
                <w:rFonts w:eastAsia="Times New Roman"/>
              </w:rPr>
              <w:t xml:space="preserve">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64100937" w:rsidR="00663539" w:rsidRPr="004B3E18" w:rsidRDefault="00663539" w:rsidP="00663539">
            <w:pPr>
              <w:tabs>
                <w:tab w:val="left" w:pos="585"/>
              </w:tabs>
              <w:spacing w:before="60" w:after="60"/>
              <w:ind w:left="567" w:hanging="567"/>
              <w:rPr>
                <w:rFonts w:eastAsia="Times New Roman"/>
              </w:rPr>
            </w:pPr>
            <w:r w:rsidRPr="00E24FEA">
              <w:rPr>
                <w:rFonts w:cs="Arial"/>
                <w:i/>
              </w:rPr>
              <w:t>No</w:t>
            </w:r>
          </w:p>
        </w:tc>
      </w:tr>
      <w:tr w:rsidR="00663539" w:rsidRPr="004B3E18" w14:paraId="39C620D0" w14:textId="77777777" w:rsidTr="003D38CD">
        <w:tc>
          <w:tcPr>
            <w:tcW w:w="8635" w:type="dxa"/>
            <w:tcBorders>
              <w:bottom w:val="single" w:sz="4" w:space="0" w:color="auto"/>
            </w:tcBorders>
            <w:shd w:val="clear" w:color="auto" w:fill="auto"/>
          </w:tcPr>
          <w:p w14:paraId="4C8C086C" w14:textId="77777777" w:rsidR="00663539" w:rsidRPr="004B3E18" w:rsidRDefault="00663539" w:rsidP="00663539">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563E6CB4" w:rsidR="00663539" w:rsidRPr="004B3E18" w:rsidRDefault="00663539" w:rsidP="00663539">
            <w:pPr>
              <w:tabs>
                <w:tab w:val="left" w:pos="585"/>
              </w:tabs>
              <w:spacing w:before="60" w:after="60"/>
              <w:ind w:left="567" w:hanging="567"/>
              <w:rPr>
                <w:rFonts w:eastAsia="Times New Roman"/>
              </w:rPr>
            </w:pPr>
            <w:r w:rsidRPr="00E24FEA">
              <w:rPr>
                <w:rFonts w:cs="Arial"/>
                <w:i/>
              </w:rPr>
              <w:t>No</w:t>
            </w:r>
          </w:p>
        </w:tc>
      </w:tr>
      <w:tr w:rsidR="00663539" w:rsidRPr="004B3E18" w14:paraId="17A6D528" w14:textId="77777777" w:rsidTr="003D38CD">
        <w:tc>
          <w:tcPr>
            <w:tcW w:w="8635" w:type="dxa"/>
            <w:tcBorders>
              <w:bottom w:val="single" w:sz="4" w:space="0" w:color="auto"/>
            </w:tcBorders>
            <w:shd w:val="clear" w:color="auto" w:fill="auto"/>
          </w:tcPr>
          <w:p w14:paraId="00E5A88D" w14:textId="77777777" w:rsidR="00663539" w:rsidRPr="004B3E18" w:rsidRDefault="00663539" w:rsidP="00663539">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w:t>
            </w:r>
            <w:proofErr w:type="gramStart"/>
            <w:r>
              <w:rPr>
                <w:rFonts w:eastAsia="Times New Roman"/>
              </w:rPr>
              <w:t>e.g.</w:t>
            </w:r>
            <w:proofErr w:type="gramEnd"/>
            <w:r>
              <w:rPr>
                <w:rFonts w:eastAsia="Times New Roman"/>
              </w:rPr>
              <w:t xml:space="preserve">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33DD1A8B" w:rsidR="00663539" w:rsidRPr="004B3E18" w:rsidRDefault="00663539" w:rsidP="00663539">
            <w:pPr>
              <w:tabs>
                <w:tab w:val="left" w:pos="585"/>
              </w:tabs>
              <w:spacing w:before="60" w:after="60"/>
              <w:ind w:left="567" w:hanging="567"/>
              <w:rPr>
                <w:rFonts w:eastAsia="Times New Roman"/>
              </w:rPr>
            </w:pPr>
            <w:r w:rsidRPr="00E24FEA">
              <w:rPr>
                <w:rFonts w:cs="Arial"/>
                <w:i/>
              </w:rPr>
              <w:t>No</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ED7343">
            <w:pPr>
              <w:tabs>
                <w:tab w:val="left" w:pos="585"/>
              </w:tabs>
              <w:spacing w:before="60" w:after="60"/>
              <w:ind w:left="567" w:hanging="567"/>
              <w:rPr>
                <w:rFonts w:eastAsia="Times New Roman"/>
              </w:rPr>
            </w:pPr>
          </w:p>
        </w:tc>
      </w:tr>
      <w:tr w:rsidR="00663539" w:rsidRPr="001C35FF" w14:paraId="211B412E" w14:textId="77777777" w:rsidTr="003D38CD">
        <w:tc>
          <w:tcPr>
            <w:tcW w:w="8635" w:type="dxa"/>
            <w:tcBorders>
              <w:bottom w:val="single" w:sz="4" w:space="0" w:color="auto"/>
            </w:tcBorders>
            <w:shd w:val="clear" w:color="auto" w:fill="auto"/>
          </w:tcPr>
          <w:p w14:paraId="6580D67D" w14:textId="77777777" w:rsidR="00663539" w:rsidRPr="00E344B9" w:rsidRDefault="00663539" w:rsidP="00663539">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5058F139" w:rsidR="00663539" w:rsidRPr="00E344B9" w:rsidRDefault="00663539" w:rsidP="00663539">
            <w:pPr>
              <w:tabs>
                <w:tab w:val="left" w:pos="585"/>
              </w:tabs>
              <w:spacing w:before="60" w:after="60"/>
              <w:ind w:left="567" w:hanging="567"/>
              <w:rPr>
                <w:rFonts w:eastAsia="Times New Roman"/>
                <w:i/>
              </w:rPr>
            </w:pPr>
          </w:p>
        </w:tc>
      </w:tr>
      <w:tr w:rsidR="00663539" w:rsidRPr="004B3E18" w14:paraId="3F37EE04" w14:textId="77777777" w:rsidTr="003D38CD">
        <w:tc>
          <w:tcPr>
            <w:tcW w:w="8635" w:type="dxa"/>
            <w:tcBorders>
              <w:bottom w:val="single" w:sz="4" w:space="0" w:color="auto"/>
            </w:tcBorders>
            <w:shd w:val="clear" w:color="auto" w:fill="auto"/>
          </w:tcPr>
          <w:p w14:paraId="2DA051A9" w14:textId="77777777" w:rsidR="00663539" w:rsidRPr="004B3E18" w:rsidRDefault="00663539" w:rsidP="00663539">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6695876C" w:rsidR="00663539" w:rsidRPr="004B3E18" w:rsidRDefault="00663539" w:rsidP="00663539">
            <w:pPr>
              <w:tabs>
                <w:tab w:val="left" w:pos="585"/>
              </w:tabs>
              <w:spacing w:before="60" w:after="60"/>
              <w:ind w:left="567" w:hanging="567"/>
              <w:rPr>
                <w:rFonts w:eastAsia="Times New Roman"/>
              </w:rPr>
            </w:pPr>
            <w:r w:rsidRPr="00085EAC">
              <w:rPr>
                <w:rFonts w:cs="Arial"/>
                <w:i/>
              </w:rPr>
              <w:t>No</w:t>
            </w:r>
          </w:p>
        </w:tc>
      </w:tr>
      <w:tr w:rsidR="00663539" w:rsidRPr="004B3E18" w14:paraId="7E6E2CC7" w14:textId="77777777" w:rsidTr="003D38CD">
        <w:tc>
          <w:tcPr>
            <w:tcW w:w="8635" w:type="dxa"/>
            <w:tcBorders>
              <w:bottom w:val="single" w:sz="4" w:space="0" w:color="auto"/>
            </w:tcBorders>
            <w:shd w:val="clear" w:color="auto" w:fill="auto"/>
          </w:tcPr>
          <w:p w14:paraId="5FB2D2AA" w14:textId="77777777" w:rsidR="00663539" w:rsidRPr="004B3E18" w:rsidRDefault="00663539" w:rsidP="00663539">
            <w:pPr>
              <w:tabs>
                <w:tab w:val="left" w:pos="585"/>
              </w:tabs>
              <w:spacing w:before="60" w:after="60"/>
              <w:ind w:left="567" w:hanging="567"/>
              <w:rPr>
                <w:rFonts w:eastAsia="Times New Roman"/>
                <w:b/>
              </w:rPr>
            </w:pPr>
            <w:r w:rsidRPr="004B3E18">
              <w:t>5.2</w:t>
            </w:r>
            <w:r w:rsidRPr="004B3E18">
              <w:tab/>
              <w:t>economic displacement (</w:t>
            </w:r>
            <w:proofErr w:type="gramStart"/>
            <w:r w:rsidRPr="004B3E18">
              <w:t>e.g.</w:t>
            </w:r>
            <w:proofErr w:type="gramEnd"/>
            <w:r w:rsidRPr="004B3E18">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117920AA" w:rsidR="00663539" w:rsidRPr="004B3E18" w:rsidRDefault="00663539" w:rsidP="00663539">
            <w:pPr>
              <w:tabs>
                <w:tab w:val="left" w:pos="585"/>
              </w:tabs>
              <w:spacing w:before="60" w:after="60"/>
              <w:ind w:left="567" w:hanging="567"/>
              <w:rPr>
                <w:rFonts w:eastAsia="Times New Roman"/>
              </w:rPr>
            </w:pPr>
            <w:r w:rsidRPr="00085EAC">
              <w:rPr>
                <w:rFonts w:cs="Arial"/>
                <w:i/>
              </w:rPr>
              <w:t>No</w:t>
            </w:r>
          </w:p>
        </w:tc>
      </w:tr>
      <w:tr w:rsidR="00663539" w:rsidRPr="004B3E18" w14:paraId="0CADD570" w14:textId="77777777" w:rsidTr="003D38CD">
        <w:tc>
          <w:tcPr>
            <w:tcW w:w="8635" w:type="dxa"/>
            <w:tcBorders>
              <w:bottom w:val="single" w:sz="4" w:space="0" w:color="auto"/>
            </w:tcBorders>
            <w:shd w:val="clear" w:color="auto" w:fill="auto"/>
          </w:tcPr>
          <w:p w14:paraId="63B8C4D4" w14:textId="77777777" w:rsidR="00663539" w:rsidRPr="004B3E18" w:rsidRDefault="00663539" w:rsidP="00663539">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6EE6D8D8" w:rsidR="00663539" w:rsidRPr="004B3E18" w:rsidRDefault="00663539" w:rsidP="00663539">
            <w:pPr>
              <w:tabs>
                <w:tab w:val="left" w:pos="585"/>
              </w:tabs>
              <w:spacing w:before="60" w:after="60"/>
              <w:ind w:left="567" w:hanging="567"/>
              <w:rPr>
                <w:rFonts w:eastAsia="Times New Roman"/>
              </w:rPr>
            </w:pPr>
            <w:r w:rsidRPr="00085EAC">
              <w:rPr>
                <w:rFonts w:cs="Arial"/>
                <w:i/>
              </w:rPr>
              <w:t>No</w:t>
            </w:r>
          </w:p>
        </w:tc>
      </w:tr>
      <w:tr w:rsidR="00663539" w:rsidRPr="004B3E18" w14:paraId="12245C64" w14:textId="77777777" w:rsidTr="003D38CD">
        <w:tc>
          <w:tcPr>
            <w:tcW w:w="8635" w:type="dxa"/>
            <w:tcBorders>
              <w:bottom w:val="single" w:sz="4" w:space="0" w:color="auto"/>
            </w:tcBorders>
            <w:shd w:val="clear" w:color="auto" w:fill="auto"/>
          </w:tcPr>
          <w:p w14:paraId="03E1E5B6" w14:textId="77777777" w:rsidR="00663539" w:rsidRPr="004B3E18" w:rsidRDefault="00663539" w:rsidP="00663539">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w:t>
            </w:r>
            <w:proofErr w:type="gramStart"/>
            <w:r w:rsidRPr="004B3E18">
              <w:rPr>
                <w:rFonts w:eastAsia="Times New Roman"/>
              </w:rPr>
              <w:t>community based</w:t>
            </w:r>
            <w:proofErr w:type="gramEnd"/>
            <w:r w:rsidRPr="004B3E18">
              <w:rPr>
                <w:rFonts w:eastAsia="Times New Roman"/>
              </w:rPr>
              <w:t xml:space="preserve"> property rights/customary rights to land, territories and/or resources? </w:t>
            </w:r>
          </w:p>
        </w:tc>
        <w:tc>
          <w:tcPr>
            <w:tcW w:w="900" w:type="dxa"/>
            <w:tcBorders>
              <w:bottom w:val="single" w:sz="4" w:space="0" w:color="auto"/>
            </w:tcBorders>
            <w:shd w:val="clear" w:color="auto" w:fill="auto"/>
          </w:tcPr>
          <w:p w14:paraId="0C361731" w14:textId="2919D46D" w:rsidR="00663539" w:rsidRPr="004B3E18" w:rsidRDefault="00663539" w:rsidP="00663539">
            <w:pPr>
              <w:tabs>
                <w:tab w:val="left" w:pos="585"/>
              </w:tabs>
              <w:spacing w:before="60" w:after="60"/>
              <w:ind w:left="567" w:hanging="567"/>
              <w:rPr>
                <w:rFonts w:eastAsia="Times New Roman"/>
              </w:rPr>
            </w:pPr>
            <w:r w:rsidRPr="00085EAC">
              <w:rPr>
                <w:rFonts w:cs="Arial"/>
                <w:i/>
              </w:rPr>
              <w:t>No</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ED7343">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ED7343">
            <w:pPr>
              <w:tabs>
                <w:tab w:val="left" w:pos="585"/>
              </w:tabs>
              <w:spacing w:before="60" w:after="60"/>
              <w:ind w:left="567" w:hanging="567"/>
              <w:rPr>
                <w:rFonts w:eastAsia="Times New Roman"/>
              </w:rPr>
            </w:pPr>
          </w:p>
        </w:tc>
      </w:tr>
      <w:tr w:rsidR="00663539" w:rsidRPr="003C7D05" w14:paraId="44AAA0CA" w14:textId="77777777" w:rsidTr="003D38CD">
        <w:tc>
          <w:tcPr>
            <w:tcW w:w="8635" w:type="dxa"/>
            <w:tcBorders>
              <w:bottom w:val="single" w:sz="4" w:space="0" w:color="auto"/>
            </w:tcBorders>
            <w:shd w:val="clear" w:color="auto" w:fill="auto"/>
          </w:tcPr>
          <w:p w14:paraId="3EA352F5" w14:textId="77777777" w:rsidR="00663539" w:rsidRPr="00E344B9" w:rsidRDefault="00663539" w:rsidP="00663539">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F2AEFAB" w:rsidR="00663539" w:rsidRPr="00E344B9" w:rsidRDefault="00663539" w:rsidP="00663539">
            <w:pPr>
              <w:tabs>
                <w:tab w:val="left" w:pos="585"/>
              </w:tabs>
              <w:spacing w:before="60" w:after="60"/>
              <w:ind w:left="567" w:hanging="567"/>
              <w:rPr>
                <w:rFonts w:eastAsia="Times New Roman"/>
                <w:i/>
              </w:rPr>
            </w:pPr>
          </w:p>
        </w:tc>
      </w:tr>
      <w:tr w:rsidR="00663539" w:rsidRPr="006B3B97" w14:paraId="1295FE98" w14:textId="77777777" w:rsidTr="003D38CD">
        <w:tc>
          <w:tcPr>
            <w:tcW w:w="8635" w:type="dxa"/>
            <w:tcBorders>
              <w:bottom w:val="single" w:sz="4" w:space="0" w:color="auto"/>
            </w:tcBorders>
            <w:shd w:val="clear" w:color="auto" w:fill="auto"/>
          </w:tcPr>
          <w:p w14:paraId="60E75061" w14:textId="77777777" w:rsidR="00663539" w:rsidRPr="006B3B97" w:rsidRDefault="00663539" w:rsidP="00663539">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723E2C1F" w:rsidR="00663539" w:rsidRPr="006B3B97" w:rsidRDefault="00663539" w:rsidP="00663539">
            <w:pPr>
              <w:tabs>
                <w:tab w:val="left" w:pos="585"/>
              </w:tabs>
              <w:spacing w:before="60" w:after="60"/>
              <w:ind w:left="567" w:hanging="567"/>
              <w:rPr>
                <w:rFonts w:eastAsia="Times New Roman"/>
              </w:rPr>
            </w:pPr>
            <w:r w:rsidRPr="007D1BBE">
              <w:rPr>
                <w:rFonts w:cs="Arial"/>
                <w:i/>
              </w:rPr>
              <w:t>No</w:t>
            </w:r>
          </w:p>
        </w:tc>
      </w:tr>
      <w:tr w:rsidR="00663539" w:rsidRPr="004B3E18" w14:paraId="1B17325A" w14:textId="77777777" w:rsidTr="003D38CD">
        <w:tc>
          <w:tcPr>
            <w:tcW w:w="8635" w:type="dxa"/>
            <w:tcBorders>
              <w:bottom w:val="single" w:sz="4" w:space="0" w:color="auto"/>
            </w:tcBorders>
            <w:shd w:val="clear" w:color="auto" w:fill="auto"/>
          </w:tcPr>
          <w:p w14:paraId="1F54BE26" w14:textId="77777777" w:rsidR="00663539" w:rsidRPr="004B3E18" w:rsidRDefault="00663539" w:rsidP="00663539">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562F8FA1" w:rsidR="00663539" w:rsidRPr="004B3E18" w:rsidRDefault="00663539" w:rsidP="00663539">
            <w:pPr>
              <w:tabs>
                <w:tab w:val="left" w:pos="585"/>
              </w:tabs>
              <w:spacing w:before="60" w:after="60"/>
              <w:ind w:left="567" w:hanging="567"/>
              <w:rPr>
                <w:rFonts w:eastAsia="Times New Roman"/>
              </w:rPr>
            </w:pPr>
            <w:r w:rsidRPr="007D1BBE">
              <w:rPr>
                <w:rFonts w:cs="Arial"/>
                <w:i/>
              </w:rPr>
              <w:t>No</w:t>
            </w:r>
          </w:p>
        </w:tc>
      </w:tr>
      <w:tr w:rsidR="00663539" w:rsidRPr="004B3E18" w14:paraId="3362F461" w14:textId="77777777" w:rsidTr="003D38CD">
        <w:tc>
          <w:tcPr>
            <w:tcW w:w="8635" w:type="dxa"/>
            <w:tcBorders>
              <w:bottom w:val="single" w:sz="4" w:space="0" w:color="auto"/>
            </w:tcBorders>
            <w:shd w:val="clear" w:color="auto" w:fill="auto"/>
          </w:tcPr>
          <w:p w14:paraId="63F3682E" w14:textId="77777777" w:rsidR="00663539" w:rsidRPr="00D055E7" w:rsidRDefault="00663539" w:rsidP="00663539">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663539" w:rsidRPr="004B3E18" w:rsidRDefault="00663539" w:rsidP="00663539">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proofErr w:type="gramStart"/>
            <w:r>
              <w:rPr>
                <w:rFonts w:eastAsia="Times New Roman"/>
                <w:i/>
              </w:rPr>
              <w:t>significant</w:t>
            </w:r>
            <w:proofErr w:type="gramEnd"/>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01A7A1B3"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78DEF37F" w14:textId="77777777" w:rsidTr="003D38CD">
        <w:tc>
          <w:tcPr>
            <w:tcW w:w="8635" w:type="dxa"/>
            <w:tcBorders>
              <w:bottom w:val="single" w:sz="4" w:space="0" w:color="auto"/>
            </w:tcBorders>
            <w:shd w:val="clear" w:color="auto" w:fill="auto"/>
          </w:tcPr>
          <w:p w14:paraId="7645F29E" w14:textId="77777777" w:rsidR="00663539" w:rsidRPr="004B3E18" w:rsidRDefault="00663539" w:rsidP="00663539">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16F307C7"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69837306" w14:textId="77777777" w:rsidTr="003D38CD">
        <w:tc>
          <w:tcPr>
            <w:tcW w:w="8635" w:type="dxa"/>
            <w:tcBorders>
              <w:bottom w:val="single" w:sz="4" w:space="0" w:color="auto"/>
            </w:tcBorders>
            <w:shd w:val="clear" w:color="auto" w:fill="auto"/>
          </w:tcPr>
          <w:p w14:paraId="1C305795" w14:textId="77777777" w:rsidR="00663539" w:rsidRPr="004B3E18" w:rsidRDefault="00663539" w:rsidP="00663539">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047E162B"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648B0B61" w14:textId="77777777" w:rsidTr="003D38CD">
        <w:tc>
          <w:tcPr>
            <w:tcW w:w="8635" w:type="dxa"/>
            <w:tcBorders>
              <w:bottom w:val="single" w:sz="4" w:space="0" w:color="auto"/>
            </w:tcBorders>
            <w:shd w:val="clear" w:color="auto" w:fill="auto"/>
          </w:tcPr>
          <w:p w14:paraId="72E0A07E" w14:textId="77777777" w:rsidR="00663539" w:rsidRDefault="00663539" w:rsidP="00663539">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663539" w:rsidRPr="004E7F6C" w:rsidRDefault="00663539" w:rsidP="00663539">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7425296D"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77DE2AFC" w14:textId="77777777" w:rsidTr="003D38CD">
        <w:tc>
          <w:tcPr>
            <w:tcW w:w="8635" w:type="dxa"/>
            <w:tcBorders>
              <w:bottom w:val="single" w:sz="4" w:space="0" w:color="auto"/>
            </w:tcBorders>
            <w:shd w:val="clear" w:color="auto" w:fill="auto"/>
          </w:tcPr>
          <w:p w14:paraId="45406A05" w14:textId="77777777" w:rsidR="00663539" w:rsidRPr="004B3E18" w:rsidRDefault="00663539" w:rsidP="00663539">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50B32CD3"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79F2E557" w14:textId="77777777" w:rsidTr="003D38CD">
        <w:tc>
          <w:tcPr>
            <w:tcW w:w="8635" w:type="dxa"/>
            <w:tcBorders>
              <w:bottom w:val="single" w:sz="4" w:space="0" w:color="auto"/>
            </w:tcBorders>
            <w:shd w:val="clear" w:color="auto" w:fill="auto"/>
          </w:tcPr>
          <w:p w14:paraId="2123FB7C" w14:textId="77777777" w:rsidR="00663539" w:rsidRPr="004B3E18" w:rsidRDefault="00663539" w:rsidP="00663539">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04CB8461"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663539" w:rsidRPr="004B3E18" w14:paraId="515732D0" w14:textId="77777777" w:rsidTr="003D38CD">
        <w:tc>
          <w:tcPr>
            <w:tcW w:w="8635" w:type="dxa"/>
            <w:tcBorders>
              <w:bottom w:val="single" w:sz="4" w:space="0" w:color="auto"/>
            </w:tcBorders>
            <w:shd w:val="clear" w:color="auto" w:fill="auto"/>
          </w:tcPr>
          <w:p w14:paraId="76554080" w14:textId="77777777" w:rsidR="00663539" w:rsidRDefault="00663539" w:rsidP="00663539">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663539" w:rsidRPr="004B3E18" w:rsidRDefault="00663539" w:rsidP="00663539">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0EA23C08" w:rsidR="00663539" w:rsidRPr="004B3E18" w:rsidRDefault="00663539" w:rsidP="00663539">
            <w:pPr>
              <w:tabs>
                <w:tab w:val="left" w:pos="585"/>
              </w:tabs>
              <w:spacing w:before="60" w:after="60"/>
              <w:ind w:left="567" w:hanging="567"/>
              <w:rPr>
                <w:rFonts w:eastAsia="Times New Roman"/>
              </w:rPr>
            </w:pPr>
            <w:r w:rsidRPr="00A81351">
              <w:rPr>
                <w:rFonts w:cs="Arial"/>
                <w:i/>
              </w:rPr>
              <w:t>No</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ED7343">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ED7343">
            <w:pPr>
              <w:tabs>
                <w:tab w:val="left" w:pos="585"/>
              </w:tabs>
              <w:spacing w:before="60" w:after="60"/>
              <w:ind w:left="567" w:hanging="567"/>
              <w:rPr>
                <w:rFonts w:eastAsia="Times New Roman"/>
              </w:rPr>
            </w:pPr>
          </w:p>
        </w:tc>
      </w:tr>
      <w:tr w:rsidR="00663539" w:rsidRPr="004B3E18" w14:paraId="52793AAD" w14:textId="77777777" w:rsidTr="003D38CD">
        <w:tc>
          <w:tcPr>
            <w:tcW w:w="8635" w:type="dxa"/>
            <w:tcBorders>
              <w:bottom w:val="single" w:sz="4" w:space="0" w:color="auto"/>
            </w:tcBorders>
            <w:shd w:val="clear" w:color="auto" w:fill="auto"/>
          </w:tcPr>
          <w:p w14:paraId="76B63A9A" w14:textId="77777777" w:rsidR="00663539" w:rsidRPr="00E344B9" w:rsidRDefault="00663539" w:rsidP="00663539">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w:t>
            </w:r>
            <w:proofErr w:type="gramStart"/>
            <w:r>
              <w:rPr>
                <w:i/>
              </w:rPr>
              <w:t>note:</w:t>
            </w:r>
            <w:proofErr w:type="gramEnd"/>
            <w:r>
              <w:rPr>
                <w:i/>
              </w:rPr>
              <w:t xml:space="preserve"> applies to project and contractor workers)</w:t>
            </w:r>
          </w:p>
        </w:tc>
        <w:tc>
          <w:tcPr>
            <w:tcW w:w="900" w:type="dxa"/>
            <w:tcBorders>
              <w:bottom w:val="single" w:sz="4" w:space="0" w:color="auto"/>
            </w:tcBorders>
            <w:shd w:val="clear" w:color="auto" w:fill="auto"/>
          </w:tcPr>
          <w:p w14:paraId="47F30E52" w14:textId="2D397CC4" w:rsidR="00663539" w:rsidRPr="004B3E18" w:rsidRDefault="00663539" w:rsidP="00663539">
            <w:pPr>
              <w:tabs>
                <w:tab w:val="left" w:pos="585"/>
              </w:tabs>
              <w:spacing w:before="60" w:after="60"/>
              <w:ind w:left="567" w:hanging="567"/>
              <w:rPr>
                <w:rFonts w:eastAsia="Times New Roman"/>
              </w:rPr>
            </w:pPr>
          </w:p>
        </w:tc>
      </w:tr>
      <w:tr w:rsidR="00663539" w:rsidRPr="004B3E18" w14:paraId="61708695" w14:textId="77777777" w:rsidTr="003D38CD">
        <w:tc>
          <w:tcPr>
            <w:tcW w:w="8635" w:type="dxa"/>
            <w:tcBorders>
              <w:bottom w:val="single" w:sz="4" w:space="0" w:color="auto"/>
            </w:tcBorders>
            <w:shd w:val="clear" w:color="auto" w:fill="auto"/>
          </w:tcPr>
          <w:p w14:paraId="0FCCE55A" w14:textId="77777777" w:rsidR="00663539" w:rsidRPr="004B3E18" w:rsidRDefault="00663539" w:rsidP="00663539">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2317FC00"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663539" w:rsidRPr="004B3E18" w14:paraId="3043FB22" w14:textId="77777777" w:rsidTr="003D38CD">
        <w:tc>
          <w:tcPr>
            <w:tcW w:w="8635" w:type="dxa"/>
            <w:tcBorders>
              <w:bottom w:val="single" w:sz="4" w:space="0" w:color="auto"/>
            </w:tcBorders>
            <w:shd w:val="clear" w:color="auto" w:fill="auto"/>
          </w:tcPr>
          <w:p w14:paraId="34E7E94E" w14:textId="77777777" w:rsidR="00663539" w:rsidRPr="004B3E18" w:rsidRDefault="00663539" w:rsidP="00663539">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6A2B556D"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663539" w:rsidRPr="004B3E18" w14:paraId="6F373EF1" w14:textId="77777777" w:rsidTr="003D38CD">
        <w:tc>
          <w:tcPr>
            <w:tcW w:w="8635" w:type="dxa"/>
            <w:tcBorders>
              <w:bottom w:val="single" w:sz="4" w:space="0" w:color="auto"/>
            </w:tcBorders>
            <w:shd w:val="clear" w:color="auto" w:fill="auto"/>
          </w:tcPr>
          <w:p w14:paraId="3B060B89" w14:textId="77777777" w:rsidR="00663539" w:rsidRPr="004B3E18" w:rsidRDefault="00663539" w:rsidP="00663539">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1B79371A"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663539" w:rsidRPr="004B3E18" w14:paraId="47480347" w14:textId="77777777" w:rsidTr="003D38CD">
        <w:tc>
          <w:tcPr>
            <w:tcW w:w="8635" w:type="dxa"/>
            <w:tcBorders>
              <w:bottom w:val="single" w:sz="4" w:space="0" w:color="auto"/>
            </w:tcBorders>
            <w:shd w:val="clear" w:color="auto" w:fill="auto"/>
          </w:tcPr>
          <w:p w14:paraId="35769EF5" w14:textId="77777777" w:rsidR="00663539" w:rsidRPr="004B3E18" w:rsidRDefault="00663539" w:rsidP="00663539">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1443A7A1"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663539" w:rsidRPr="004B3E18" w14:paraId="37B1680A" w14:textId="77777777" w:rsidTr="003D38CD">
        <w:tc>
          <w:tcPr>
            <w:tcW w:w="8635" w:type="dxa"/>
            <w:tcBorders>
              <w:bottom w:val="single" w:sz="4" w:space="0" w:color="auto"/>
            </w:tcBorders>
            <w:shd w:val="clear" w:color="auto" w:fill="auto"/>
          </w:tcPr>
          <w:p w14:paraId="30B29349" w14:textId="77777777" w:rsidR="00663539" w:rsidRDefault="00663539" w:rsidP="00663539">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02829466"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663539" w:rsidRPr="004B3E18" w14:paraId="28C1D2AB" w14:textId="77777777" w:rsidTr="003D38CD">
        <w:tc>
          <w:tcPr>
            <w:tcW w:w="8635" w:type="dxa"/>
            <w:tcBorders>
              <w:bottom w:val="single" w:sz="4" w:space="0" w:color="auto"/>
            </w:tcBorders>
            <w:shd w:val="clear" w:color="auto" w:fill="auto"/>
          </w:tcPr>
          <w:p w14:paraId="2BF10F1E" w14:textId="77777777" w:rsidR="00663539" w:rsidRPr="004B3E18" w:rsidRDefault="00663539" w:rsidP="00663539">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 xml:space="preserve">(including violence and harassment) throughout the project </w:t>
            </w:r>
            <w:proofErr w:type="gramStart"/>
            <w:r>
              <w:rPr>
                <w:rFonts w:eastAsia="Times New Roman"/>
              </w:rPr>
              <w:t>life-cycle</w:t>
            </w:r>
            <w:proofErr w:type="gramEnd"/>
            <w:r w:rsidRPr="004B3E18">
              <w:rPr>
                <w:rFonts w:eastAsia="Times New Roman"/>
              </w:rPr>
              <w:t>?</w:t>
            </w:r>
          </w:p>
        </w:tc>
        <w:tc>
          <w:tcPr>
            <w:tcW w:w="900" w:type="dxa"/>
            <w:tcBorders>
              <w:bottom w:val="single" w:sz="4" w:space="0" w:color="auto"/>
            </w:tcBorders>
            <w:shd w:val="clear" w:color="auto" w:fill="auto"/>
          </w:tcPr>
          <w:p w14:paraId="59DDB050" w14:textId="6683B66A" w:rsidR="00663539" w:rsidRPr="004B3E18" w:rsidRDefault="00663539" w:rsidP="00663539">
            <w:pPr>
              <w:tabs>
                <w:tab w:val="left" w:pos="585"/>
              </w:tabs>
              <w:spacing w:before="60" w:after="60"/>
              <w:ind w:left="567" w:hanging="567"/>
              <w:rPr>
                <w:rFonts w:eastAsia="Times New Roman"/>
              </w:rPr>
            </w:pPr>
            <w:r w:rsidRPr="003F5796">
              <w:rPr>
                <w:rFonts w:cs="Arial"/>
                <w:i/>
              </w:rPr>
              <w:t>No</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ED7343">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ED7343">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ED7343">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28FA9F5A" w:rsidR="005E5F0D" w:rsidRPr="00E344B9" w:rsidRDefault="005E5F0D" w:rsidP="00ED7343">
            <w:pPr>
              <w:rPr>
                <w:rFonts w:eastAsia="Times New Roman"/>
                <w:i/>
              </w:rPr>
            </w:pPr>
          </w:p>
        </w:tc>
      </w:tr>
      <w:tr w:rsidR="00663539" w:rsidRPr="004B3E18" w14:paraId="113B04D6" w14:textId="77777777" w:rsidTr="003D38CD">
        <w:tc>
          <w:tcPr>
            <w:tcW w:w="8635" w:type="dxa"/>
            <w:shd w:val="clear" w:color="auto" w:fill="auto"/>
          </w:tcPr>
          <w:p w14:paraId="7CA0247B" w14:textId="77777777" w:rsidR="00663539" w:rsidRPr="004B3E18" w:rsidRDefault="00663539" w:rsidP="00663539">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44C84F63" w:rsidR="00663539" w:rsidRPr="004B3E18" w:rsidRDefault="00663539" w:rsidP="00663539">
            <w:pPr>
              <w:rPr>
                <w:rFonts w:eastAsia="Times New Roman"/>
              </w:rPr>
            </w:pPr>
            <w:r w:rsidRPr="00863986">
              <w:rPr>
                <w:rFonts w:cs="Arial"/>
                <w:i/>
              </w:rPr>
              <w:t>No</w:t>
            </w:r>
          </w:p>
        </w:tc>
      </w:tr>
      <w:tr w:rsidR="00663539" w:rsidRPr="004B3E18" w14:paraId="3DC2D7B2" w14:textId="77777777" w:rsidTr="003D38CD">
        <w:tc>
          <w:tcPr>
            <w:tcW w:w="8635" w:type="dxa"/>
            <w:tcBorders>
              <w:bottom w:val="single" w:sz="4" w:space="0" w:color="auto"/>
            </w:tcBorders>
            <w:shd w:val="clear" w:color="auto" w:fill="auto"/>
          </w:tcPr>
          <w:p w14:paraId="20352E5B" w14:textId="77777777" w:rsidR="00663539" w:rsidRPr="004B3E18" w:rsidRDefault="00663539" w:rsidP="00663539">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539A72B0" w:rsidR="00663539" w:rsidRPr="004B3E18" w:rsidRDefault="00663539" w:rsidP="00663539">
            <w:pPr>
              <w:rPr>
                <w:rFonts w:eastAsia="Times New Roman"/>
              </w:rPr>
            </w:pPr>
            <w:r w:rsidRPr="00863986">
              <w:rPr>
                <w:rFonts w:cs="Arial"/>
                <w:i/>
              </w:rPr>
              <w:t>No</w:t>
            </w:r>
          </w:p>
        </w:tc>
      </w:tr>
      <w:tr w:rsidR="00663539"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663539" w:rsidRPr="004B3E18" w:rsidRDefault="00663539" w:rsidP="00663539">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672EAF17" w:rsidR="00663539" w:rsidRPr="004B3E18" w:rsidRDefault="00663539" w:rsidP="00663539">
            <w:pPr>
              <w:rPr>
                <w:rFonts w:eastAsia="Times New Roman"/>
              </w:rPr>
            </w:pPr>
            <w:r w:rsidRPr="00863986">
              <w:rPr>
                <w:rFonts w:cs="Arial"/>
                <w:i/>
              </w:rPr>
              <w:t>No</w:t>
            </w:r>
          </w:p>
        </w:tc>
      </w:tr>
      <w:tr w:rsidR="00663539"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663539" w:rsidRPr="004B3E18" w:rsidRDefault="00663539" w:rsidP="00663539">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663539" w:rsidRDefault="00663539" w:rsidP="00663539">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04FFE771" w:rsidR="00663539" w:rsidRPr="004B3E18" w:rsidRDefault="00663539" w:rsidP="00663539">
            <w:pPr>
              <w:rPr>
                <w:rFonts w:eastAsia="Times New Roman"/>
              </w:rPr>
            </w:pPr>
            <w:r w:rsidRPr="00863986">
              <w:rPr>
                <w:rFonts w:cs="Arial"/>
                <w:i/>
              </w:rPr>
              <w:t>No</w:t>
            </w:r>
          </w:p>
        </w:tc>
      </w:tr>
      <w:tr w:rsidR="00663539" w:rsidRPr="004B3E18" w14:paraId="689A9102" w14:textId="77777777" w:rsidTr="003D38CD">
        <w:tc>
          <w:tcPr>
            <w:tcW w:w="8635" w:type="dxa"/>
            <w:tcBorders>
              <w:bottom w:val="single" w:sz="4" w:space="0" w:color="auto"/>
            </w:tcBorders>
            <w:shd w:val="clear" w:color="auto" w:fill="auto"/>
          </w:tcPr>
          <w:p w14:paraId="75BF06CD" w14:textId="77777777" w:rsidR="00663539" w:rsidRPr="004B3E18" w:rsidRDefault="00663539" w:rsidP="00663539">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685E849C" w:rsidR="00663539" w:rsidRPr="004B3E18" w:rsidRDefault="00663539" w:rsidP="00663539">
            <w:pPr>
              <w:tabs>
                <w:tab w:val="left" w:pos="585"/>
              </w:tabs>
              <w:spacing w:before="60" w:after="60"/>
              <w:ind w:left="567" w:hanging="567"/>
              <w:rPr>
                <w:rFonts w:eastAsia="Times New Roman"/>
              </w:rPr>
            </w:pPr>
            <w:r w:rsidRPr="00863986">
              <w:rPr>
                <w:rFonts w:cs="Arial"/>
                <w:i/>
              </w:rPr>
              <w:t>No</w:t>
            </w:r>
          </w:p>
        </w:tc>
      </w:tr>
      <w:tr w:rsidR="00663539" w:rsidRPr="004B3E18" w14:paraId="28C076A8" w14:textId="77777777" w:rsidTr="003D38CD">
        <w:tc>
          <w:tcPr>
            <w:tcW w:w="8635" w:type="dxa"/>
            <w:tcBorders>
              <w:bottom w:val="single" w:sz="4" w:space="0" w:color="auto"/>
            </w:tcBorders>
            <w:shd w:val="clear" w:color="auto" w:fill="auto"/>
          </w:tcPr>
          <w:p w14:paraId="0CB9E82D" w14:textId="77777777" w:rsidR="00663539" w:rsidRPr="004B3E18" w:rsidRDefault="00663539" w:rsidP="00663539">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0D12351C" w:rsidR="00663539" w:rsidRPr="004B3E18" w:rsidRDefault="00663539" w:rsidP="00663539">
            <w:pPr>
              <w:tabs>
                <w:tab w:val="left" w:pos="585"/>
              </w:tabs>
              <w:spacing w:before="60" w:after="60"/>
              <w:ind w:left="567" w:hanging="567"/>
              <w:rPr>
                <w:rFonts w:eastAsia="Times New Roman"/>
              </w:rPr>
            </w:pPr>
            <w:r w:rsidRPr="00863986">
              <w:rPr>
                <w:rFonts w:cs="Arial"/>
                <w:i/>
              </w:rPr>
              <w:t>No</w:t>
            </w:r>
          </w:p>
        </w:tc>
      </w:tr>
    </w:tbl>
    <w:p w14:paraId="7A94CD31" w14:textId="77777777" w:rsidR="005E5F0D" w:rsidRDefault="005E5F0D" w:rsidP="005E5F0D">
      <w:pPr>
        <w:rPr>
          <w:b/>
          <w:szCs w:val="20"/>
        </w:rPr>
      </w:pPr>
    </w:p>
    <w:p w14:paraId="6D9541F6" w14:textId="5E571923" w:rsidR="00B10E91" w:rsidRDefault="008E77C9"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0E93" w14:textId="77777777" w:rsidR="008E77C9" w:rsidRDefault="008E77C9" w:rsidP="005E5F0D">
      <w:r>
        <w:separator/>
      </w:r>
    </w:p>
  </w:endnote>
  <w:endnote w:type="continuationSeparator" w:id="0">
    <w:p w14:paraId="21F6ACAA" w14:textId="77777777" w:rsidR="008E77C9" w:rsidRDefault="008E77C9"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B1E77" w14:textId="77777777" w:rsidR="008E77C9" w:rsidRDefault="008E77C9" w:rsidP="005E5F0D">
      <w:r>
        <w:separator/>
      </w:r>
    </w:p>
  </w:footnote>
  <w:footnote w:type="continuationSeparator" w:id="0">
    <w:p w14:paraId="2B633D87" w14:textId="77777777" w:rsidR="008E77C9" w:rsidRDefault="008E77C9" w:rsidP="005E5F0D">
      <w:r>
        <w:continuationSeparator/>
      </w:r>
    </w:p>
  </w:footnote>
  <w:footnote w:id="1">
    <w:p w14:paraId="3990B98D" w14:textId="77777777" w:rsidR="00663539" w:rsidRDefault="00663539" w:rsidP="00663539">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663539" w:rsidRDefault="00663539" w:rsidP="00663539">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663539" w:rsidRDefault="00663539" w:rsidP="00663539">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663539" w:rsidRDefault="00663539" w:rsidP="00663539">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C1EBA"/>
    <w:rsid w:val="00126238"/>
    <w:rsid w:val="002A610B"/>
    <w:rsid w:val="00310069"/>
    <w:rsid w:val="003B3C67"/>
    <w:rsid w:val="003D38CD"/>
    <w:rsid w:val="004926E6"/>
    <w:rsid w:val="0056510F"/>
    <w:rsid w:val="005E0106"/>
    <w:rsid w:val="005E5F0D"/>
    <w:rsid w:val="00631DB8"/>
    <w:rsid w:val="006351D8"/>
    <w:rsid w:val="00663539"/>
    <w:rsid w:val="00743A46"/>
    <w:rsid w:val="007C084C"/>
    <w:rsid w:val="0088627F"/>
    <w:rsid w:val="008E77C9"/>
    <w:rsid w:val="009831EA"/>
    <w:rsid w:val="009C2EDE"/>
    <w:rsid w:val="00A77828"/>
    <w:rsid w:val="00B363D6"/>
    <w:rsid w:val="00BA6DEE"/>
    <w:rsid w:val="00CF5B69"/>
    <w:rsid w:val="00D259B7"/>
    <w:rsid w:val="00D93A5B"/>
    <w:rsid w:val="00DD43F9"/>
    <w:rsid w:val="00E33A24"/>
    <w:rsid w:val="00F6755D"/>
    <w:rsid w:val="00F85F6A"/>
    <w:rsid w:val="00F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customStyle="1" w:styleId="Default">
    <w:name w:val="Default"/>
    <w:rsid w:val="009831EA"/>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D93A5B"/>
    <w:rPr>
      <w:sz w:val="16"/>
      <w:szCs w:val="16"/>
    </w:rPr>
  </w:style>
  <w:style w:type="paragraph" w:styleId="CommentText">
    <w:name w:val="annotation text"/>
    <w:basedOn w:val="Normal"/>
    <w:link w:val="CommentTextChar"/>
    <w:uiPriority w:val="99"/>
    <w:semiHidden/>
    <w:unhideWhenUsed/>
    <w:rsid w:val="00D93A5B"/>
    <w:rPr>
      <w:sz w:val="20"/>
      <w:szCs w:val="20"/>
    </w:rPr>
  </w:style>
  <w:style w:type="character" w:customStyle="1" w:styleId="CommentTextChar">
    <w:name w:val="Comment Text Char"/>
    <w:basedOn w:val="DefaultParagraphFont"/>
    <w:link w:val="CommentText"/>
    <w:uiPriority w:val="99"/>
    <w:semiHidden/>
    <w:rsid w:val="00D93A5B"/>
    <w:rPr>
      <w:sz w:val="20"/>
      <w:szCs w:val="20"/>
    </w:rPr>
  </w:style>
  <w:style w:type="paragraph" w:styleId="CommentSubject">
    <w:name w:val="annotation subject"/>
    <w:basedOn w:val="CommentText"/>
    <w:next w:val="CommentText"/>
    <w:link w:val="CommentSubjectChar"/>
    <w:uiPriority w:val="99"/>
    <w:semiHidden/>
    <w:unhideWhenUsed/>
    <w:rsid w:val="00D93A5B"/>
    <w:rPr>
      <w:b/>
      <w:bCs/>
    </w:rPr>
  </w:style>
  <w:style w:type="character" w:customStyle="1" w:styleId="CommentSubjectChar">
    <w:name w:val="Comment Subject Char"/>
    <w:basedOn w:val="CommentTextChar"/>
    <w:link w:val="CommentSubject"/>
    <w:uiPriority w:val="99"/>
    <w:semiHidden/>
    <w:rsid w:val="00D93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ozone.unep.org/montreal-protocol-substances-deplete-ozone-layer/32506"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ATLASPDC-4-156074</_dlc_DocId>
    <_dlc_DocIdUrl xmlns="f1161f5b-24a3-4c2d-bc81-44cb9325e8ee">
      <Url>https://info.undp.org/docs/pdc/_layouts/DocIdRedir.aspx?ID=ATLASPDC-4-156074</Url>
      <Description>ATLASPDC-4-156074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95D4F666-0CA9-456E-8E57-4D463D5C7E2B}"/>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5.xml><?xml version="1.0" encoding="utf-8"?>
<ds:datastoreItem xmlns:ds="http://schemas.openxmlformats.org/officeDocument/2006/customXml" ds:itemID="{FE9D3942-DEEE-4C4C-99DC-B8D5F4D9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60AD83-3240-40BD-ADAC-3D5C02180881}"/>
</file>

<file path=docProps/app.xml><?xml version="1.0" encoding="utf-8"?>
<Properties xmlns="http://schemas.openxmlformats.org/officeDocument/2006/extended-properties" xmlns:vt="http://schemas.openxmlformats.org/officeDocument/2006/docPropsVTypes">
  <Template>Normal</Template>
  <TotalTime>4</TotalTime>
  <Pages>9</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Khatuna Chanukvadze</cp:lastModifiedBy>
  <cp:revision>3</cp:revision>
  <dcterms:created xsi:type="dcterms:W3CDTF">2021-12-29T13:22:00Z</dcterms:created>
  <dcterms:modified xsi:type="dcterms:W3CDTF">2021-12-29T13:22:00Z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eaafeb2f-299b-4707-ba38-8b2fddfcb3b1</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GEO|ee0c3366-c16d-4eb9-b163-9598ea49ee22</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1357;#GEO|ee0c3366-c16d-4eb9-b163-9598ea49ee22</vt:lpwstr>
  </property>
  <property fmtid="{D5CDD505-2E9C-101B-9397-08002B2CF9AE}" pid="17" name="Atlas Document Status">
    <vt:lpwstr>763;#Draft|121d40a5-e62e-4d42-82e4-d6d12003de0a</vt:lpwstr>
  </property>
  <property fmtid="{D5CDD505-2E9C-101B-9397-08002B2CF9AE}" pid="18" name="UndpProjectNo">
    <vt:lpwstr>136398</vt:lpwstr>
  </property>
  <property fmtid="{D5CDD505-2E9C-101B-9397-08002B2CF9AE}" pid="19" name="Document Coverage Period End Date">
    <vt:filetime>2024-12-31T06:00:00Z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