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r>
        <w:tc>
          <w:tcPr>
            <w:tcW w:w="4000" w:type="dxa"/>
            <w:textDirection w:val="btLr"/>
            <w:vAlign w:val="center"/>
          </w:tcPr>
          <w:p/>
        </w:tc>
        <w:tc>
          <w:tcPr>
            <w:tcW w:w="6080" w:type="dxa"/>
          </w:tcPr>
          <w:p>
            <w:pPr>
              <w:jc w:val="center"/>
              <w:spacing w:after="100"/>
            </w:pPr>
            <w:r>
              <w:rPr>
                <w:rFonts w:ascii="Calibri" w:hAnsi="Calibri" w:cs="Calibri"/>
                <w:sz w:val="28"/>
                <w:szCs w:val="28"/>
              </w:rPr>
              <w:t xml:space="preserve"> </w:t>
            </w:r>
          </w:p>
          <w:p>
            <w:pPr>
              <w:jc w:val="center"/>
              <w:spacing w:after="100"/>
            </w:pPr>
            <w:r>
              <w:rPr>
                <w:rFonts w:ascii="Calibri" w:hAnsi="Calibri" w:cs="Calibri"/>
                <w:sz w:val="28"/>
                <w:szCs w:val="28"/>
              </w:rPr>
              <w:t xml:space="preserve">2015</w:t>
            </w:r>
          </w:p>
          <w:p>
            <w:pPr>
              <w:jc w:val="center"/>
              <w:spacing w:after="100"/>
            </w:pPr>
            <w:r>
              <w:rPr>
                <w:rFonts w:ascii="Calibri" w:hAnsi="Calibri" w:cs="Calibri"/>
                <w:sz w:val="28"/>
                <w:szCs w:val="28"/>
              </w:rPr>
              <w:t xml:space="preserve">Project Implementation Review (PIR)</w:t>
            </w:r>
          </w:p>
          <w:p>
            <w:pPr>
              <w:jc w:val="center"/>
              <w:spacing w:after="100"/>
            </w:pPr>
            <w:r>
              <w:rPr>
                <w:rFonts w:ascii="Calibri" w:hAnsi="Calibri" w:cs="Calibri"/>
              </w:rPr>
              <w:t xml:space="preserve">of</w:t>
            </w:r>
          </w:p>
          <w:p>
            <w:pPr>
              <w:jc w:val="center"/>
              <w:spacing w:after="100"/>
            </w:pPr>
            <w:r>
              <w:rPr>
                <w:rFonts w:ascii="Calibri" w:hAnsi="Calibri" w:cs="Calibri"/>
                <w:sz w:val="28"/>
                <w:szCs w:val="28"/>
              </w:rPr>
              <w:t xml:space="preserve"> </w:t>
            </w:r>
          </w:p>
        </w:tc>
        <w:tc>
          <w:tcPr>
            <w:tcW w:w="4000" w:type="dxa"/>
            <w:textDirection w:val="btLr"/>
            <w:vAlign w:val="center"/>
          </w:tcPr>
          <w:p/>
        </w:tc>
      </w:tr>
    </w:tbl>
    <w:p>
      <w:pPr>
        <w:jc w:val="center"/>
        <w:spacing w:after="100"/>
      </w:pPr>
      <w:r>
        <w:rPr>
          <w:rFonts w:ascii="Calibri" w:hAnsi="Calibri" w:cs="Calibri"/>
          <w:sz w:val="28"/>
          <w:szCs w:val="28"/>
          <w:b/>
        </w:rPr>
        <w:t xml:space="preserve">PIMS 4731</w:t>
      </w:r>
    </w:p>
    <w:p>
      <w:pPr>
        <w:jc w:val="center"/>
        <w:spacing w:after="100"/>
      </w:pPr>
      <w:r>
        <w:rPr>
          <w:rFonts w:ascii="Calibri" w:hAnsi="Calibri" w:cs="Calibri"/>
          <w:sz w:val="28"/>
          <w:szCs w:val="28"/>
          <w:b/>
        </w:rPr>
        <w:t xml:space="preserve">Strengthening the Institutional and Financial Sustainability of the National Protected Area System</w:t>
      </w:r>
    </w:p>
    <w:p/>
    <w:p/>
    <w:p>
      <w:r>
        <w:br w:type="page"/>
      </w:r>
    </w:p>
    <w:p>
      <w:pPr>
        <w:pStyle w:val="Heading1"/>
      </w:pPr>
      <w:r>
        <w:fldChar w:fldCharType="end"/>
      </w:r>
      <w:bookmarkStart w:id="1209" w:name="_Toc252635364"/>
      <w:r>
        <w:t>A.    Basic Project and Finance Data</w:t>
      </w:r>
      <w:bookmarkEnd w:id="1209"/>
    </w:p>
    <w:tbl>
      <w:tr>
        <w:tc>
          <w:tcPr>
            <w:tcW w:w="2000" w:type="dxa"/>
          </w:tcPr>
          <w:p>
            <w:r>
              <w:rPr>
                <w:rFonts w:ascii="Calibri" w:hAnsi="Calibri" w:cs="Calibri"/>
              </w:rPr>
              <w:t xml:space="preserve">Project Implementing Partner:</w:t>
            </w:r>
          </w:p>
        </w:tc>
        <w:tc>
          <w:tcPr>
            <w:tcW w:w="10000" w:type="dxa"/>
          </w:tcPr>
          <w:p>
            <w:r>
              <w:rPr>
                <w:rFonts w:ascii="Calibri" w:hAnsi="Calibri" w:cs="Calibri"/>
              </w:rPr>
              <w:t xml:space="preserve">Ministry of Environmental and Nature Protection (MENP)</w:t>
            </w:r>
          </w:p>
        </w:tc>
      </w:tr>
      <w:tr>
        <w:tc>
          <w:tcPr>
            <w:tcW w:w="2000" w:type="dxa"/>
          </w:tcPr>
          <w:p>
            <w:r>
              <w:rPr>
                <w:rFonts w:ascii="Calibri" w:hAnsi="Calibri" w:cs="Calibri"/>
              </w:rPr>
              <w:t xml:space="preserve">GEF Focal Area:</w:t>
            </w:r>
          </w:p>
        </w:tc>
        <w:tc>
          <w:tcPr>
            <w:tcW w:w="10000" w:type="dxa"/>
          </w:tcPr>
          <w:p>
            <w:r>
              <w:rPr>
                <w:rFonts w:ascii="Calibri" w:hAnsi="Calibri" w:cs="Calibri"/>
              </w:rPr>
              <w:t xml:space="preserve">Biodiversity</w:t>
            </w:r>
          </w:p>
        </w:tc>
      </w:tr>
      <w:tr>
        <w:tc>
          <w:tcPr>
            <w:tcW w:w="2000" w:type="dxa"/>
          </w:tcPr>
          <w:p>
            <w:r>
              <w:rPr>
                <w:rFonts w:ascii="Calibri" w:hAnsi="Calibri" w:cs="Calibri"/>
              </w:rPr>
              <w:t xml:space="preserve">Country(ies)</w:t>
            </w:r>
          </w:p>
        </w:tc>
        <w:tc>
          <w:tcPr>
            <w:tcW w:w="10000" w:type="dxa"/>
          </w:tcPr>
          <w:p>
            <w:r>
              <w:rPr>
                <w:rFonts w:ascii="Calibri" w:hAnsi="Calibri" w:cs="Calibri"/>
              </w:rPr>
              <w:t xml:space="preserve">(CRO) Croatia</w:t>
            </w:r>
          </w:p>
        </w:tc>
      </w:tr>
      <w:tr>
        <w:tc>
          <w:tcPr>
            <w:tcW w:w="2000" w:type="dxa"/>
          </w:tcPr>
          <w:p>
            <w:r>
              <w:rPr>
                <w:rFonts w:ascii="Calibri" w:hAnsi="Calibri" w:cs="Calibri"/>
              </w:rPr>
              <w:t xml:space="preserve">Project Start Date:</w:t>
            </w:r>
          </w:p>
        </w:tc>
        <w:tc>
          <w:tcPr>
            <w:tcW w:w="10000" w:type="dxa"/>
          </w:tcPr>
          <w:p>
            <w:r>
              <w:rPr>
                <w:rFonts w:ascii="Calibri" w:hAnsi="Calibri" w:cs="Calibri"/>
              </w:rPr>
              <w:t xml:space="preserve">07-Feb-2014</w:t>
            </w:r>
          </w:p>
        </w:tc>
      </w:tr>
      <w:tr>
        <w:tc>
          <w:tcPr>
            <w:tcW w:w="2000" w:type="dxa"/>
          </w:tcPr>
          <w:p>
            <w:r>
              <w:rPr>
                <w:rFonts w:ascii="Calibri" w:hAnsi="Calibri" w:cs="Calibri"/>
              </w:rPr>
              <w:t xml:space="preserve">Planned Project Closing Date:</w:t>
            </w:r>
          </w:p>
        </w:tc>
        <w:tc>
          <w:tcPr>
            <w:tcW w:w="10000" w:type="dxa"/>
          </w:tcPr>
          <w:p>
            <w:r>
              <w:rPr>
                <w:rFonts w:ascii="Calibri" w:hAnsi="Calibri" w:cs="Calibri"/>
              </w:rPr>
              <w:t xml:space="preserve">07-Feb-2018</w:t>
            </w:r>
          </w:p>
        </w:tc>
      </w:tr>
      <w:tr>
        <w:tc>
          <w:tcPr>
            <w:tcW w:w="2000" w:type="dxa"/>
          </w:tcPr>
          <w:p>
            <w:r>
              <w:rPr>
                <w:rFonts w:ascii="Calibri" w:hAnsi="Calibri" w:cs="Calibri"/>
              </w:rPr>
              <w:t xml:space="preserve">Dates of Project Steering Committee/Board meetings during reporting period:</w:t>
            </w:r>
          </w:p>
        </w:tc>
        <w:tc>
          <w:tcPr>
            <w:tcW w:w="10000" w:type="dxa"/>
          </w:tcPr>
          <w:p>
            <w:r>
              <w:rPr>
                <w:rFonts w:ascii="Calibri" w:hAnsi="Calibri" w:cs="Calibri"/>
              </w:rPr>
              <w:t xml:space="preserve">September 2014 July 2015 </w:t>
            </w:r>
          </w:p>
        </w:tc>
      </w:tr>
    </w:tbl>
    <w:tbl>
      <w:tr>
        <w:tc>
          <w:tcPr>
            <w:tcW w:w="4000" w:type="dxa"/>
          </w:tcPr>
          <w:p>
            <w:r>
              <w:rPr>
                <w:rFonts w:ascii="Calibri" w:hAnsi="Calibri" w:cs="Calibri"/>
              </w:rPr>
              <w:t xml:space="preserve">Total GEF Grant (U$S)</w:t>
            </w:r>
          </w:p>
        </w:tc>
        <w:tc>
          <w:tcPr>
            <w:tcW w:w="7000" w:type="dxa"/>
          </w:tcPr>
          <w:p>
            <w:r>
              <w:rPr>
                <w:rFonts w:ascii="Calibri" w:hAnsi="Calibri" w:cs="Calibri"/>
              </w:rPr>
              <w:t xml:space="preserve">$ 5,081,818</w:t>
            </w:r>
          </w:p>
        </w:tc>
      </w:tr>
      <w:tr>
        <w:tc>
          <w:tcPr>
            <w:tcW w:w="4000" w:type="dxa"/>
          </w:tcPr>
          <w:p>
            <w:r>
              <w:rPr>
                <w:rFonts w:ascii="Calibri" w:hAnsi="Calibri" w:cs="Calibri"/>
              </w:rPr>
              <w:t xml:space="preserve">GEF Grant Disbursed as of 30 June (U$S):</w:t>
            </w:r>
          </w:p>
        </w:tc>
        <w:tc>
          <w:tcPr>
            <w:tcW w:w="7000" w:type="dxa"/>
          </w:tcPr>
          <w:p>
            <w:r>
              <w:rPr>
                <w:rFonts w:ascii="Calibri" w:hAnsi="Calibri" w:cs="Calibri"/>
              </w:rPr>
              <w:t xml:space="preserve">$ 216,301.18</w:t>
            </w:r>
          </w:p>
        </w:tc>
      </w:tr>
      <w:tr>
        <w:tc>
          <w:tcPr>
            <w:tcW w:w="4000" w:type="dxa"/>
          </w:tcPr>
          <w:p>
            <w:r>
              <w:rPr>
                <w:rFonts w:ascii="Calibri" w:hAnsi="Calibri" w:cs="Calibri"/>
              </w:rPr>
              <w:t xml:space="preserve">Total Co-financing (as planned in CEO endorsement request):</w:t>
            </w:r>
          </w:p>
        </w:tc>
        <w:tc>
          <w:tcPr>
            <w:tcW w:w="7000" w:type="dxa"/>
          </w:tcPr>
          <w:p>
            <w:r>
              <w:rPr>
                <w:rFonts w:ascii="Calibri" w:hAnsi="Calibri" w:cs="Calibri"/>
              </w:rPr>
              <w:t xml:space="preserve">$ 18,011,116.00</w:t>
            </w:r>
          </w:p>
        </w:tc>
      </w:tr>
      <w:tr>
        <w:tc>
          <w:tcPr>
            <w:tcW w:w="4000" w:type="dxa"/>
          </w:tcPr>
          <w:p>
            <w:r>
              <w:rPr>
                <w:rFonts w:ascii="Calibri" w:hAnsi="Calibri" w:cs="Calibri"/>
              </w:rPr>
              <w:t xml:space="preserve">Overall Risk Rating</w:t>
            </w:r>
          </w:p>
        </w:tc>
        <w:tc>
          <w:tcPr>
            <w:tcW w:w="7000" w:type="dxa"/>
          </w:tcPr>
          <w:p>
            <w:r>
              <w:rPr>
                <w:rFonts w:ascii="Calibri" w:hAnsi="Calibri" w:cs="Calibri"/>
              </w:rPr>
              <w:t xml:space="preserve">Moderate</w:t>
            </w:r>
          </w:p>
        </w:tc>
      </w:tr>
      <w:tr>
        <w:tc>
          <w:tcPr>
            <w:tcW w:w="4000" w:type="dxa"/>
          </w:tcPr>
          <w:p>
            <w:r>
              <w:rPr>
                <w:rFonts w:ascii="Calibri" w:hAnsi="Calibri" w:cs="Calibri"/>
              </w:rPr>
              <w:t xml:space="preserve">Overall DO Rating</w:t>
            </w:r>
          </w:p>
        </w:tc>
        <w:tc>
          <w:tcPr>
            <w:tcW w:w="7000" w:type="dxa"/>
          </w:tcPr>
          <w:p>
            <w:r>
              <w:rPr>
                <w:rFonts w:ascii="Calibri" w:hAnsi="Calibri" w:cs="Calibri"/>
              </w:rPr>
              <w:t xml:space="preserve">Satisfactory</w:t>
            </w:r>
          </w:p>
        </w:tc>
      </w:tr>
      <w:tr>
        <w:tc>
          <w:tcPr>
            <w:tcW w:w="4000" w:type="dxa"/>
          </w:tcPr>
          <w:p>
            <w:r>
              <w:rPr>
                <w:rFonts w:ascii="Calibri" w:hAnsi="Calibri" w:cs="Calibri"/>
              </w:rPr>
              <w:t xml:space="preserve">Overall IP Rating</w:t>
            </w:r>
          </w:p>
        </w:tc>
        <w:tc>
          <w:tcPr>
            <w:tcW w:w="7000" w:type="dxa"/>
          </w:tcPr>
          <w:p>
            <w:r>
              <w:rPr>
                <w:rFonts w:ascii="Calibri" w:hAnsi="Calibri" w:cs="Calibri"/>
              </w:rPr>
              <w:t xml:space="preserve">Satisfactory</w:t>
            </w:r>
          </w:p>
        </w:tc>
      </w:tr>
    </w:tbl>
    <w:p/>
    <w:p>
      <w:pPr>
        <w:pStyle w:val="Heading1"/>
      </w:pPr>
      <w:r>
        <w:fldChar w:fldCharType="end"/>
      </w:r>
      <w:bookmarkStart w:id="1210" w:name="_Toc252635365"/>
      <w:r>
        <w:t>B.    Project Contacts and Links</w:t>
      </w:r>
      <w:bookmarkEnd w:id="1210"/>
    </w:p>
    <w:tbl>
      <w:tblPr>
        <w:tblStyle w:val="myOwnTableStyle"/>
      </w:tblPr>
      <w:tr>
        <w:tc>
          <w:tcPr>
            <w:tcW w:w="4080" w:type="dxa"/>
            <w:shd w:val="clear" w:color="auto" w:fill="#D9D9D9"/>
          </w:tcPr>
          <w:p>
            <w:r>
              <w:rPr>
                <w:rFonts w:ascii="Calibri" w:hAnsi="Calibri" w:cs="Calibri"/>
              </w:rPr>
              <w:t xml:space="preserve">Partner</w:t>
            </w:r>
          </w:p>
        </w:tc>
        <w:tc>
          <w:tcPr>
            <w:tcW w:w="4080" w:type="dxa"/>
            <w:shd w:val="clear" w:color="auto" w:fill="#D9D9D9"/>
          </w:tcPr>
          <w:p>
            <w:r>
              <w:rPr>
                <w:rFonts w:ascii="Calibri" w:hAnsi="Calibri" w:cs="Calibri"/>
              </w:rPr>
              <w:t xml:space="preserve">Contact Name</w:t>
            </w:r>
          </w:p>
        </w:tc>
        <w:tc>
          <w:tcPr>
            <w:tcW w:w="4080" w:type="dxa"/>
            <w:shd w:val="clear" w:color="auto" w:fill="#D9D9D9"/>
          </w:tcPr>
          <w:p>
            <w:r>
              <w:rPr>
                <w:rFonts w:ascii="Calibri" w:hAnsi="Calibri" w:cs="Calibri"/>
              </w:rPr>
              <w:t xml:space="preserve">Email Address</w:t>
            </w:r>
          </w:p>
        </w:tc>
      </w:tr>
      <w:tr>
        <w:tc>
          <w:tcPr>
            <w:tcW w:w="4080" w:type="dxa"/>
            <w:shd w:val="clear" w:color="auto" w:fill="#D9D9D9"/>
          </w:tcPr>
          <w:p>
            <w:r>
              <w:rPr>
                <w:rFonts w:ascii="Calibri" w:hAnsi="Calibri" w:cs="Calibri"/>
              </w:rPr>
              <w:t xml:space="preserve">Project Coordinator / Manager</w:t>
            </w:r>
          </w:p>
        </w:tc>
        <w:tc>
          <w:tcPr>
            <w:tcW w:w="4080" w:type="dxa"/>
          </w:tcPr>
          <w:p>
            <w:r>
              <w:t xml:space="preserve">Valentina Futac</w:t>
            </w:r>
          </w:p>
        </w:tc>
        <w:tc>
          <w:tcPr>
            <w:tcW w:w="4080" w:type="dxa"/>
          </w:tcPr>
          <w:p>
            <w:r>
              <w:t xml:space="preserve">valentina.futac@undp.org</w:t>
            </w:r>
          </w:p>
        </w:tc>
      </w:tr>
      <w:tr>
        <w:tc>
          <w:tcPr>
            <w:tcW w:w="4080" w:type="dxa"/>
            <w:shd w:val="clear" w:color="auto" w:fill="#D9D9D9"/>
          </w:tcPr>
          <w:p>
            <w:r>
              <w:rPr>
                <w:rFonts w:ascii="Calibri" w:hAnsi="Calibri" w:cs="Calibri"/>
              </w:rPr>
              <w:t xml:space="preserve">UNDP Country Office Programme Officer</w:t>
            </w:r>
          </w:p>
        </w:tc>
        <w:tc>
          <w:tcPr>
            <w:tcW w:w="4080" w:type="dxa"/>
          </w:tcPr>
          <w:p>
            <w:r>
              <w:t xml:space="preserve">Sandra Vlasic - Programme Officer / Head of Office</w:t>
            </w:r>
          </w:p>
        </w:tc>
        <w:tc>
          <w:tcPr>
            <w:tcW w:w="4080" w:type="dxa"/>
          </w:tcPr>
          <w:p>
            <w:r>
              <w:t xml:space="preserve">sandra.vlasic@undp.org</w:t>
            </w:r>
          </w:p>
        </w:tc>
      </w:tr>
      <w:tr>
        <w:tc>
          <w:tcPr>
            <w:tcW w:w="4080" w:type="dxa"/>
            <w:shd w:val="clear" w:color="auto" w:fill="#D9D9D9"/>
          </w:tcPr>
          <w:p>
            <w:r>
              <w:rPr>
                <w:rFonts w:ascii="Calibri" w:hAnsi="Calibri" w:cs="Calibri"/>
              </w:rPr>
              <w:t xml:space="preserve">Project Implementing Partner</w:t>
            </w:r>
          </w:p>
        </w:tc>
        <w:tc>
          <w:tcPr>
            <w:tcW w:w="4080" w:type="dxa"/>
          </w:tcPr>
          <w:p>
            <w:r>
              <w:t xml:space="preserve">Nenad Strizrep</w:t>
            </w:r>
          </w:p>
        </w:tc>
        <w:tc>
          <w:tcPr>
            <w:tcW w:w="4080" w:type="dxa"/>
          </w:tcPr>
          <w:p>
            <w:r>
              <w:t xml:space="preserve">nenad.strizrep@mzoip.hr</w:t>
            </w:r>
          </w:p>
        </w:tc>
      </w:tr>
      <w:tr>
        <w:tc>
          <w:tcPr>
            <w:tcW w:w="4080" w:type="dxa"/>
            <w:shd w:val="clear" w:color="auto" w:fill="#D9D9D9"/>
          </w:tcPr>
          <w:p>
            <w:r>
              <w:rPr>
                <w:rFonts w:ascii="Calibri" w:hAnsi="Calibri" w:cs="Calibri"/>
              </w:rPr>
              <w:t xml:space="preserve">GEF Operational Focal Point</w:t>
            </w:r>
          </w:p>
        </w:tc>
        <w:tc>
          <w:tcPr>
            <w:tcW w:w="4080" w:type="dxa"/>
          </w:tcPr>
          <w:p>
            <w:r>
              <w:t xml:space="preserve">Gordana Ruklic</w:t>
            </w:r>
          </w:p>
        </w:tc>
        <w:tc>
          <w:tcPr>
            <w:tcW w:w="4080" w:type="dxa"/>
          </w:tcPr>
          <w:p>
            <w:r>
              <w:t xml:space="preserve">gordana.ruklic@mzoip.hr</w:t>
            </w:r>
          </w:p>
        </w:tc>
      </w:tr>
      <w:tr>
        <w:tc>
          <w:tcPr>
            <w:tcW w:w="4080" w:type="dxa"/>
            <w:shd w:val="clear" w:color="auto" w:fill="#D9D9D9"/>
          </w:tcPr>
          <w:p>
            <w:r>
              <w:rPr>
                <w:rFonts w:ascii="Calibri" w:hAnsi="Calibri" w:cs="Calibri"/>
              </w:rPr>
              <w:t xml:space="preserve">Other Partners</w:t>
            </w:r>
          </w:p>
        </w:tc>
        <w:tc>
          <w:tcPr>
            <w:tcW w:w="4080" w:type="dxa"/>
          </w:tcPr>
          <w:p>
            <w:r>
              <w:t xml:space="preserve">Matija Frankovic, State Institute for Nature Protection</w:t>
            </w:r>
          </w:p>
        </w:tc>
        <w:tc>
          <w:tcPr>
            <w:tcW w:w="4080" w:type="dxa"/>
          </w:tcPr>
          <w:p>
            <w:r>
              <w:t xml:space="preserve">matija.frankovic@dzzp.hr</w:t>
            </w:r>
          </w:p>
        </w:tc>
      </w:tr>
      <w:tr>
        <w:tc>
          <w:tcPr>
            <w:tcW w:w="4080" w:type="dxa"/>
            <w:shd w:val="clear" w:color="auto" w:fill="#D9D9D9"/>
          </w:tcPr>
          <w:p>
            <w:r>
              <w:rPr>
                <w:rFonts w:ascii="Calibri" w:hAnsi="Calibri" w:cs="Calibri"/>
              </w:rPr>
              <w:t xml:space="preserve">UNDP Technical Adviser</w:t>
            </w:r>
          </w:p>
        </w:tc>
        <w:tc>
          <w:tcPr>
            <w:tcW w:w="4080" w:type="dxa"/>
          </w:tcPr>
          <w:p>
            <w:r>
              <w:t xml:space="preserve"> Maxim Vergeichik</w:t>
            </w:r>
          </w:p>
        </w:tc>
        <w:tc>
          <w:tcPr>
            <w:tcW w:w="4080" w:type="dxa"/>
          </w:tcPr>
          <w:p>
            <w:r>
              <w:t xml:space="preserve">maxim.vergeichik@undp.org</w:t>
            </w:r>
          </w:p>
        </w:tc>
      </w:tr>
      <w:tr>
        <w:tc>
          <w:tcPr>
            <w:tcW w:w="4080" w:type="dxa"/>
            <w:shd w:val="clear" w:color="auto" w:fill="#D9D9D9"/>
          </w:tcPr>
          <w:p>
            <w:r>
              <w:rPr>
                <w:rFonts w:ascii="Calibri" w:hAnsi="Calibri" w:cs="Calibri"/>
              </w:rPr>
              <w:t xml:space="preserve">UNDP Programme Associate</w:t>
            </w:r>
          </w:p>
        </w:tc>
        <w:tc>
          <w:tcPr>
            <w:tcW w:w="4080" w:type="dxa"/>
          </w:tcPr>
          <w:p>
            <w:r>
              <w:t xml:space="preserve"> Gulsah Isik</w:t>
            </w:r>
          </w:p>
        </w:tc>
        <w:tc>
          <w:tcPr>
            <w:tcW w:w="4080" w:type="dxa"/>
          </w:tcPr>
          <w:p>
            <w:r>
              <w:t xml:space="preserve">gulsah.isik@undp.org</w:t>
            </w:r>
          </w:p>
        </w:tc>
      </w:tr>
    </w:tbl>
    <w:p/>
    <w:tbl>
      <w:tblPr>
        <w:tblStyle w:val="myOwnTableStyle"/>
      </w:tblPr>
      <w:tr>
        <w:tc>
          <w:tcPr>
            <w:tcW w:w="2448" w:type="dxa"/>
            <w:shd w:val="clear" w:color="auto" w:fill="#D9D9D9"/>
          </w:tcPr>
          <w:p>
            <w:r>
              <w:rPr>
                <w:rFonts w:ascii="Calibri" w:hAnsi="Calibri" w:cs="Calibri"/>
              </w:rPr>
              <w:t xml:space="preserve">Project website, etc.</w:t>
            </w:r>
          </w:p>
        </w:tc>
        <w:tc>
          <w:tcPr>
            <w:tcW w:w="9000" w:type="dxa"/>
          </w:tcPr>
          <w:p>
            <w:r>
              <w:t xml:space="preserve">Project page on UNDP website
http://www.hr.undp.org/content/croatia/en/home/operations/projects/environment_and_energy/Strengthening_the_National_Protected_Area_system/
Facebook  UNDP Croatia GREEN
https://www.facebook.com/pages/UNDP-Hrvatska-Green/1475044242733950
Twitter 
https://mobile.twitter.com/UNDPhr
Newsletter UNDP Croatia GREEN
http://www.hr.undp.org/content/dam/croatia/docs/Research%20and%20publications/environment/undp-hr-newsletter-2015.pdf</w:t>
            </w:r>
          </w:p>
        </w:tc>
      </w:tr>
      <w:tr>
        <w:tc>
          <w:tcPr>
            <w:tcW w:w="2448" w:type="dxa"/>
            <w:shd w:val="clear" w:color="auto" w:fill="#D9D9D9"/>
          </w:tcPr>
          <w:p>
            <w:r>
              <w:rPr>
                <w:rFonts w:ascii="Calibri" w:hAnsi="Calibri" w:cs="Calibri"/>
              </w:rPr>
              <w:t xml:space="preserve">Links to media coverage</w:t>
            </w:r>
          </w:p>
        </w:tc>
        <w:tc>
          <w:tcPr>
            <w:tcW w:w="9000" w:type="dxa"/>
          </w:tcPr>
          <w:p>
            <w:r>
              <w:t xml:space="preserve">Croenergo
http://www.croenergo.eu/Predstavljen-projekt-ucinkovitijeg-upravljanja-i-razvoja-zasticenih-podrucja-PARCS-vrijedan-126-milijuna-kuna-21968.aspx
HRT - Croatian radio television
http://vijesti.hrt.hr/246610/novi-projekt-za-zasticena-podrucja-parcs 
Limun.hr
http://limun.hr/main.aspx?ID=1002206
Moj Zagreb info
http://mojzagreb.info/zagreb/hrvatska/parkovi-prirode-126-milijuna-kuna-za-uspjesno-upravljanje
Short introductory movie about the project
https://www.youtube.com/watch?v=3clZCicsdqE</w:t>
            </w:r>
          </w:p>
        </w:tc>
      </w:tr>
    </w:tbl>
    <w:p/>
    <w:p>
      <w:pPr>
        <w:pStyle w:val="Heading1"/>
      </w:pPr>
      <w:r>
        <w:fldChar w:fldCharType="end"/>
      </w:r>
      <w:bookmarkStart w:id="1211" w:name="_Toc252635366"/>
      <w:r>
        <w:t>C.    Project Summary</w:t>
      </w:r>
      <w:bookmarkEnd w:id="1211"/>
    </w:p>
    <w:p>
      <w:pPr>
        <w:pStyle w:val="npara"/>
      </w:pPr>
      <w:r>
        <w:rPr>
          <w:rStyle w:val="undpStyle"/>
        </w:rPr>
        <w:t xml:space="preserve">Croatia currently has a well-developed system of 420 protected areas, comprising: 2 Strict Reserves; 8 National Parks; 79 Special Reserves; 11 Nature Parks; 2 Regional Parks; 85 Nature Monuments; 84 Significant Landscapes/ Seascapes; 28 Forest Parks and 121 Horticultural Monuments. Collectively these protected areas cover a total area of 717,921 ha, encompassing 11.61% of the terrestrial and inland water ecosystems of Croatia and 1.97% of the countryÃÃÃs marine territorial waters.The largest portion (&gt;60%) of the protected area system in Croatia comprises the ÃÃÃ¿national protected areasÃÃÃ (Nature Parks and National Parks), covering an area of 515,084 ha. These national protected areas form the spatial focus for GEF project investment.</w:t>
      </w:r>
    </w:p>
    <w:p>
      <w:pPr>
        <w:pStyle w:val="npara"/>
      </w:pPr>
      <w:r>
        <w:rPr>
          <w:rStyle w:val="undpStyle"/>
        </w:rPr>
        <w:t xml:space="preserve"/>
      </w:r>
    </w:p>
    <w:p>
      <w:pPr>
        <w:pStyle w:val="npara"/>
      </w:pPr>
      <w:r>
        <w:rPr>
          <w:rStyle w:val="undpStyle"/>
        </w:rPr>
        <w:t xml:space="preserve">The project has been organised into two components: </w:t>
      </w:r>
    </w:p>
    <w:p>
      <w:pPr>
        <w:pStyle w:val="npara"/>
      </w:pPr>
      <w:r>
        <w:rPr>
          <w:rStyle w:val="undpStyle"/>
        </w:rPr>
        <w:t xml:space="preserve">The first component of the project is focused on improving the current institutional framework for national protected areas in order to address its key systemic and institutional weaknesses (weak coordination, limited performance accountability, duplication, cost-inefficiencies and inequitable distribution of funds). Under this component GEF funding will be used to develop a national planning framework for protected areas ÃÃÃ´ comprising an overarching long-term strategic plan, a medium-term financial plan and a set of operational policies and guidelines ÃÃÃ´ as a mechanism to better coordinate the efforts, and align the performance accountability, of the national protected area agencies (i.e. MENP, SINP and the 19 national protected area Public Institutions [PIs]). GEF resources will also be used in this component to strengthen the financial management capacities of the national protected area agencies in order to reduce cost-inefficiencies, improve revenues and develop mechanisms for revenue-sharing between parks. Further, GEF funds will be used to support the establishment of a ÃÃÃ¿shared service centreÃÃÃ - that will function as a centralised support service to individual parks - as a means of delivering value-added system-based services to, reducing duplication of effort across, and improving the cost-effectiveness of, the national protected areas. Finally, GEF funds will be used in this component to assess the efficacy of ÃÃÃ´ over the longer term ÃÃÃ´ establishing a single, rationalised ÃÃÃ¿park agencyÃÃÃ as a more enduring solution to the systemic and institutional weaknesses of the current institutional framework. </w:t>
      </w:r>
    </w:p>
    <w:p>
      <w:pPr>
        <w:pStyle w:val="npara"/>
      </w:pPr>
      <w:r>
        <w:rPr>
          <w:rStyle w:val="undpStyle"/>
        </w:rPr>
        <w:t xml:space="preserve">The second component of the project is focused on improving the financial sustainability of the national protected areas to ensure that they have adequate financial resources to cover the full costs of their management. In this component, GEF funds will be used to reduce the transaction costs of user pay systems in national protected areas by developing and testing alternative automated entry/user fee collection systems and piloting mooring fees as a means of collecting revenues for boat-based access to marine national protected areas. GEF resources will also be used under this component to support the expansion and inter-linking of a number of isolated attractions/destinations in national protected areas into a more integrated tourism and recreational product in order to improve the visitor and/or user experience. Finally, GEF funding will be allocated under this component to improving the productive efficiencies in national protected areas by: (i) identifying the mechanisms required to strengthen service standards, and improve economic efficiencies in the high-income generating national parks; and (ii) encouraging the adoption of more energy efficient technologies in national protected area in order to reduce the high recurrent costs of power supply.</w:t>
      </w:r>
    </w:p>
    <w:p>
      <w:pPr>
        <w:pStyle w:val="npara"/>
      </w:pPr>
      <w:r>
        <w:rPr>
          <w:rStyle w:val="undpStyle"/>
        </w:rPr>
        <w:t xml:space="preserve"/>
      </w:r>
    </w:p>
    <w:p>
      <w:pPr>
        <w:pStyle w:val="npara"/>
      </w:pPr>
      <w:r>
        <w:rPr>
          <w:rStyle w:val="undpStyle"/>
        </w:rPr>
        <w:t xml:space="preserve">The project will be implemented over a period of four years. The total cost of investment in the project is estimated at US$22,964,116, of which US$4,953,000 constitutes grant funding from GEF and US$18,011,116 comprises co-financing (MENP US$ 16,700,000; UNDP US$500,000; and National Protected area Public Institutions US$811,116).</w:t>
      </w:r>
    </w:p>
    <w:p/>
    <w:p>
      <w:pPr>
        <w:sectPr>
          <w:footerReference w:type="default" r:id="rId7"/>
          <w:pgSz w:w="11906" w:h="16838"/>
          <w:pgMar w:top="600" w:right="500" w:bottom="600" w:left="500" w:header="720" w:footer="720" w:gutter="0"/>
          <w:cols w:space="720"/>
        </w:sectPr>
      </w:pPr>
    </w:p>
    <w:p>
      <w:pPr>
        <w:pStyle w:val="Heading1"/>
      </w:pPr>
      <w:r>
        <w:fldChar w:fldCharType="end"/>
      </w:r>
      <w:bookmarkStart w:id="1212" w:name="_Toc252635367"/>
      <w:r>
        <w:t>D.    Progress toward Development Objective</w:t>
      </w:r>
      <w:bookmarkEnd w:id="1212"/>
    </w:p>
    <w:p/>
    <w:tbl>
      <w:tblPr>
        <w:tblStyle w:val="myOwnTableStyle"/>
      </w:tblPr>
      <w:tr>
        <w:tc>
          <w:tcPr>
            <w:tcW w:w="2000" w:type="dxa"/>
            <w:vAlign w:val="center"/>
          </w:tcPr>
          <w:p>
            <w:r>
              <w:rPr>
                <w:b/>
              </w:rPr>
              <w:t xml:space="preserve">Objective/Outcome</w:t>
            </w:r>
          </w:p>
        </w:tc>
        <w:tc>
          <w:tcPr>
            <w:tcW w:w="4000" w:type="dxa"/>
            <w:vAlign w:val="center"/>
          </w:tcPr>
          <w:p>
            <w:r>
              <w:rPr>
                <w:b/>
              </w:rPr>
              <w:t xml:space="preserve">Description</w:t>
            </w:r>
          </w:p>
        </w:tc>
        <w:tc>
          <w:tcPr>
            <w:tcW w:w="4000" w:type="dxa"/>
            <w:vAlign w:val="center"/>
          </w:tcPr>
          <w:p>
            <w:r>
              <w:rPr>
                <w:b/>
              </w:rPr>
              <w:t xml:space="preserve">Description of Indicator</w:t>
            </w:r>
          </w:p>
        </w:tc>
        <w:tc>
          <w:tcPr>
            <w:tcW w:w="4000" w:type="dxa"/>
            <w:vAlign w:val="center"/>
          </w:tcPr>
          <w:p>
            <w:r>
              <w:rPr>
                <w:b/>
              </w:rPr>
              <w:t xml:space="preserve">Baseline Level</w:t>
            </w:r>
          </w:p>
        </w:tc>
        <w:tc>
          <w:tcPr>
            <w:tcW w:w="4000" w:type="dxa"/>
            <w:vAlign w:val="center"/>
          </w:tcPr>
          <w:p>
            <w:r>
              <w:rPr>
                <w:b/>
              </w:rPr>
              <w:t xml:space="preserve">Target Level at end of project</w:t>
            </w:r>
          </w:p>
        </w:tc>
        <w:tc>
          <w:tcPr>
            <w:tcW w:w="2000" w:type="dxa"/>
            <w:vAlign w:val="center"/>
          </w:tcPr>
          <w:p>
            <w:r>
              <w:rPr>
                <w:b/>
              </w:rPr>
              <w:t xml:space="preserve">Level at 30 June 2015</w:t>
            </w:r>
          </w:p>
        </w:tc>
      </w:tr>
      <w:tr>
        <w:tc>
          <w:tcPr>
            <w:tcW w:w="2000" w:type="dxa"/>
          </w:tcPr>
          <w:p>
            <w:r>
              <w:rPr>
                <w:rFonts w:ascii="Calibri" w:hAnsi="Calibri" w:cs="Calibri"/>
              </w:rPr>
              <w:t xml:space="preserve">Objective</w:t>
            </w:r>
          </w:p>
        </w:tc>
        <w:tc>
          <w:tcPr>
            <w:tcW w:w="4000" w:type="dxa"/>
          </w:tcPr>
          <w:p>
            <w:r>
              <w:rPr>
                <w:rFonts w:ascii="Calibri" w:hAnsi="Calibri" w:cs="Calibri"/>
              </w:rPr>
              <w:t xml:space="preserve">Enhancing the management effectiveness and sustainability of national protected areas to safeguard terrestrial and marine biodiversity</w:t>
            </w:r>
          </w:p>
        </w:tc>
        <w:tc>
          <w:tcPr>
            <w:tcW w:w="4000" w:type="dxa"/>
          </w:tcPr>
          <w:p>
            <w:r>
              <w:rPr>
                <w:rFonts w:ascii="Calibri" w:hAnsi="Calibri" w:cs="Calibri"/>
              </w:rPr>
              <w:t xml:space="preserve">Increase of financial sustainability scorecard for national system of protected areas</w:t>
            </w:r>
          </w:p>
        </w:tc>
        <w:tc>
          <w:tcPr>
            <w:tcW w:w="4000" w:type="dxa"/>
          </w:tcPr>
          <w:p>
            <w:r>
              <w:rPr>
                <w:rFonts w:ascii="Calibri" w:hAnsi="Calibri" w:cs="Calibri"/>
              </w:rPr>
              <w:t xml:space="preserve">0.32</w:t>
            </w:r>
          </w:p>
        </w:tc>
        <w:tc>
          <w:tcPr>
            <w:tcW w:w="4000" w:type="dxa"/>
          </w:tcPr>
          <w:p>
            <w:r>
              <w:rPr>
                <w:rFonts w:ascii="Calibri" w:hAnsi="Calibri" w:cs="Calibri"/>
              </w:rPr>
              <w:t xml:space="preserve">&amp;gt;45%</w:t>
            </w:r>
          </w:p>
        </w:tc>
        <w:tc>
          <w:tcPr>
            <w:tcW w:w="2000" w:type="dxa"/>
          </w:tcPr>
          <w:p>
            <w:r>
              <w:rPr>
                <w:rFonts w:ascii="Calibri" w:hAnsi="Calibri" w:cs="Calibri"/>
              </w:rPr>
              <w:t xml:space="preserve">It is not possible to calculate target level at this reporting period (indicator will be updated at the mid-term of the project in 2016).</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Capacity development indicator score for protected area system</w:t>
            </w:r>
          </w:p>
        </w:tc>
        <w:tc>
          <w:tcPr>
            <w:tcW w:w="4000" w:type="dxa"/>
          </w:tcPr>
          <w:p>
            <w:r>
              <w:rPr>
                <w:rFonts w:ascii="Calibri" w:hAnsi="Calibri" w:cs="Calibri"/>
              </w:rPr>
              <w:t xml:space="preserve">Systemic: 58%
Institutional: 57%
Individual: 46%</w:t>
            </w:r>
          </w:p>
        </w:tc>
        <w:tc>
          <w:tcPr>
            <w:tcW w:w="4000" w:type="dxa"/>
          </w:tcPr>
          <w:p>
            <w:r>
              <w:rPr>
                <w:rFonts w:ascii="Calibri" w:hAnsi="Calibri" w:cs="Calibri"/>
              </w:rPr>
              <w:t xml:space="preserve">Systemic: 67%
Institutional: 77% 
Individual: 72%</w:t>
            </w:r>
          </w:p>
        </w:tc>
        <w:tc>
          <w:tcPr>
            <w:tcW w:w="2000" w:type="dxa"/>
          </w:tcPr>
          <w:p>
            <w:r>
              <w:rPr>
                <w:rFonts w:ascii="Calibri" w:hAnsi="Calibri" w:cs="Calibri"/>
              </w:rPr>
              <w:t xml:space="preserve">It is not possible to calculate target level at this reporting period (indicator will be updated at the mid-term of the project in 2016).</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Annual financing gap of the optimal management scenario for national protected areas (US$)</w:t>
            </w:r>
          </w:p>
        </w:tc>
        <w:tc>
          <w:tcPr>
            <w:tcW w:w="4000" w:type="dxa"/>
          </w:tcPr>
          <w:p>
            <w:r>
              <w:rPr>
                <w:rFonts w:ascii="Calibri" w:hAnsi="Calibri" w:cs="Calibri"/>
              </w:rPr>
              <w:t xml:space="preserve">US$14.7m</w:t>
            </w:r>
          </w:p>
        </w:tc>
        <w:tc>
          <w:tcPr>
            <w:tcW w:w="4000" w:type="dxa"/>
          </w:tcPr>
          <w:p>
            <w:r>
              <w:rPr>
                <w:rFonts w:ascii="Calibri" w:hAnsi="Calibri" w:cs="Calibri"/>
              </w:rPr>
              <w:t xml:space="preserve">US$&amp;lt;5m</w:t>
            </w:r>
          </w:p>
        </w:tc>
        <w:tc>
          <w:tcPr>
            <w:tcW w:w="2000" w:type="dxa"/>
          </w:tcPr>
          <w:p>
            <w:r>
              <w:rPr>
                <w:rFonts w:ascii="Calibri" w:hAnsi="Calibri" w:cs="Calibri"/>
              </w:rPr>
              <w:t xml:space="preserve">It is not possible to calculate target level at this reporting period (indicator will be updated at the mid-term of the project in 2016).</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Management Effectiveness Tracking Tool scorecard (average):
All national PAs
National Parks
Nature Parks</w:t>
            </w:r>
          </w:p>
        </w:tc>
        <w:tc>
          <w:tcPr>
            <w:tcW w:w="4000" w:type="dxa"/>
          </w:tcPr>
          <w:p>
            <w:r>
              <w:rPr>
                <w:rFonts w:ascii="Calibri" w:hAnsi="Calibri" w:cs="Calibri"/>
              </w:rPr>
              <w:t xml:space="preserve">All national PAs: 63%
National Parks: 62%
Nature Parks: 64%</w:t>
            </w:r>
          </w:p>
        </w:tc>
        <w:tc>
          <w:tcPr>
            <w:tcW w:w="4000" w:type="dxa"/>
          </w:tcPr>
          <w:p>
            <w:r>
              <w:rPr>
                <w:rFonts w:ascii="Calibri" w:hAnsi="Calibri" w:cs="Calibri"/>
              </w:rPr>
              <w:t xml:space="preserve">All national PAs: &amp;gt;67%
National Parks: &amp;gt;67%
Nature Parks: &amp;gt;67%</w:t>
            </w:r>
          </w:p>
        </w:tc>
        <w:tc>
          <w:tcPr>
            <w:tcW w:w="2000" w:type="dxa"/>
          </w:tcPr>
          <w:p>
            <w:r>
              <w:rPr>
                <w:rFonts w:ascii="Calibri" w:hAnsi="Calibri" w:cs="Calibri"/>
              </w:rPr>
              <w:t xml:space="preserve">It is not possible to calculate target level at this reporting period (indicator will be updated at the mid-term of the project in 2016).</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Income/annum (US$), by source, from national protected areas</w:t>
            </w:r>
          </w:p>
        </w:tc>
        <w:tc>
          <w:tcPr>
            <w:tcW w:w="4000" w:type="dxa"/>
          </w:tcPr>
          <w:p>
            <w:r>
              <w:rPr>
                <w:rFonts w:ascii="Calibri" w:hAnsi="Calibri" w:cs="Calibri"/>
              </w:rPr>
              <w:t xml:space="preserve">Government budget allocation: US$6,67m
Other government allocation: US$1m
Property income: US$1.4m
Own income: US$58.29m
Donor revenue and other income: US$0,94m</w:t>
            </w:r>
          </w:p>
        </w:tc>
        <w:tc>
          <w:tcPr>
            <w:tcW w:w="4000" w:type="dxa"/>
          </w:tcPr>
          <w:p>
            <w:r>
              <w:rPr>
                <w:rFonts w:ascii="Calibri" w:hAnsi="Calibri" w:cs="Calibri"/>
              </w:rPr>
              <w:t xml:space="preserve">Government budget allocation: US$5m
Other government allocation: &amp;gt;US$3.5m
Property income: &amp;gt;US$2m
Own income: &amp;gt;US$65m
Donor revenue and other income: &amp;gt;US$1.5m
(target year = 2017)</w:t>
            </w:r>
          </w:p>
        </w:tc>
        <w:tc>
          <w:tcPr>
            <w:tcW w:w="2000" w:type="dxa"/>
          </w:tcPr>
          <w:p>
            <w:r>
              <w:rPr>
                <w:rFonts w:ascii="Calibri" w:hAnsi="Calibri" w:cs="Calibri"/>
              </w:rPr>
              <w:t xml:space="preserve">Government budget allocations: US$ 5,661,945
Other government income: US$ 2,084,037
Property Income: US$ 599,501
Own Income: US$ 58,046,247
Donor Revenue: US$ 203,156
TOTAL	USD 66,594,886
(Data available for December 31, 2014
Source: Annual financial reports)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Degree of conservation for the Natura 2000 target species and habitats in national protected areas[1]
[1] Where:
A = excellent level of conservation;
B = good level of conservation; and
C = average or less than average level of conservation)</w:t>
            </w:r>
          </w:p>
        </w:tc>
        <w:tc>
          <w:tcPr>
            <w:tcW w:w="4000" w:type="dxa"/>
          </w:tcPr>
          <w:p>
            <w:r>
              <w:rPr>
                <w:rFonts w:ascii="Calibri" w:hAnsi="Calibri" w:cs="Calibri"/>
              </w:rPr>
              <w:t xml:space="preserve">Species: 
A  184
 B  214
C  14
Habitats: 
A  94
B  91
C  8</w:t>
            </w:r>
          </w:p>
        </w:tc>
        <w:tc>
          <w:tcPr>
            <w:tcW w:w="4000" w:type="dxa"/>
          </w:tcPr>
          <w:p>
            <w:r>
              <w:rPr>
                <w:rFonts w:ascii="Calibri" w:hAnsi="Calibri" w:cs="Calibri"/>
              </w:rPr>
              <w:t xml:space="preserve">Degree of conservation for the NATURA 2000 target species and habitats stays the same or improves</w:t>
            </w:r>
          </w:p>
        </w:tc>
        <w:tc>
          <w:tcPr>
            <w:tcW w:w="2000" w:type="dxa"/>
          </w:tcPr>
          <w:p>
            <w:r>
              <w:rPr>
                <w:rFonts w:ascii="Calibri" w:hAnsi="Calibri" w:cs="Calibri"/>
              </w:rPr>
              <w:t xml:space="preserve">It is not possible to calculate target level at this reporting period (indicator will be updated at the mid-term of the project in 2016).</w:t>
            </w:r>
          </w:p>
        </w:tc>
      </w:tr>
      <w:tr>
        <w:tc>
          <w:tcPr>
            <w:tcW w:w="2000" w:type="dxa"/>
          </w:tcPr>
          <w:p>
            <w:r>
              <w:rPr>
                <w:rFonts w:ascii="Calibri" w:hAnsi="Calibri" w:cs="Calibri"/>
              </w:rPr>
              <w:t xml:space="preserve">Outcome 1</w:t>
            </w:r>
          </w:p>
        </w:tc>
        <w:tc>
          <w:tcPr>
            <w:tcW w:w="4000" w:type="dxa"/>
          </w:tcPr>
          <w:p>
            <w:r>
              <w:rPr>
                <w:rFonts w:ascii="Calibri" w:hAnsi="Calibri" w:cs="Calibri"/>
              </w:rPr>
              <w:t xml:space="preserve">Reforming the institutional framework to strengthen the management effectiveness of national protected areas</w:t>
            </w:r>
          </w:p>
        </w:tc>
        <w:tc>
          <w:tcPr>
            <w:tcW w:w="4000" w:type="dxa"/>
          </w:tcPr>
          <w:p>
            <w:r>
              <w:rPr>
                <w:rFonts w:ascii="Calibri" w:hAnsi="Calibri" w:cs="Calibri"/>
              </w:rPr>
              <w:t xml:space="preserve">Strategic plan and management guidelines for national protected areas approved.</w:t>
            </w:r>
          </w:p>
        </w:tc>
        <w:tc>
          <w:tcPr>
            <w:tcW w:w="4000" w:type="dxa"/>
          </w:tcPr>
          <w:p>
            <w:r>
              <w:rPr>
                <w:rFonts w:ascii="Calibri" w:hAnsi="Calibri" w:cs="Calibri"/>
              </w:rPr>
              <w:t xml:space="preserve">Strategic plan: None
Management guidelines: Partial, but incomplete</w:t>
            </w:r>
          </w:p>
        </w:tc>
        <w:tc>
          <w:tcPr>
            <w:tcW w:w="4000" w:type="dxa"/>
          </w:tcPr>
          <w:p>
            <w:r>
              <w:rPr>
                <w:rFonts w:ascii="Calibri" w:hAnsi="Calibri" w:cs="Calibri"/>
              </w:rPr>
              <w:t xml:space="preserve">Strategic plan: Yes
Management guidelines: Complete</w:t>
            </w:r>
          </w:p>
        </w:tc>
        <w:tc>
          <w:tcPr>
            <w:tcW w:w="2000" w:type="dxa"/>
          </w:tcPr>
          <w:p>
            <w:r>
              <w:rPr>
                <w:rFonts w:ascii="Calibri" w:hAnsi="Calibri" w:cs="Calibri"/>
              </w:rPr>
              <w:t xml:space="preserve">It is not possible to calculate target level at this reporting period.
It is expected that Nature protection law and NBSAP will be adopted by the Government in September 2015. Having strategic guidance in the two most important documents will provide guidance for development of a national planning framework for the protected area system. Upon this, strategic plan and management guidelines for national protected areas will be developed and adopted.</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park management plans conforming with the policies and guidelines  for national protected areas</w:t>
            </w:r>
          </w:p>
        </w:tc>
        <w:tc>
          <w:tcPr>
            <w:tcW w:w="4000" w:type="dxa"/>
          </w:tcPr>
          <w:p>
            <w:r>
              <w:rPr>
                <w:rFonts w:ascii="Calibri" w:hAnsi="Calibri" w:cs="Calibri"/>
              </w:rPr>
              <w:t xml:space="preserve">5</w:t>
            </w:r>
          </w:p>
        </w:tc>
        <w:tc>
          <w:tcPr>
            <w:tcW w:w="4000" w:type="dxa"/>
          </w:tcPr>
          <w:p>
            <w:r>
              <w:rPr>
                <w:rFonts w:ascii="Calibri" w:hAnsi="Calibri" w:cs="Calibri"/>
              </w:rPr>
              <w:t xml:space="preserve">&amp;gt;10</w:t>
            </w:r>
          </w:p>
        </w:tc>
        <w:tc>
          <w:tcPr>
            <w:tcW w:w="2000" w:type="dxa"/>
          </w:tcPr>
          <w:p>
            <w:r>
              <w:rPr>
                <w:rFonts w:ascii="Calibri" w:hAnsi="Calibri" w:cs="Calibri"/>
              </w:rPr>
              <w:t xml:space="preserve">It is not possible to calculate target level at this reporting period.
The activities for this Output have been started. Meeting of Technical Work Group was organized and it was concluded that several important guidelineses need to be prepared by the Ministry as precondition for revision of park management plans.</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financial/business plans adopted and operational</w:t>
            </w:r>
          </w:p>
        </w:tc>
        <w:tc>
          <w:tcPr>
            <w:tcW w:w="4000" w:type="dxa"/>
          </w:tcPr>
          <w:p>
            <w:r>
              <w:rPr>
                <w:rFonts w:ascii="Calibri" w:hAnsi="Calibri" w:cs="Calibri"/>
              </w:rPr>
              <w:t xml:space="preserve">National protected area network: 0 
Individual national protected areas: 0</w:t>
            </w:r>
          </w:p>
        </w:tc>
        <w:tc>
          <w:tcPr>
            <w:tcW w:w="4000" w:type="dxa"/>
          </w:tcPr>
          <w:p>
            <w:r>
              <w:rPr>
                <w:rFonts w:ascii="Calibri" w:hAnsi="Calibri" w:cs="Calibri"/>
              </w:rPr>
              <w:t xml:space="preserve">National protected area network: 1 
Individual national protected areas: &amp;gt;3</w:t>
            </w:r>
          </w:p>
        </w:tc>
        <w:tc>
          <w:tcPr>
            <w:tcW w:w="2000" w:type="dxa"/>
          </w:tcPr>
          <w:p>
            <w:r>
              <w:rPr>
                <w:rFonts w:ascii="Calibri" w:hAnsi="Calibri" w:cs="Calibri"/>
              </w:rPr>
              <w:t xml:space="preserve">It is not possible to calculate target level at this reporting period.
Financial plans will be developed upon adoption of Strategic plan and management guidelines for national protected (described above).</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Number of  PI and MENP staff completing specialised, targeted short-course financial training and financial skills development programmes</w:t>
            </w:r>
          </w:p>
        </w:tc>
        <w:tc>
          <w:tcPr>
            <w:tcW w:w="4000" w:type="dxa"/>
          </w:tcPr>
          <w:p>
            <w:r>
              <w:rPr>
                <w:rFonts w:ascii="Calibri" w:hAnsi="Calibri" w:cs="Calibri"/>
              </w:rPr>
              <w:t xml:space="preserve">0</w:t>
            </w:r>
          </w:p>
        </w:tc>
        <w:tc>
          <w:tcPr>
            <w:tcW w:w="4000" w:type="dxa"/>
          </w:tcPr>
          <w:p>
            <w:r>
              <w:rPr>
                <w:rFonts w:ascii="Calibri" w:hAnsi="Calibri" w:cs="Calibri"/>
              </w:rPr>
              <w:t xml:space="preserve">26</w:t>
            </w:r>
          </w:p>
        </w:tc>
        <w:tc>
          <w:tcPr>
            <w:tcW w:w="2000" w:type="dxa"/>
          </w:tcPr>
          <w:p>
            <w:r>
              <w:rPr>
                <w:rFonts w:ascii="Calibri" w:hAnsi="Calibri" w:cs="Calibri"/>
              </w:rPr>
              <w:t xml:space="preserve">32</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Percentage of overall national protected areas bookings/month being administered through the centralised SSC:</w:t>
            </w:r>
          </w:p>
        </w:tc>
        <w:tc>
          <w:tcPr>
            <w:tcW w:w="4000" w:type="dxa"/>
          </w:tcPr>
          <w:p>
            <w:r>
              <w:rPr>
                <w:rFonts w:ascii="Calibri" w:hAnsi="Calibri" w:cs="Calibri"/>
              </w:rPr>
              <w:t xml:space="preserve">0</w:t>
            </w:r>
          </w:p>
        </w:tc>
        <w:tc>
          <w:tcPr>
            <w:tcW w:w="4000" w:type="dxa"/>
          </w:tcPr>
          <w:p>
            <w:r>
              <w:rPr>
                <w:rFonts w:ascii="Calibri" w:hAnsi="Calibri" w:cs="Calibri"/>
              </w:rPr>
              <w:t xml:space="preserve">Overnight accommodation: &amp;gt;20%
Camping: &amp;gt;30%
Other services: &amp;gt;15%</w:t>
            </w:r>
          </w:p>
        </w:tc>
        <w:tc>
          <w:tcPr>
            <w:tcW w:w="2000" w:type="dxa"/>
          </w:tcPr>
          <w:p>
            <w:r>
              <w:rPr>
                <w:rFonts w:ascii="Calibri" w:hAnsi="Calibri" w:cs="Calibri"/>
              </w:rPr>
              <w:t xml:space="preserve">It is not possible to calculate target level at this reporting period.
Shared Service Centre hasn't been established. Upon establishment of the agency, web based booking will be organized as their service. First results are expacted at the end of 2016.</w:t>
            </w:r>
          </w:p>
        </w:tc>
      </w:tr>
      <w:tr>
        <w:tc>
          <w:tcPr>
            <w:tcW w:w="2000" w:type="dxa"/>
          </w:tcPr>
          <w:p>
            <w:r>
              <w:rPr>
                <w:rFonts w:ascii="Calibri" w:hAnsi="Calibri" w:cs="Calibri"/>
              </w:rPr>
              <w:t xml:space="preserve">Outcome 2</w:t>
            </w:r>
          </w:p>
        </w:tc>
        <w:tc>
          <w:tcPr>
            <w:tcW w:w="4000" w:type="dxa"/>
          </w:tcPr>
          <w:p>
            <w:r>
              <w:rPr>
                <w:rFonts w:ascii="Calibri" w:hAnsi="Calibri" w:cs="Calibri"/>
              </w:rPr>
              <w:t xml:space="preserve">Improving the financial sustainability of the network of national protected areas</w:t>
            </w:r>
          </w:p>
        </w:tc>
        <w:tc>
          <w:tcPr>
            <w:tcW w:w="4000" w:type="dxa"/>
          </w:tcPr>
          <w:p>
            <w:r>
              <w:rPr>
                <w:rFonts w:ascii="Calibri" w:hAnsi="Calibri" w:cs="Calibri"/>
              </w:rPr>
              <w:t xml:space="preserve">Net income (US$/annum) from sales of smart cards</w:t>
            </w:r>
          </w:p>
        </w:tc>
        <w:tc>
          <w:tcPr>
            <w:tcW w:w="4000" w:type="dxa"/>
          </w:tcPr>
          <w:p>
            <w:r>
              <w:rPr>
                <w:rFonts w:ascii="Calibri" w:hAnsi="Calibri" w:cs="Calibri"/>
              </w:rPr>
              <w:t xml:space="preserve">US$0</w:t>
            </w:r>
          </w:p>
        </w:tc>
        <w:tc>
          <w:tcPr>
            <w:tcW w:w="4000" w:type="dxa"/>
          </w:tcPr>
          <w:p>
            <w:r>
              <w:rPr>
                <w:rFonts w:ascii="Calibri" w:hAnsi="Calibri" w:cs="Calibri"/>
              </w:rPr>
              <w:t xml:space="preserve">US$&amp;gt;4m</w:t>
            </w:r>
          </w:p>
        </w:tc>
        <w:tc>
          <w:tcPr>
            <w:tcW w:w="2000" w:type="dxa"/>
          </w:tcPr>
          <w:p>
            <w:r>
              <w:rPr>
                <w:rFonts w:ascii="Calibri" w:hAnsi="Calibri" w:cs="Calibri"/>
              </w:rPr>
              <w:t xml:space="preserve">It is not possible to calculate target level at this reporting period.
The process of introduction of advanced ticketing systems in several parks is started and systems will be operational in first half of 2016. The calculation of achieved income from sales will be possible in 2017.</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Increase in self-generated income (US$/annum) in target national parks and nature parks</w:t>
            </w:r>
          </w:p>
        </w:tc>
        <w:tc>
          <w:tcPr>
            <w:tcW w:w="4000" w:type="dxa"/>
          </w:tcPr>
          <w:p>
            <w:r>
              <w:rPr>
                <w:rFonts w:ascii="Calibri" w:hAnsi="Calibri" w:cs="Calibri"/>
              </w:rPr>
              <w:t xml:space="preserve">Ucka: US$49k
Risnjak: US$279k
Papuk: US$32k
Telascica: US$614k
Vransko jezero: US$56k</w:t>
            </w:r>
          </w:p>
        </w:tc>
        <w:tc>
          <w:tcPr>
            <w:tcW w:w="4000" w:type="dxa"/>
          </w:tcPr>
          <w:p>
            <w:r>
              <w:rPr>
                <w:rFonts w:ascii="Calibri" w:hAnsi="Calibri" w:cs="Calibri"/>
              </w:rPr>
              <w:t xml:space="preserve">Ucka: &amp;gt;US$100k
Risnjak: &amp;gt;US$450k
Papuk: &amp;gt;US$50k
Telascica: &amp;gt;US$1m
Vransko jezero: &amp;gt;US$100k</w:t>
            </w:r>
          </w:p>
        </w:tc>
        <w:tc>
          <w:tcPr>
            <w:tcW w:w="2000" w:type="dxa"/>
          </w:tcPr>
          <w:p>
            <w:r>
              <w:rPr>
                <w:rFonts w:ascii="Calibri" w:hAnsi="Calibri" w:cs="Calibri"/>
              </w:rPr>
              <w:t xml:space="preserve">It is not possible to calculate target level at this reporting period.
Implementation of all of the planned activities is started. During 2015 and 2016 the majority of planned activities will be implemented and the calculation of achieved results will be possible in 2017.</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Decrease in costs (US$/month) of power supply to targeted nature parks</w:t>
            </w:r>
          </w:p>
        </w:tc>
        <w:tc>
          <w:tcPr>
            <w:tcW w:w="4000" w:type="dxa"/>
          </w:tcPr>
          <w:p>
            <w:r>
              <w:rPr>
                <w:rFonts w:ascii="Calibri" w:hAnsi="Calibri" w:cs="Calibri"/>
              </w:rPr>
              <w:t xml:space="preserve">Risnjak Nature Park: US$1,455
Papuk Nature Park: US$745</w:t>
            </w:r>
          </w:p>
        </w:tc>
        <w:tc>
          <w:tcPr>
            <w:tcW w:w="4000" w:type="dxa"/>
          </w:tcPr>
          <w:p>
            <w:r>
              <w:rPr>
                <w:rFonts w:ascii="Calibri" w:hAnsi="Calibri" w:cs="Calibri"/>
              </w:rPr>
              <w:t xml:space="preserve">Risnjak Nature Park: &lt;us$1,000
Papuk Nature Park: &lt;us$500&lt; p=""&gt;			&lt;/us$500&lt;&gt;			&lt;/us$1,000</w:t>
            </w:r>
          </w:p>
        </w:tc>
        <w:tc>
          <w:tcPr>
            <w:tcW w:w="2000" w:type="dxa"/>
          </w:tcPr>
          <w:p>
            <w:r>
              <w:rPr>
                <w:rFonts w:ascii="Calibri" w:hAnsi="Calibri" w:cs="Calibri"/>
              </w:rPr>
              <w:t xml:space="preserve">It is not possible to calculate target level at this reporting period.
The activities of deep renovation of buildings in Nature park Papuk and National park Risnjak are ongoing. Finalization of reconstruction of building in Papuk is expected in first quarter of 2016, and of building on Risnjak third quarter of 2016. The calculation of achieved savings will be possible in 2017.</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Surplus/(deficit) per annum (US$) for high-income national protected areas</w:t>
            </w:r>
          </w:p>
        </w:tc>
        <w:tc>
          <w:tcPr>
            <w:tcW w:w="4000" w:type="dxa"/>
          </w:tcPr>
          <w:p>
            <w:r>
              <w:rPr>
                <w:rFonts w:ascii="Calibri" w:hAnsi="Calibri" w:cs="Calibri"/>
              </w:rPr>
              <w:t xml:space="preserve">Plitvicka jezera National Park:  US$4.7m
Krka National Park: US$0.9m
Brijuni National Park: US$(-0.5m)</w:t>
            </w:r>
          </w:p>
        </w:tc>
        <w:tc>
          <w:tcPr>
            <w:tcW w:w="4000" w:type="dxa"/>
          </w:tcPr>
          <w:p>
            <w:r>
              <w:rPr>
                <w:rFonts w:ascii="Calibri" w:hAnsi="Calibri" w:cs="Calibri"/>
              </w:rPr>
              <w:t xml:space="preserve">Plitvicka jezera National Park: US$5.7m
Krka National Park: US$1.1m
Brijuni National Park: US$0.5m</w:t>
            </w:r>
          </w:p>
        </w:tc>
        <w:tc>
          <w:tcPr>
            <w:tcW w:w="2000" w:type="dxa"/>
          </w:tcPr>
          <w:p>
            <w:r>
              <w:rPr>
                <w:rFonts w:ascii="Calibri" w:hAnsi="Calibri" w:cs="Calibri"/>
              </w:rPr>
              <w:t xml:space="preserve">It is not possible to calculate target level at this reporting period.
The preparatory works under these activities have been started. Implementation of activities is planned in 2016, and the calculation of achieved results will be done in 2017.</w:t>
            </w:r>
          </w:p>
        </w:tc>
      </w:tr>
    </w:tbl>
    <w:p/>
    <w:p>
      <w:pPr>
        <w:sectPr>
          <w:pgSz w:w="16838" w:h="11906" w:orient="landscape"/>
          <w:pgMar w:top="600" w:right="500" w:bottom="600" w:left="500" w:header="720" w:footer="720" w:gutter="0"/>
          <w:cols w:space="720"/>
        </w:sectPr>
      </w:pPr>
    </w:p>
    <w:p/>
    <w:p>
      <w:pPr>
        <w:pStyle w:val="Heading1"/>
      </w:pPr>
      <w:r>
        <w:fldChar w:fldCharType="end"/>
      </w:r>
      <w:bookmarkStart w:id="1213" w:name="_Toc252635368"/>
      <w:r>
        <w:t>E.    Progress in Implementation</w:t>
      </w:r>
      <w:bookmarkEnd w:id="1213"/>
    </w:p>
    <w:p/>
    <w:tbl>
      <w:tblPr>
        <w:tblStyle w:val="myOwnTableStyle"/>
      </w:tblPr>
      <w:tr>
        <w:tc>
          <w:tcPr>
            <w:tcW w:w="2000" w:type="dxa"/>
            <w:shd w:val="clear" w:color="auto" w:fill="#D9D9D9"/>
          </w:tcPr>
          <w:p>
            <w:r>
              <w:rPr>
                <w:rFonts w:ascii="Calibri" w:hAnsi="Calibri" w:cs="Calibri"/>
              </w:rPr>
              <w:t xml:space="preserve">Project Outcomes</w:t>
            </w:r>
          </w:p>
        </w:tc>
        <w:tc>
          <w:tcPr>
            <w:tcW w:w="14000" w:type="dxa"/>
            <w:shd w:val="clear" w:color="auto" w:fill="#D9D9D9"/>
          </w:tcPr>
          <w:p>
            <w:r>
              <w:rPr>
                <w:rFonts w:ascii="Calibri" w:hAnsi="Calibri" w:cs="Calibri"/>
              </w:rPr>
              <w:t xml:space="preserve">Description</w:t>
            </w:r>
          </w:p>
        </w:tc>
        <w:tc>
          <w:tcPr>
            <w:tcW w:w="16000" w:type="dxa"/>
            <w:shd w:val="clear" w:color="auto" w:fill="#D9D9D9"/>
            <w:vAlign w:val="center"/>
          </w:tcPr>
          <w:p>
            <w:r>
              <w:rPr>
                <w:rFonts w:ascii="Calibri" w:hAnsi="Calibri" w:cs="Calibri"/>
              </w:rPr>
              <w:t xml:space="preserve">Outputs Reported as of 30 June 2015</w:t>
            </w:r>
          </w:p>
        </w:tc>
      </w:tr>
      <w:tr>
        <w:tc>
          <w:tcPr>
            <w:tcW w:w="2000" w:type="dxa"/>
            <w:shd w:val="clear" w:color="auto" w:fill="#D9D9D9"/>
          </w:tcPr>
          <w:p>
            <w:r>
              <w:rPr>
                <w:rFonts w:ascii="Calibri" w:hAnsi="Calibri" w:cs="Calibri"/>
              </w:rPr>
              <w:t xml:space="preserve">Outcome 1</w:t>
            </w:r>
          </w:p>
        </w:tc>
        <w:tc>
          <w:tcPr>
            <w:tcW w:w="14000" w:type="dxa"/>
            <w:shd w:val="clear" w:color="auto" w:fill="#D9D9D9"/>
          </w:tcPr>
          <w:p>
            <w:r>
              <w:rPr>
                <w:rFonts w:ascii="Calibri" w:hAnsi="Calibri" w:cs="Calibri"/>
              </w:rPr>
              <w:t xml:space="preserve">Reforming the institutional framework to strengthen the management effectiveness of national protected areas</w:t>
            </w:r>
          </w:p>
        </w:tc>
        <w:tc>
          <w:tcPr>
            <w:tcW w:w="16000" w:type="dxa"/>
            <w:shd w:val="clear" w:color="auto" w:fill="#D9D9D9"/>
            <w:vAlign w:val="center"/>
          </w:tcPr>
          <w:p>
            <w:r>
              <w:rPr>
                <w:rFonts w:ascii="Calibri" w:hAnsi="Calibri" w:cs="Calibri"/>
              </w:rPr>
              <w:t xml:space="preserve">1. Two Technical work group meetings were held in order to discuss this output. Decision has been made to postpone implementation of this activity for second half of 2015. The reason behind is the current revision of the Law on Nature Protection and NBSAP.
2. In coordination with the Ministry of Environmental and Nature Protection and the Ministry of Finance, instructions have been written on the application of budget accounting and budget classification. Education for 32 PI staff from financial departments was organized.
3. Assessment of individual PIs was conducted through detailed questionnaire. These data were used for development of the business model for Shared Service Centre (SSC). Legal advisers were contracted in order to analyze problem and offer possible solutions. The biggest problem was that SSC canât have mechanism for cross-subsidization of funds between PIs and therefore Ministry decided to cancel the establishment of SSC, and proceed with analysis and assessments for establishment of the centralized system (park agency). Development of web portal Parcs of Croatia is in progress. Design has been developed and content is being prepared.
4. Work undertaken under project preparatory phase has suggested that the establishment of a rationalized park agency institution could, in a long term, address some of the fundamental weaknesses of the system. Assessment will be implemented during second half of this year onward.</w:t>
            </w:r>
          </w:p>
        </w:tc>
      </w:tr>
      <w:tr>
        <w:tc>
          <w:tcPr>
            <w:tcW w:w="2000" w:type="dxa"/>
            <w:shd w:val="clear" w:color="auto" w:fill="#D9D9D9"/>
          </w:tcPr>
          <w:p>
            <w:r>
              <w:rPr>
                <w:rFonts w:ascii="Calibri" w:hAnsi="Calibri" w:cs="Calibri"/>
              </w:rPr>
              <w:t xml:space="preserve">Outcome 2</w:t>
            </w:r>
          </w:p>
        </w:tc>
        <w:tc>
          <w:tcPr>
            <w:tcW w:w="14000" w:type="dxa"/>
            <w:shd w:val="clear" w:color="auto" w:fill="#D9D9D9"/>
          </w:tcPr>
          <w:p>
            <w:r>
              <w:rPr>
                <w:rFonts w:ascii="Calibri" w:hAnsi="Calibri" w:cs="Calibri"/>
              </w:rPr>
              <w:t xml:space="preserve">Improving the financial sustainability of the network of national protected areas</w:t>
            </w:r>
          </w:p>
        </w:tc>
        <w:tc>
          <w:tcPr>
            <w:tcW w:w="16000" w:type="dxa"/>
            <w:shd w:val="clear" w:color="auto" w:fill="#D9D9D9"/>
            <w:vAlign w:val="center"/>
          </w:tcPr>
          <w:p>
            <w:r>
              <w:rPr>
                <w:rFonts w:ascii="Calibri" w:hAnsi="Calibri" w:cs="Calibri"/>
              </w:rPr>
              <w:t xml:space="preserve">1. Following the analysis of existing advanced ticketing systems in protected areas the tender for purchase of hardware needed for introduction of advanced ticketing systems in NP Brijuni, NP Kornati, PP Telascica and NP Paklenica was prepared. The tender will be published in July 2015. Expected investment is 70,000 USD, and the advanced ticketing systems are expected to be operational in December 2015.
2. The documentation for construction of camping site at Duboka stream in PP Papuk was developed, tendering documentation prepared and the tender published. Expected finalization of works is in first half of 2016 and expected investment is 400,000 USD.
3. The project documentation for deep refurbishment of administrative buildings in National park Risnjak and Nature park Papuk with the goal of reaching the Nearly zero energy building standard and thus reduce the existing energy costs has been developed and tendering processes prepared. For both renovations the co-financing from Croatian Environmental Protection and Energy Efficiency Fund is expected (in the amount of up to 80% of the acceptable investment costs). Start of the works is expected in second half of 2015 and total expected investment for both projects is 670,000 USD.
4. In National park Risnjak preparatory works on definition of a new tour around the Kupa river valley have started. Tendering for works on locations for picnic site and for works on improvement of existing parking lot has been published. Expected finalization of first set of works is November 2015 and expected investment is 75,000 USD.</w:t>
            </w:r>
          </w:p>
        </w:tc>
      </w:tr>
    </w:tbl>
    <w:p/>
    <w:p/>
    <w:p>
      <w:pPr>
        <w:sectPr>
          <w:pgSz w:w="16838" w:h="11906" w:orient="landscape"/>
          <w:pgMar w:top="500" w:right="500" w:bottom="500" w:left="500" w:header="720" w:footer="720" w:gutter="0"/>
          <w:cols w:space="720"/>
        </w:sectPr>
      </w:pPr>
    </w:p>
    <w:p/>
    <w:p>
      <w:pPr>
        <w:pStyle w:val="Heading1"/>
      </w:pPr>
      <w:r>
        <w:fldChar w:fldCharType="end"/>
      </w:r>
      <w:bookmarkStart w:id="1214" w:name="_Toc252635369"/>
      <w:r>
        <w:t>F.   Ratings and Comments on Project Progress</w:t>
      </w:r>
      <w:bookmarkEnd w:id="1214"/>
    </w:p>
    <w:p>
      <w:pPr>
        <w:jc w:val="left"/>
      </w:pPr>
      <w:r>
        <w:rPr>
          <w:rFonts w:ascii="Calibri" w:hAnsi="Calibri" w:cs="Calibri"/>
          <w:sz w:val="24"/>
          <w:szCs w:val="24"/>
          <w:b/>
        </w:rPr>
        <w:t xml:space="preserve">Project Progress toward Development Objective</w:t>
      </w:r>
    </w:p>
    <w:tbl>
      <w:tblPr>
        <w:tblStyle w:val="myOwnTableStyle"/>
      </w:tblPr>
      <w:tr>
        <w:tc>
          <w:tcPr>
            <w:tcW w:w="2000" w:type="dxa"/>
            <w:shd w:val="clear" w:color="auto" w:fill="#D9D9D9"/>
          </w:tcPr>
          <w:p>
            <w:r>
              <w:rPr>
                <w:rFonts w:ascii="Calibri" w:hAnsi="Calibri" w:cs="Calibri"/>
              </w:rPr>
              <w:t xml:space="preserve">Role</w:t>
            </w:r>
          </w:p>
        </w:tc>
        <w:tc>
          <w:tcPr>
            <w:tcW w:w="2000" w:type="dxa"/>
            <w:shd w:val="clear" w:color="auto" w:fill="#D9D9D9"/>
          </w:tcPr>
          <w:p>
            <w:r>
              <w:rPr>
                <w:rFonts w:ascii="Calibri" w:hAnsi="Calibri" w:cs="Calibri"/>
              </w:rPr>
              <w:t xml:space="preserve">2015 Rating</w:t>
            </w:r>
          </w:p>
        </w:tc>
        <w:tc>
          <w:tcPr>
            <w:tcW w:w="8000" w:type="dxa"/>
            <w:shd w:val="clear" w:color="auto" w:fill="#D9D9D9"/>
          </w:tcPr>
          <w:p>
            <w:r>
              <w:rPr>
                <w:rFonts w:ascii="Calibri" w:hAnsi="Calibri" w:cs="Calibri"/>
              </w:rPr>
              <w:t xml:space="preserve">2015 Comments</w:t>
            </w:r>
          </w:p>
        </w:tc>
      </w:tr>
      <w:tr>
        <w:tc>
          <w:tcPr>
            <w:tcW w:w="2000" w:type="dxa"/>
            <w:shd w:val="clear" w:color="auto" w:fill="#D9D9D9"/>
          </w:tcPr>
          <w:p>
            <w:r>
              <w:rPr>
                <w:rFonts w:ascii="Calibri" w:hAnsi="Calibri" w:cs="Calibri"/>
              </w:rPr>
              <w:t xml:space="preserve">Project Manager/Coordinator</w:t>
            </w:r>
          </w:p>
        </w:tc>
        <w:tc>
          <w:tcPr>
            <w:tcW w:w="2000" w:type="dxa"/>
          </w:tcPr>
          <w:p>
            <w:r>
              <w:rPr>
                <w:rFonts w:ascii="Calibri" w:hAnsi="Calibri" w:cs="Calibri"/>
              </w:rPr>
              <w:t xml:space="preserve">Satisfactory</w:t>
            </w:r>
          </w:p>
        </w:tc>
        <w:tc>
          <w:tcPr>
            <w:tcW w:w="8000" w:type="dxa"/>
          </w:tcPr>
          <w:p>
            <w:r>
              <w:rPr>
                <w:rFonts w:ascii="Calibri" w:hAnsi="Calibri" w:cs="Calibri"/>
              </w:rPr>
              <w:t xml:space="preserve">Although it is not possible to calculate most of the target levels of the project development at this reporting period, project have satisfactory rating and is on track to reach the set up target levels for the end of project. 
Implementation of project activities greatly helped in the enhancement of communication between individual PIs and Ministry of Environmental and Nature Protection (MENP) with resolving open questions and issues they are facing in the everyday management of PAs. 
Coordination between MENP, SINP and individual PIs shows significant positive trend for the successful implementation and efficacy of the project investments.
32 persons from PI's, SINP and MENP completed a specialized financial training which was rated as very successful both by the participants as well as the Ministry of Finance, considering it was the first time in the history of parks where the finance representatives found together at one place, along with the representatives from MENP and SINP and discussed the open issues.
Individual PIs are supporting the establishment of joint entity for development of management in business processes and for improvement of conservation management.
Within reporting period was present only political risk (explained under the Adjustments/Critical Risk Management) which have affected the progress towards the establishment of a Shared service center for national PAs.</w:t>
            </w:r>
          </w:p>
        </w:tc>
      </w:tr>
      <w:tr>
        <w:tc>
          <w:tcPr>
            <w:tcW w:w="2000" w:type="dxa"/>
            <w:shd w:val="clear" w:color="auto" w:fill="#D9D9D9"/>
          </w:tcPr>
          <w:p>
            <w:r>
              <w:rPr>
                <w:rFonts w:ascii="Calibri" w:hAnsi="Calibri" w:cs="Calibri"/>
              </w:rPr>
              <w:t xml:space="preserve">UNDP Country Office Programme Officer</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This is the first PIR and the project is only after its first year of implementation thus many DO indicators cannot be assessed at this stage (METT and Financial Scorecard to be done at mid-term and in the end). The project team is intensively working with key stakeholders through technical working group and monthly meetings of park managers as well as with the key national counterpart - Nature protection directorate of the Ministry of Environment and with the State nature protection institute. Collaboration is intensive in the area of harmonizing and improving national planning and management processes in all protected areas. Especially appreciated work is in the area of harmonizing and improving financial management practices in all PAs in collaboration with the Ministry of Finance. This was the first time ever that financial management staff of 19 parks and 2 relevant ministries gathered together for a training and discussion on improving the efficiency of practice. All these facts indicate the project is on track towards achieving the final outcome. However, this is essentially an institutional reform project, highly depending on political and policy-level decisions thus involve risks. The risk is visible in delayed implementation of the institutional reform i.e. establishment of the association of national PAs and of the Shared Service Centre which is well beyond the planned timeline. The reason is in delayed decision-making on the side of responsible Ministry of Environment. Moreover, after getting insight from the analyses of PAs done in preparatory work for business plan of the Shared Service Centre. the Ministry decided that formation of Shared Service Centre for PAs would not result with increased efficiency. Also, the problem with decentralised decision-making authority and responsibilities would not be fixed as the SSC would not be the model strong enough to fill the gap in central decision-making for some management issues. Finally, after 6 months of delaying and slowing the implementation, the Ministry decided to skip the step of forming an SSC and move towards forming one public institution that will be responsible for management of all 19 protected areas. This will require a revision of some project activities but would not change the ultimate outcome. This change has been intensively discussed in two rounds by the Project Board and ultimately approved. There is a clear vision of a strong(er) and more efficient management model of national protected areas system, and the project will support reaching this goal. It is too early to estimate but it is very likely the project will achieve the stated objective and end-targets. It is too early to anticipate the sustainability of results but it is expected that improved management practice and capacities (through trainings of staff) will be retained in the system.</w:t>
            </w:r>
          </w:p>
        </w:tc>
      </w:tr>
      <w:tr>
        <w:tc>
          <w:tcPr>
            <w:tcW w:w="2000" w:type="dxa"/>
            <w:shd w:val="clear" w:color="auto" w:fill="#D9D9D9"/>
          </w:tcPr>
          <w:p>
            <w:r>
              <w:rPr>
                <w:rFonts w:ascii="Calibri" w:hAnsi="Calibri" w:cs="Calibri"/>
              </w:rPr>
              <w:t xml:space="preserve">Project Implementing Partner</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GEF Operational Focal point</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Other Partners</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UNDP Technical Advisor</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This is the projectâs first PIR and most of Objective and Outcome level indicators cannot be assessed yet at this stage in project implementation. But quantitative estimation and qualitative assessment of project final targets are expected to be available by midterm. 
The project team has managed to establish good working and professional relationship with key stakeholders through technical working group and monthly meetings of park managers as well as with the key national counterpart, Nature protection directorate of the Ministry of Environment and with the State nature protection institute. Particularly important is collaboration in the area of harmonizing and improving financial management practices in all PAs in collaboration with the Ministry of Finance. This was the first time ever that financial management staff of 19 parks and 2 relevant ministries gathered together for a training and discussion on improving the efficiency of practice. All these facts indicate the project is on track towards achieving the final outcome. 
However, the project team and UNDP CO realize that being an institutional reform project it is a high risk project, which depends heavily on political and policy-level decisions. As reported by the UNDP CO, the risk is already visible in delayed implementation of the institutional reform i.e. establishment of the association of national PAs and of the Shared Service Centre which is well beyond the planned timeline. Finally, after 6 months of delaying and slowing the implementation, the Ministry decided to skip the step of forming an SSC and move towards forming one public institution that will be responsible for management of all 19 protected areas. This will require a revision of some project activities but would not change the ultimate outcome. The project team and UNDP CO discussed this change in two rounds by the Project Board, which was finally approved.
At this point in project implementation, the project is expected to achieve most of its end-of-project indicators, though the sustainability issue remains questionable. But overall, the project is progressing well and deserves a satisfactory rating.</w:t>
            </w:r>
          </w:p>
        </w:tc>
      </w:tr>
    </w:tbl>
    <w:p/>
    <w:p/>
    <w:p>
      <w:pPr>
        <w:jc w:val="left"/>
      </w:pPr>
      <w:r>
        <w:rPr>
          <w:rFonts w:ascii="Calibri" w:hAnsi="Calibri" w:cs="Calibri"/>
          <w:sz w:val="24"/>
          <w:szCs w:val="24"/>
          <w:b/>
        </w:rPr>
        <w:t xml:space="preserve">Project Progress in Project Implementation</w:t>
      </w:r>
    </w:p>
    <w:tbl>
      <w:tblPr>
        <w:tblStyle w:val="myOwnTableStyle"/>
      </w:tblPr>
      <w:tr>
        <w:tc>
          <w:tcPr>
            <w:tcW w:w="2000" w:type="dxa"/>
            <w:shd w:val="clear" w:color="auto" w:fill="#D9D9D9"/>
          </w:tcPr>
          <w:p>
            <w:r>
              <w:rPr>
                <w:rFonts w:ascii="Calibri" w:hAnsi="Calibri" w:cs="Calibri"/>
              </w:rPr>
              <w:t xml:space="preserve">Role</w:t>
            </w:r>
          </w:p>
        </w:tc>
        <w:tc>
          <w:tcPr>
            <w:tcW w:w="2000" w:type="dxa"/>
            <w:shd w:val="clear" w:color="auto" w:fill="#D9D9D9"/>
          </w:tcPr>
          <w:p>
            <w:r>
              <w:rPr>
                <w:rFonts w:ascii="Calibri" w:hAnsi="Calibri" w:cs="Calibri"/>
              </w:rPr>
              <w:t xml:space="preserve">2015 Rating</w:t>
            </w:r>
          </w:p>
        </w:tc>
        <w:tc>
          <w:tcPr>
            <w:tcW w:w="8000" w:type="dxa"/>
            <w:shd w:val="clear" w:color="auto" w:fill="#D9D9D9"/>
          </w:tcPr>
          <w:p>
            <w:r>
              <w:rPr>
                <w:rFonts w:ascii="Calibri" w:hAnsi="Calibri" w:cs="Calibri"/>
              </w:rPr>
              <w:t xml:space="preserve">2015 Comments</w:t>
            </w:r>
          </w:p>
        </w:tc>
      </w:tr>
      <w:tr>
        <w:tc>
          <w:tcPr>
            <w:tcW w:w="2000" w:type="dxa"/>
            <w:shd w:val="clear" w:color="auto" w:fill="#D9D9D9"/>
          </w:tcPr>
          <w:p>
            <w:r>
              <w:rPr>
                <w:rFonts w:ascii="Calibri" w:hAnsi="Calibri" w:cs="Calibri"/>
              </w:rPr>
              <w:t xml:space="preserve">Project Manager/Coordinator</w:t>
            </w:r>
          </w:p>
        </w:tc>
        <w:tc>
          <w:tcPr>
            <w:tcW w:w="2000" w:type="dxa"/>
          </w:tcPr>
          <w:p>
            <w:r>
              <w:rPr>
                <w:rFonts w:ascii="Calibri" w:hAnsi="Calibri" w:cs="Calibri"/>
              </w:rPr>
              <w:t xml:space="preserve">Satisfactory</w:t>
            </w:r>
          </w:p>
        </w:tc>
        <w:tc>
          <w:tcPr>
            <w:tcW w:w="8000" w:type="dxa"/>
          </w:tcPr>
          <w:p>
            <w:r>
              <w:rPr>
                <w:rFonts w:ascii="Calibri" w:hAnsi="Calibri" w:cs="Calibri"/>
              </w:rPr>
              <w:t xml:space="preserve">In the first year of PARCS project implementation all the activities were successfully started.
Within the component 1, Output 1.2. financial training and education for a finance representatives from PIs, MENP and SINP was held and the training was rated as very successful by the participants as well as the Ministry of Finance. Under Output 1.3. The project gathered numerous data from individual PIs (in the fields of: finance, procurement, human resources and marketing) and delivered a very important analysis and insights on the business processes and operations of Public Institutions National and Nature parks.
Although, in this reporting period project delivery is not in line with the planned AWP due to political reasons which caused delay with one important activity of establishing a Shared Service Centre for the National and Nature parks (Output 1.3.) with impact on other institutional project activities, respectively to a financial linking of Public institutions with the Ministry of Environmental and Nature Protection (MENP) and State Budget on a system level (Output 1.2.) as well the preparation of a strategic planning framework for national PAs (Output 1.1.). Consequence is an overall low budget delivery in the institutional component of the project since MENP's decision on the legal form for effective management of 19 PIâs is a key issue for the implementation progress of the institutional component.
Current low budget delivery in the component 2 is present only due to a long preparation of project activities (project documentation and various permits) but will be mostly delivered, in the second half of the year, in accordance with the planned AWP.
Cumulative project delivery is on track, with a slight reduction in total planned delivery, since the project risks are managed effectively and alternative project activities are proposed in order to reach the planned.</w:t>
            </w:r>
          </w:p>
        </w:tc>
      </w:tr>
      <w:tr>
        <w:tc>
          <w:tcPr>
            <w:tcW w:w="2000" w:type="dxa"/>
            <w:shd w:val="clear" w:color="auto" w:fill="#D9D9D9"/>
          </w:tcPr>
          <w:p>
            <w:r>
              <w:rPr>
                <w:rFonts w:ascii="Calibri" w:hAnsi="Calibri" w:cs="Calibri"/>
              </w:rPr>
              <w:t xml:space="preserve">UNDP Country Office Programme Officer</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The project implementation progress is rated as satisfactory no matter the budget delivery is low and slow. There are two reasons for low financial delivery: the first is in delayed political decisions on the institutional management set-up of the national protected areas system, which directly influence the implementation of three output 1 activities - on harmonisation of planning, of the financial management and of forming a Shared Service Centre. All the preparatory and all the analytical work has been done by the team, was highly consultative and participatory, in close collaboration with the contracted experts. Still, further business planning, setting-up the financial management system and strategic planning procedures for the parks could not have continued because the final decision by the Ministry has been delayed for months. That is why the bulk of outputs and delivery got on hold after the initial preparations and activities. The team and the office closely monitored the situation, risks were anticipated and noted, there was intensive correspondence with the Ministry and finally the decision was made in the end of June, later discussed and confirmed by the Project Board. This will unfold further implementation of the Component 1 activities, with a revision of activities necessary, to be confirmed with RTA. The second reason for delay in delivery of the second project component is due to the fact that longer preparatory work is necessary to properly prepared TORs for tendering (re)construction-type of works in the selected parks and due to the fact that Croatian Fund for Environment will provide parallel financing of 80% of the investment, so GEF funds are used only to leverage financing from Croatian Fund. The project will be able to do interventions in more parks then planned in the ProDoc development stage, when this possibility of co-financing/parallel financing was not present. So the second component prepared and will implement in the second half of 2015 many interventions: advanced ticketing system in 4 parks based on proven test implemented in one park (test done with national funding); new integrated tourism products in 3 parks and purchase of electric-boats for 3 parks instead for only one; and renovation of administration buildings towards the near-zero-energy buildings in 2 parks, as best practice examples for the others. The project team is adapting swiftly and effectively to all the changes in national protected areas system, is well-networked and connected with key stakeholders. The project is working in maximum synergy with the other activities in the sector, with a forward-looking perspective of building capacities (trainings and mentoring of staff) and catalysing financing from the EU Structural Funds as the project exit-strategy. I am confident the project will be back on track with delivery in 6 months.</w:t>
            </w:r>
          </w:p>
        </w:tc>
      </w:tr>
      <w:tr>
        <w:tc>
          <w:tcPr>
            <w:tcW w:w="2000" w:type="dxa"/>
            <w:shd w:val="clear" w:color="auto" w:fill="#D9D9D9"/>
          </w:tcPr>
          <w:p>
            <w:r>
              <w:rPr>
                <w:rFonts w:ascii="Calibri" w:hAnsi="Calibri" w:cs="Calibri"/>
              </w:rPr>
              <w:t xml:space="preserve">Project Implementing Partner</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GEF Operational Focal point</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Other Partners</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UNDP Technical Advisor</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The projectâs overall efficiency in the reporting period is assessed as âsatisfactoryâ.
Even though the project inception workshop was delayed by 3 months, the projectâs overall efficiency has been compromised. The project completed inception workshop in June 2015, resulting in development of detailed workplans for 2014 and 2015. During its inception phase, the project established a Project Board and already conducted two PB meetings in the reporting period. The PB reviewed and approved the projectâs multi-year workplan as well as its annual workplans.
The project results are consistent with the project work plans and contribute to the project objective as was confirmed by the project beneficiaries and counterparts. As of June 30, 2015, the project disbursed 4% of total GEF funding. Even though it may seem as a negative trend, RTA understands that there are some objective reasons for this delay in delivery. Mainly, (1) delayed political decisions on the institutional management set-up of the national protected areas system directly influenced the implementation of some outputs under Outcome 1; and (2) longer preparatory work needed to properly prepare TORs for tendering (re)construction-type of works in the selected parks and due to the fact that Croatian Fund for Environment will provide parallel financing of 80% of the investment, so GEF funds are used only to leverage financing from Croatian Fund. Key procurement activities under Outcome 2 are expected to be completed in the second half of 2015.
The project team is adapting swiftly and effectively to all the changes in national protected areas system, is well-networked and connected with key stakeholders. 
Financial transactions, reporting and auditing are carried out in compliance with national regulations and established UNDP rules and procedures for national project execution. Activity progress was regularly reported and well-documented in quarterly and annual progress reports, usually linked to logistical framework indicators. UNDP has also monitored the Project through numerous field visits and project board meetings.
The project had one critical risk (political) this reporting period. To manage the risk, the project developed a set of mitigation measures, which are implemented according. The risk is being closely monitored by the project team and UNDP CO given that the projectâs overall success depends on political decisions and will.</w:t>
            </w:r>
          </w:p>
        </w:tc>
      </w:tr>
    </w:tbl>
    <w:p/>
    <w:p>
      <w:pPr>
        <w:pStyle w:val="Heading1"/>
      </w:pPr>
      <w:r>
        <w:fldChar w:fldCharType="end"/>
      </w:r>
      <w:bookmarkStart w:id="1215" w:name="_Toc252635370"/>
      <w:r>
        <w:t>G.   Project Planning</w:t>
      </w:r>
      <w:bookmarkEnd w:id="1215"/>
    </w:p>
    <w:tbl>
      <w:tblPr>
        <w:tblStyle w:val="myOwnTableStyle"/>
      </w:tblPr>
      <w:tr>
        <w:tc>
          <w:tcPr>
            <w:tcW w:w="3000" w:type="dxa"/>
            <w:shd w:val="clear" w:color="auto" w:fill="#D9D9D9"/>
          </w:tcPr>
          <w:p>
            <w:r>
              <w:rPr>
                <w:rFonts w:ascii="Calibri" w:hAnsi="Calibri" w:cs="Calibri"/>
                <w:b/>
              </w:rPr>
              <w:t xml:space="preserve">Key project milestone</w:t>
            </w:r>
          </w:p>
        </w:tc>
        <w:tc>
          <w:tcPr>
            <w:tcW w:w="4000" w:type="dxa"/>
            <w:shd w:val="clear" w:color="auto" w:fill="#D9D9D9"/>
          </w:tcPr>
          <w:p>
            <w:r>
              <w:rPr>
                <w:rFonts w:ascii="Calibri" w:hAnsi="Calibri" w:cs="Calibri"/>
                <w:b/>
              </w:rPr>
              <w:t xml:space="preserve">Status</w:t>
            </w:r>
          </w:p>
        </w:tc>
        <w:tc>
          <w:tcPr>
            <w:tcW w:w="5000" w:type="dxa"/>
            <w:shd w:val="clear" w:color="auto" w:fill="#D9D9D9"/>
          </w:tcPr>
          <w:p>
            <w:r>
              <w:rPr>
                <w:rFonts w:ascii="Calibri" w:hAnsi="Calibri" w:cs="Calibri"/>
                <w:b/>
              </w:rPr>
              <w:t xml:space="preserve">Original Planned Date (Month/Year)</w:t>
            </w:r>
          </w:p>
        </w:tc>
        <w:tc>
          <w:tcPr>
            <w:tcW w:w="5000" w:type="dxa"/>
            <w:shd w:val="clear" w:color="auto" w:fill="#D9D9D9"/>
          </w:tcPr>
          <w:p>
            <w:r>
              <w:rPr>
                <w:rFonts w:ascii="Calibri" w:hAnsi="Calibri" w:cs="Calibri"/>
                <w:b/>
              </w:rPr>
              <w:t xml:space="preserve">Actual or Expected Date (Month/Year)</w:t>
            </w:r>
          </w:p>
        </w:tc>
        <w:tc>
          <w:tcPr>
            <w:tcW w:w="5000" w:type="dxa"/>
            <w:shd w:val="clear" w:color="auto" w:fill="#D9D9D9"/>
          </w:tcPr>
          <w:p>
            <w:r>
              <w:rPr>
                <w:rFonts w:ascii="Calibri" w:hAnsi="Calibri" w:cs="Calibri"/>
                <w:b/>
              </w:rPr>
              <w:t xml:space="preserve">Comments</w:t>
            </w:r>
          </w:p>
        </w:tc>
      </w:tr>
      <w:tr>
        <w:tc>
          <w:tcPr>
            <w:tcW w:w="3000" w:type="dxa"/>
          </w:tcPr>
          <w:p>
            <w:r>
              <w:rPr>
                <w:rFonts w:ascii="Calibri" w:hAnsi="Calibri" w:cs="Calibri"/>
                <w:b/>
              </w:rPr>
              <w:t xml:space="preserve">Inception Workshop</w:t>
            </w:r>
          </w:p>
        </w:tc>
        <w:tc>
          <w:tcPr>
            <w:tcW w:w="4000" w:type="dxa"/>
          </w:tcPr>
          <w:p>
            <w:r>
              <w:rPr>
                <w:rFonts w:ascii="Calibri" w:hAnsi="Calibri" w:cs="Calibri"/>
                <w:b/>
              </w:rPr>
              <w:t xml:space="preserve">delayed/completed</w:t>
            </w:r>
          </w:p>
        </w:tc>
        <w:tc>
          <w:tcPr>
            <w:tcW w:w="5000" w:type="dxa"/>
          </w:tcPr>
          <w:p>
            <w:r>
              <w:rPr>
                <w:rFonts w:ascii="Calibri" w:hAnsi="Calibri" w:cs="Calibri"/>
                <w:b/>
              </w:rPr>
              <w:t xml:space="preserve">April - 2014</w:t>
            </w:r>
          </w:p>
        </w:tc>
        <w:tc>
          <w:tcPr>
            <w:tcW w:w="5000" w:type="dxa"/>
          </w:tcPr>
          <w:p>
            <w:r>
              <w:rPr>
                <w:rFonts w:ascii="Calibri" w:hAnsi="Calibri" w:cs="Calibri"/>
                <w:b/>
              </w:rPr>
              <w:t xml:space="preserve">June - 2014</w:t>
            </w:r>
          </w:p>
        </w:tc>
        <w:tc>
          <w:tcPr>
            <w:tcW w:w="5000" w:type="dxa"/>
          </w:tcPr>
          <w:p>
            <w:r>
              <w:rPr>
                <w:rFonts w:ascii="Calibri" w:hAnsi="Calibri" w:cs="Calibri"/>
                <w:b/>
              </w:rPr>
              <w:t xml:space="preserve">Recruitment process for the Project Manager was open on December 5, 2013. As soon as the project team was compliled (May 15, 2014), Inception workshop was organized within period of one month (June 17, 2014).</w:t>
            </w:r>
          </w:p>
        </w:tc>
      </w:tr>
      <w:tr>
        <w:tc>
          <w:tcPr>
            <w:tcW w:w="3000" w:type="dxa"/>
          </w:tcPr>
          <w:p>
            <w:r>
              <w:t xml:space="preserve">Mid-term Review</w:t>
            </w:r>
          </w:p>
        </w:tc>
        <w:tc>
          <w:tcPr>
            <w:tcW w:w="4000" w:type="dxa"/>
          </w:tcPr>
          <w:p>
            <w:r>
              <w:t xml:space="preserve"/>
            </w:r>
          </w:p>
        </w:tc>
        <w:tc>
          <w:tcPr>
            <w:tcW w:w="5000" w:type="dxa"/>
          </w:tcPr>
          <w:p>
            <w:r>
              <w:t xml:space="preserve"> - </w:t>
            </w:r>
          </w:p>
        </w:tc>
        <w:tc>
          <w:tcPr>
            <w:tcW w:w="5000" w:type="dxa"/>
          </w:tcPr>
          <w:p>
            <w:r>
              <w:t xml:space="preserve"> - </w:t>
            </w:r>
          </w:p>
        </w:tc>
        <w:tc>
          <w:tcPr>
            <w:tcW w:w="5000" w:type="dxa"/>
          </w:tcPr>
          <w:p>
            <w:r>
              <w:t xml:space="preserve"/>
            </w:r>
          </w:p>
        </w:tc>
      </w:tr>
      <w:tr>
        <w:tc>
          <w:tcPr>
            <w:tcW w:w="3000" w:type="dxa"/>
          </w:tcPr>
          <w:p>
            <w:r>
              <w:t xml:space="preserve">Terminal Evaluation</w:t>
            </w:r>
          </w:p>
        </w:tc>
        <w:tc>
          <w:tcPr>
            <w:tcW w:w="4000" w:type="dxa"/>
          </w:tcPr>
          <w:p>
            <w:r>
              <w:t xml:space="preserve"/>
            </w:r>
          </w:p>
        </w:tc>
        <w:tc>
          <w:tcPr>
            <w:tcW w:w="5000" w:type="dxa"/>
          </w:tcPr>
          <w:p>
            <w:r>
              <w:t xml:space="preserve"> - </w:t>
            </w:r>
          </w:p>
        </w:tc>
        <w:tc>
          <w:tcPr>
            <w:tcW w:w="5000" w:type="dxa"/>
          </w:tcPr>
          <w:p>
            <w:r>
              <w:t xml:space="preserve"> - </w:t>
            </w:r>
          </w:p>
        </w:tc>
        <w:tc>
          <w:tcPr>
            <w:tcW w:w="5000" w:type="dxa"/>
          </w:tcPr>
          <w:p>
            <w:r>
              <w:t xml:space="preserve"/>
            </w:r>
          </w:p>
        </w:tc>
      </w:tr>
    </w:tbl>
    <w:p/>
    <w:p>
      <w:pPr>
        <w:pStyle w:val="Heading1"/>
      </w:pPr>
      <w:r>
        <w:fldChar w:fldCharType="end"/>
      </w:r>
      <w:bookmarkStart w:id="1216" w:name="_Toc252635371"/>
      <w:r>
        <w:t>H.   Critical Risk Management</w:t>
      </w:r>
      <w:bookmarkEnd w:id="1216"/>
    </w:p>
    <w:tbl>
      <w:tblPr>
        <w:tblStyle w:val="myOwnTableStyle"/>
      </w:tblPr>
      <w:tr>
        <w:tc>
          <w:tcPr>
            <w:tcW w:w="5000" w:type="dxa"/>
            <w:vAlign w:val="center"/>
          </w:tcPr>
          <w:p>
            <w:r>
              <w:rPr>
                <w:rFonts w:ascii="Calibri" w:hAnsi="Calibri" w:cs="Calibri"/>
              </w:rPr>
              <w:t xml:space="preserve">Critical Risks Type(s)</w:t>
            </w:r>
          </w:p>
        </w:tc>
        <w:tc>
          <w:tcPr>
            <w:tcW w:w="7000" w:type="dxa"/>
            <w:vAlign w:val="center"/>
          </w:tcPr>
          <w:p>
            <w:r>
              <w:rPr>
                <w:rFonts w:ascii="Calibri" w:hAnsi="Calibri" w:cs="Calibri"/>
              </w:rPr>
              <w:t xml:space="preserve">Critical Risk Management Measures Undertaken in 2015</w:t>
            </w:r>
          </w:p>
        </w:tc>
      </w:tr>
      <w:tr>
        <w:tc>
          <w:tcPr>
            <w:tcW w:w="5000" w:type="dxa"/>
          </w:tcPr>
          <w:p>
            <w:r>
              <w:t xml:space="preserve">Political</w:t>
            </w:r>
          </w:p>
        </w:tc>
        <w:tc>
          <w:tcPr>
            <w:tcW w:w="7000" w:type="dxa"/>
          </w:tcPr>
          <w:p>
            <w:r>
              <w:t xml:space="preserve">Implementation of institutional component of the project is being delayed as the Ministry of Environmental and Nature Protection has changed a decision on the institutional model for management of the 19 Public Institutions National and Nature Parks between two models: (i) improved business as usual through establishment of the association of public institutions (Shared Service Centre) or (ii) dissolving 19 PIs and establishment of a new public institution as a single park agency.
The first agreed model was establishment of association of public institutions for improvement of critical business processes detected in 19 PIs (legal issues, procurement, marketing and promotion activities and project preparation). The PARCS project implemented all needed steps on the agreed institutional reform. Necessary documents were ready in December 2014, preparatory meeting with all presidents of the Management boards of 19 PIs was held in February 2015 and finally on April 13th the Agreement on forming the Association of PIs has been signed by 18 PIs. The youngest park which heavily depends on the State Budget, Nature Park Lastovsko otocje has not made a necessary decision, thus blocked establishment of association.
In order to unblock the progress, the Minister has been urged by UNDP to make a strategic decision on institutional reform, not later than by the end of June 2015 (written communication from 6th May and 23rd June attached).
On June 29th the meeting was held with the Minister and the Assistant Minister where the change of decision towards the establishment of a single Park Agency (PA) was presented to UNDP.
The Project Board meeting was held afterwards (in absence of Assistant Minister/Project director) on 8th July, and the change of institutional model wasn't confirmed because the background for a change and time frame for the implementation of needed activities wasn't developed in sufficient details.
The Project Board asked for an urgent meeting with the Assistant minister, which was held on 23rd July and which resulted with the confirmation of a decision on establishing of one single Public institution (the Agency) for management of the national system of 19 protected Areas during the autumn 2015. Planned operational start of a new joint institution of existing PIs is January 2017.
It is important to note that PARCS project team continuously pushed for a final decision to be able to adapt the projectâs work plan as to ensure delivery and completion within the four year time frame of the project and to avoid jeopardizing the implementation and delivery of the project.
Furthermore, as the parliamentary elections will be held at the beginning of the 2016, in the case of change of current Government, we believe that the political risk will be mitigated as all the Governmental decisions for institutional changes will be made during September 2015.</w:t>
            </w:r>
          </w:p>
        </w:tc>
      </w:tr>
    </w:tbl>
    <w:p/>
    <w:p>
      <w:pPr>
        <w:pStyle w:val="Heading1"/>
      </w:pPr>
      <w:r>
        <w:fldChar w:fldCharType="end"/>
      </w:r>
      <w:bookmarkStart w:id="1217" w:name="_Toc252635372"/>
      <w:r>
        <w:t>I.    Environmental and Social Grievances</w:t>
      </w:r>
      <w:bookmarkEnd w:id="1217"/>
    </w:p>
    <w:tbl>
      <w:tblPr>
        <w:tblStyle w:val="myOwnTableStyle"/>
      </w:tblPr>
      <w:tr>
        <w:tc>
          <w:tcPr>
            <w:tcW w:w="3000" w:type="dxa"/>
            <w:shd w:val="clear" w:color="auto" w:fill="#D9D9D9"/>
          </w:tcPr>
          <w:p>
            <w:r>
              <w:rPr>
                <w:rFonts w:ascii="Calibri" w:hAnsi="Calibri" w:cs="Calibri"/>
              </w:rPr>
              <w:t xml:space="preserve">Related environmental or social issue</w:t>
            </w:r>
          </w:p>
        </w:tc>
        <w:tc>
          <w:tcPr>
            <w:tcW w:w="8000" w:type="dxa"/>
          </w:tcPr>
          <w:p>
            <w:r>
              <w:t xml:space="preserve">Grievance was not related to an environmental or social issue.</w:t>
            </w:r>
          </w:p>
        </w:tc>
      </w:tr>
      <w:tr>
        <w:tc>
          <w:tcPr>
            <w:tcW w:w="3000" w:type="dxa"/>
            <w:shd w:val="clear" w:color="auto" w:fill="#D9D9D9"/>
          </w:tcPr>
          <w:p>
            <w:r>
              <w:rPr>
                <w:rFonts w:ascii="Calibri" w:hAnsi="Calibri" w:cs="Calibri"/>
              </w:rPr>
              <w:t xml:space="preserve">Status</w:t>
            </w:r>
          </w:p>
        </w:tc>
        <w:tc>
          <w:tcPr>
            <w:tcW w:w="8000" w:type="dxa"/>
          </w:tcPr>
          <w:p>
            <w:r>
              <w:t xml:space="preserve"/>
            </w:r>
          </w:p>
        </w:tc>
      </w:tr>
      <w:tr>
        <w:tc>
          <w:tcPr>
            <w:tcW w:w="3000" w:type="dxa"/>
            <w:shd w:val="clear" w:color="auto" w:fill="#D9D9D9"/>
          </w:tcPr>
          <w:p>
            <w:r>
              <w:rPr>
                <w:rFonts w:ascii="Calibri" w:hAnsi="Calibri" w:cs="Calibri"/>
              </w:rPr>
              <w:t xml:space="preserve">Significance</w:t>
            </w:r>
          </w:p>
        </w:tc>
        <w:tc>
          <w:tcPr>
            <w:tcW w:w="8000" w:type="dxa"/>
          </w:tcPr>
          <w:p>
            <w:r>
              <w:t xml:space="preserve"/>
            </w:r>
          </w:p>
        </w:tc>
      </w:tr>
      <w:tr>
        <w:tc>
          <w:tcPr>
            <w:tcW w:w="3000" w:type="dxa"/>
            <w:shd w:val="clear" w:color="auto" w:fill="#D9D9D9"/>
          </w:tcPr>
          <w:p>
            <w:r>
              <w:rPr>
                <w:rFonts w:ascii="Calibri" w:hAnsi="Calibri" w:cs="Calibri"/>
              </w:rPr>
              <w:t xml:space="preserve">Detailed description</w:t>
            </w:r>
          </w:p>
        </w:tc>
        <w:tc>
          <w:tcPr>
            <w:tcW w:w="8000" w:type="dxa"/>
          </w:tcPr>
          <w:p>
            <w:r>
              <w:t xml:space="preserve"/>
            </w:r>
          </w:p>
        </w:tc>
      </w:tr>
    </w:tbl>
    <w:p/>
    <w:p/>
    <w:p>
      <w:pPr>
        <w:pStyle w:val="Heading1"/>
      </w:pPr>
      <w:r>
        <w:fldChar w:fldCharType="end"/>
      </w:r>
      <w:bookmarkStart w:id="1218" w:name="_Toc252635373"/>
      <w:r>
        <w:t>J.   Communicating Impact </w:t>
      </w:r>
      <w:bookmarkEnd w:id="1218"/>
    </w:p>
    <w:tbl>
      <w:tblPr>
        <w:tblStyle w:val="myOwnTableStyle"/>
      </w:tblPr>
      <w:tr>
        <w:tc>
          <w:tcPr>
            <w:tcW w:w="11000" w:type="dxa"/>
            <w:shd w:val="clear" w:color="auto" w:fill="#D9D9D9"/>
          </w:tcPr>
          <w:p>
            <w:r>
              <w:rPr>
                <w:rFonts w:ascii="Calibri" w:hAnsi="Calibri" w:cs="Calibri"/>
              </w:rPr>
              <w:t xml:space="preserve">Tell us the story of the project focusing on how the project has helped to improve peoples lives.</w:t>
            </w:r>
          </w:p>
        </w:tc>
      </w:tr>
      <w:tr>
        <w:tc>
          <w:tcPr>
            <w:tcW w:w="11000" w:type="dxa"/>
          </w:tcPr>
          <w:p>
            <w:r>
              <w:t xml:space="preserve">Tapping the potential of Croatiaâs biodiversity
âThe future for Croatiaâs beautiful nature parks is looking a lot brighter with this new project,â says Tajana Ban Curic, a 37-year-old conservation manager employed in the Medvednica Nature Park. âItâs a huge investment and weâre all hopeful itâs going to transform the way our country manages these precious protected areas.â
Tajana has worked for 10 years at the Medvednica Nature Park, one of some 420 protected areas in Croatia that covers 12% of the nationâs inland territory and 2% of its seacoast. âWeâve been waiting a long time for such a change,â she says, âAnd now this project is committed to solving the most fundamental problems that face our parksâpulling them together into one integrated system of management. Thatâs crucial because a lot of the problems stemmed from the way our parks were disconnected from each other, with huge disparities in revenues and access to funding, lots of duplicated tasks and no savings from economies of scale. The way things are now, some of the popular parks have enough money to offer different activities and carry out research while many others struggle just to surviveâespecially the ones that depend on the state budget. These big differences in income donât leave the majority of parks with many opportunities for development and investment.â
Over the next four years, UNDP will be implementing the PARCS project in partnership with the Ministry of Environmental and Nature Protection to strengthen the management of the countryâs 19 most important parks. The project has been made possible due to generous funding from the Global Environment Facility (GEF), worth USD 4.9 million, as well as USD 500,000 in direct funding from UNDP Croatia. The GEF investment has catalyzed another USD 18 million in investment from various government sources.
âTo preserve our most valuable resources and biodiversity for future generations it is essential to invest in the development of protected areas,â says Valentina Futac, UNDPâs Project Manager. âWith the PARCS project we have a great opportunity to improve the infrastructure of the parks and make the whole system financially self-sufficient and sustainable, while also improving the skills and development capacities for staff currently employed in the parks. The countryâs protected areas are much more than preserves of breathtaking natureâthey are vital to all the species that live in them and to the human population. The changes we are implementing will give these areas equal opportunities for development.â
The project has been designed to help the entire national system of protected areas self-sustainable, by introducing redistribution mechanisms to achieve even distribution of resources. It will also introduce a uniform ticketing system and standardization of some joint functions through a shared service centre. Park staff will receive specialized financial and administrative trainings.
âWe want to strengthen our 19 national and nature parks and enable them to fulfil their development potential,â said Mihael Zmajlovic, the Minister of Environmental and Nature Protection, speaking at a press conference held to mark World Environmental Protection Day. âTo accomplish this goal,â he added, âit is necessary to improve the model of protected areas management and investment in infrastructure. This is exactly what will be done through the PARCS project.â</w:t>
            </w:r>
          </w:p>
        </w:tc>
      </w:tr>
      <w:tr>
        <w:tc>
          <w:tcPr>
            <w:tcW w:w="11000" w:type="dxa"/>
            <w:shd w:val="clear" w:color="auto" w:fill="#D9D9D9"/>
          </w:tcPr>
          <w:p>
            <w:r>
              <w:rPr>
                <w:rFonts w:ascii="Calibri" w:hAnsi="Calibri" w:cs="Calibri"/>
              </w:rPr>
              <w:t xml:space="preserve">What is the most significant change that has resulted from the project this reporting period?</w:t>
            </w:r>
          </w:p>
        </w:tc>
      </w:tr>
      <w:tr>
        <w:tc>
          <w:tcPr>
            <w:tcW w:w="11000" w:type="dxa"/>
          </w:tcPr>
          <w:p>
            <w:r>
              <w:t xml:space="preserve">Most significant change of the project in reporting period is enhancement of communication, which created possibility for exchange of best practices.  
Park directors meetings are being held once a month (each time in a different protected area). This offers an opportunity for all park managers to learn from each other experiences and to join efforts in achieving similar results. 
Opening of communications between individual PIs, Ministry of Environmental and Nature Protection and Ministry of Finance has resulted with resolving open questions and standardizing operational procedures and reporting.</w:t>
            </w:r>
          </w:p>
        </w:tc>
      </w:tr>
      <w:tr>
        <w:tc>
          <w:tcPr>
            <w:tcW w:w="11000" w:type="dxa"/>
            <w:shd w:val="clear" w:color="auto" w:fill="#D9D9D9"/>
          </w:tcPr>
          <w:p>
            <w:r>
              <w:rPr>
                <w:rFonts w:ascii="Calibri" w:hAnsi="Calibri" w:cs="Calibri"/>
              </w:rPr>
              <w:t xml:space="preserve">Describe how the project supported South-South Cooperation and Triangular Cooperation efforts in the reporting year.</w:t>
            </w:r>
          </w:p>
        </w:tc>
      </w:tr>
      <w:tr>
        <w:tc>
          <w:tcPr>
            <w:tcW w:w="11000" w:type="dxa"/>
          </w:tcPr>
          <w:p>
            <w:r>
              <w:t xml:space="preserve">Project did not supported South-South Cooperation and Triangular Cooperation in reporting year.</w:t>
            </w:r>
          </w:p>
        </w:tc>
      </w:tr>
    </w:tbl>
    <w:p/>
    <w:p/>
    <w:p>
      <w:pPr>
        <w:pStyle w:val="Heading1"/>
      </w:pPr>
      <w:r>
        <w:fldChar w:fldCharType="end"/>
      </w:r>
      <w:bookmarkStart w:id="1219" w:name="_Toc252635374"/>
      <w:r>
        <w:t>K.    Partnerships</w:t>
      </w:r>
      <w:bookmarkEnd w:id="1219"/>
    </w:p>
    <w:tbl>
      <w:tblPr>
        <w:tblStyle w:val="myOwnTableStyle"/>
      </w:tblPr>
      <w:tr>
        <w:tc>
          <w:tcPr>
            <w:tcW w:w="2000" w:type="dxa"/>
            <w:shd w:val="clear" w:color="auto" w:fill="#D9D9D9"/>
          </w:tcPr>
          <w:p>
            <w:r>
              <w:rPr>
                <w:rFonts w:ascii="Calibri" w:hAnsi="Calibri" w:cs="Calibri"/>
              </w:rPr>
              <w:t xml:space="preserve">Partners</w:t>
            </w:r>
          </w:p>
        </w:tc>
        <w:tc>
          <w:tcPr>
            <w:tcW w:w="10000" w:type="dxa"/>
            <w:shd w:val="clear" w:color="auto" w:fill="#D9D9D9"/>
          </w:tcPr>
          <w:p>
            <w:r>
              <w:rPr>
                <w:rFonts w:ascii="Calibri" w:hAnsi="Calibri" w:cs="Calibri"/>
              </w:rPr>
              <w:t xml:space="preserve">Innovation and Work with Partners</w:t>
            </w:r>
          </w:p>
        </w:tc>
      </w:tr>
      <w:tr>
        <w:tc>
          <w:tcPr>
            <w:tcW w:w="2000" w:type="dxa"/>
            <w:shd w:val="clear" w:color="auto" w:fill="#D9D9D9"/>
          </w:tcPr>
          <w:p>
            <w:r>
              <w:rPr>
                <w:rFonts w:ascii="Calibri" w:hAnsi="Calibri" w:cs="Calibri"/>
              </w:rPr>
              <w:t xml:space="preserve">Civil Society Organisations/NGOs</w:t>
            </w:r>
          </w:p>
        </w:tc>
        <w:tc>
          <w:tcPr>
            <w:tcW w:w="10000" w:type="dxa"/>
          </w:tcPr>
          <w:p>
            <w:r>
              <w:t xml:space="preserve">WWF Mediterranean Programme Office in Italy--The cooperation for exchange of experience between WWF and PARCS project has been agreed. A 3 day meeting in November 2014 in the Natural marine reserve of Miramare was held.
Association Sunce--Cooperation and coordination of activities between PARCS project and association Sunce on implementation of Project SEA-Med Croatia, that is a continuation of successfully conducted MedPAN South pilot project, was agreed. The SEA-Med project deals with development of sustainable economic activities in nature parks Telascica and Lastovo Archipelago that include implementation of the Management Plans of Lastovo Archipelago and Telascica nature parks; developing a sustainable tourism plan to advance sustainable tourism practices, promote nature-based tourism initiative, and identify MPA financing mechanisms; as well as promote sustainable fisheries.</w:t>
            </w:r>
          </w:p>
        </w:tc>
      </w:tr>
      <w:tr>
        <w:tc>
          <w:tcPr>
            <w:tcW w:w="2000" w:type="dxa"/>
            <w:shd w:val="clear" w:color="auto" w:fill="#D9D9D9"/>
          </w:tcPr>
          <w:p>
            <w:r>
              <w:rPr>
                <w:rFonts w:ascii="Calibri" w:hAnsi="Calibri" w:cs="Calibri"/>
              </w:rPr>
              <w:t xml:space="preserve">Indigenous Peoples</w:t>
            </w:r>
          </w:p>
        </w:tc>
        <w:tc>
          <w:tcPr>
            <w:tcW w:w="10000" w:type="dxa"/>
          </w:tcPr>
          <w:p>
            <w:r>
              <w:t xml:space="preserve">N/A</w:t>
            </w:r>
          </w:p>
        </w:tc>
      </w:tr>
      <w:tr>
        <w:tc>
          <w:tcPr>
            <w:tcW w:w="5500" w:type="dxa"/>
            <w:shd w:val="clear" w:color="auto" w:fill="#D9D9D9"/>
          </w:tcPr>
          <w:p>
            <w:r>
              <w:rPr>
                <w:rFonts w:ascii="Calibri" w:hAnsi="Calibri" w:cs="Calibri"/>
              </w:rPr>
              <w:t xml:space="preserve">Private Sector</w:t>
            </w:r>
          </w:p>
        </w:tc>
        <w:tc>
          <w:tcPr>
            <w:tcW w:w="5500" w:type="dxa"/>
          </w:tcPr>
          <w:p>
            <w:r>
              <w:t xml:space="preserve">Slobodna Dalmacija d.d., Split--In cooperation with newspaper Slobodna Dalmacija an online sale of entrance tickets for National and Nature Parks has been agreed. The ticket sales is done through newly established Croatia Tickets web portal http://www.croatia-tickets.com.
Also, it was agreed to distribute a brochure with basic information on National and Nature Parks in Croatian newspapers. The distribution is expected in July/August 2015. As Slobodna Dalmacija d.d. is a member of the national newspaper holding company - Europa press holding from Zagreb, the developed brochure will be distributed in other newspapers of the holding company.</w:t>
            </w:r>
          </w:p>
        </w:tc>
      </w:tr>
      <w:tr>
        <w:tc>
          <w:tcPr>
            <w:tcW w:w="5500" w:type="dxa"/>
            <w:shd w:val="clear" w:color="auto" w:fill="#D9D9D9"/>
          </w:tcPr>
          <w:p>
            <w:r>
              <w:rPr>
                <w:rFonts w:ascii="Calibri" w:hAnsi="Calibri" w:cs="Calibri"/>
              </w:rPr>
              <w:t xml:space="preserve">GEF Small Grants Programme</w:t>
            </w:r>
          </w:p>
        </w:tc>
        <w:tc>
          <w:tcPr>
            <w:tcW w:w="5500" w:type="dxa"/>
          </w:tcPr>
          <w:p>
            <w:r>
              <w:t xml:space="preserve">N/A</w:t>
            </w:r>
          </w:p>
        </w:tc>
      </w:tr>
      <w:tr>
        <w:tc>
          <w:tcPr>
            <w:tcW w:w="5500" w:type="dxa"/>
            <w:shd w:val="clear" w:color="auto" w:fill="#D9D9D9"/>
          </w:tcPr>
          <w:p>
            <w:r>
              <w:rPr>
                <w:rFonts w:ascii="Calibri" w:hAnsi="Calibri" w:cs="Calibri"/>
              </w:rPr>
              <w:t xml:space="preserve">Other Partners</w:t>
            </w:r>
          </w:p>
        </w:tc>
        <w:tc>
          <w:tcPr>
            <w:tcW w:w="5500" w:type="dxa"/>
          </w:tcPr>
          <w:p>
            <w:r>
              <w:t xml:space="preserve">Environmental protection and energy efficiency fund (EPEEF)--EPEEF will support PARCS project implementation and secure co-financing of up to 80 % of needed funds for implementation of specific project activities. To apply for co-financing Public institutions that are governing the protected areas will do tendering process and apply directly to EPEEF. In this case, PARCS project will provide the rest of needed financial means to implement project.
World Bank project: European Union Natura 2000 Integration Project (NIP)--NIP and PARCS project will coordinate activities in order to reach more sustainable process and increase the targeted results. The areas of cooperation include: strengthening the management capacities, improvement of the coordination between institutions and preparation and implementation of investment projects in protected areas.
Ministry of Finance (MF)--Cooperation with MF was established in the area of improvement of the financial management capacity of protected area institutions by development of standard approach, rules and procedures in accounting processes and trainings.
Ministry of Tourism (MT) / Croatian national Tourist Board (HTZ)--MT and HTZ have been approached in order to agree on cooperation to improve advertising protected areas in Croatia as one system including 19 National and Nature Parks rather than as individual institutions, which is what's happening today.
North-west Croatia Regional Energy Agency (REGEA)--REGEA received a contract from Ministry of Environmental and Nature Protection for development of National plan of increase of usage or renewable energy sources and improvement of energy efficiency in protected areas in Croatia. Their work will be coordinated with PARCS project activities.</w:t>
            </w:r>
          </w:p>
        </w:tc>
      </w:tr>
    </w:tbl>
    <w:p/>
    <w:p/>
    <w:p>
      <w:pPr>
        <w:pStyle w:val="Heading1"/>
      </w:pPr>
      <w:r>
        <w:fldChar w:fldCharType="end"/>
      </w:r>
      <w:bookmarkStart w:id="1220" w:name="_Toc252635375"/>
      <w:r>
        <w:t>L.    Progress toward Gender Equality</w:t>
      </w:r>
      <w:bookmarkEnd w:id="1220"/>
    </w:p>
    <w:tbl>
      <w:tblPr>
        <w:tblStyle w:val="myOwnTableStyle"/>
      </w:tblPr>
      <w:tr>
        <w:tc>
          <w:tcPr>
            <w:tcW w:w="1800" w:type="dxa"/>
            <w:shd w:val="clear" w:color="auto" w:fill="#D9D9D9"/>
          </w:tcPr>
          <w:p>
            <w:r>
              <w:rPr>
                <w:rFonts w:ascii="Calibri" w:hAnsi="Calibri" w:cs="Calibri"/>
              </w:rPr>
              <w:t xml:space="preserve">Has a gender or social assessment been carried out this reporting period?</w:t>
            </w:r>
          </w:p>
        </w:tc>
        <w:tc>
          <w:tcPr>
            <w:tcW w:w="9000" w:type="dxa"/>
          </w:tcPr>
          <w:p>
            <w:r>
              <w:rPr>
                <w:rFonts w:ascii="Calibri" w:hAnsi="Calibri" w:cs="Calibri"/>
              </w:rPr>
              <w:t xml:space="preserve">No</w:t>
            </w:r>
          </w:p>
        </w:tc>
      </w:tr>
      <w:tr>
        <w:tc>
          <w:tcPr>
            <w:tcW w:w="1800" w:type="dxa"/>
            <w:shd w:val="clear" w:color="auto" w:fill="#D9D9D9"/>
          </w:tcPr>
          <w:p>
            <w:r>
              <w:rPr>
                <w:rFonts w:ascii="Calibri" w:hAnsi="Calibri" w:cs="Calibri"/>
              </w:rPr>
              <w:t xml:space="preserve">If a gender or social assessment has been carried out what where the findings?</w:t>
            </w:r>
          </w:p>
        </w:tc>
        <w:tc>
          <w:tcPr>
            <w:tcW w:w="9000" w:type="dxa"/>
          </w:tcPr>
          <w:p>
            <w:r>
              <w:rPr>
                <w:rFonts w:ascii="Calibri" w:hAnsi="Calibri" w:cs="Calibri"/>
              </w:rPr>
              <w:t xml:space="preserve">Basic gender assessment has been carried out within profiles of managers and management boards in Public institutions National and Nature parks which are key beneficiaries of the project. Findings include:
-	Within the 19 Public institutions National and Nature parks there are 7 female managers and 12 male managers
-	Distribution within the 7 female managers is: 3 National parks and 4 Nature parks
-	The richest and the world's most famous Croatian National park (PlitviÄka jezera) is managed by female
-	Within the 19 Public institutions National and Nature parks there are 5 female and 12 male presidents of Management boards
-	Distribution within the 5 female presidents is: 1 National park and 4 Nature parks
Key findings of a gender assessment in public institutions National and Nature parks were presented to a UNDP Croatia staff members on the eve of Women's Day in Croatia celebrated on the  8th of March.</w:t>
            </w:r>
          </w:p>
        </w:tc>
      </w:tr>
      <w:tr>
        <w:tc>
          <w:tcPr>
            <w:tcW w:w="1800" w:type="dxa"/>
            <w:shd w:val="clear" w:color="auto" w:fill="#D9D9D9"/>
          </w:tcPr>
          <w:p>
            <w:r>
              <w:rPr>
                <w:rFonts w:ascii="Calibri" w:hAnsi="Calibri" w:cs="Calibri"/>
              </w:rPr>
              <w:t xml:space="preserve">Does this project specifically target woman or girls as direct beneficiaries?</w:t>
            </w:r>
          </w:p>
        </w:tc>
        <w:tc>
          <w:tcPr>
            <w:tcW w:w="9000" w:type="dxa"/>
          </w:tcPr>
          <w:p>
            <w:r>
              <w:rPr>
                <w:rFonts w:ascii="Calibri" w:hAnsi="Calibri" w:cs="Calibri"/>
              </w:rPr>
              <w:t xml:space="preserve">No</w:t>
            </w:r>
          </w:p>
        </w:tc>
      </w:tr>
      <w:tr>
        <w:tc>
          <w:tcPr>
            <w:tcW w:w="1800" w:type="dxa"/>
            <w:shd w:val="clear" w:color="auto" w:fill="#D9D9D9"/>
          </w:tcPr>
          <w:p>
            <w:r>
              <w:rPr>
                <w:rFonts w:ascii="Calibri" w:hAnsi="Calibri" w:cs="Calibri"/>
              </w:rPr>
              <w:t xml:space="preserve">Please specify results achieved this reporting period that focus on increasing gender equality and improving the empowerment of women.</w:t>
            </w:r>
          </w:p>
        </w:tc>
        <w:tc>
          <w:tcPr>
            <w:tcW w:w="9000" w:type="dxa"/>
          </w:tcPr>
          <w:p>
            <w:r>
              <w:rPr>
                <w:rFonts w:ascii="Calibri" w:hAnsi="Calibri" w:cs="Calibri"/>
              </w:rPr>
              <w:t xml:space="preserve"/>
            </w:r>
          </w:p>
        </w:tc>
      </w:tr>
    </w:tbl>
    <w:p/>
    <w:p>
      <w:r>
        <w:br w:type="page"/>
      </w:r>
    </w:p>
    <w:p>
      <w:pPr>
        <w:pStyle w:val="Heading1"/>
      </w:pPr>
      <w:r>
        <w:fldChar w:fldCharType="end"/>
      </w:r>
      <w:bookmarkStart w:id="1221" w:name="_Toc252635376"/>
      <w:r>
        <w:t>M.    Annex 1 - Ratings Definitions</w:t>
      </w:r>
      <w:bookmarkEnd w:id="1221"/>
    </w:p>
    <w:p>
      <w:r>
        <w:rPr>
          <w:rFonts w:ascii="Calibri" w:hAnsi="Calibri" w:cs="Calibri"/>
          <w:sz w:val="22"/>
          <w:szCs w:val="22"/>
          <w:b/>
        </w:rPr>
        <w:t xml:space="preserve">Development Objective Progress Ratings Definitions</w:t>
      </w:r>
    </w:p>
    <w:p>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
        <w:rPr>
          <w:rFonts w:ascii="Calibri" w:hAnsi="Calibri" w:cs="Calibri"/>
          <w:i/>
          <w:iCs/>
        </w:rPr>
        <w:t xml:space="preserve">Satisfactory (S): </w:t>
      </w:r>
      <w:r>
        <w:rPr>
          <w:rFonts w:ascii="Calibri" w:hAnsi="Calibri" w:cs="Calibri"/>
        </w:rPr>
        <w:t xml:space="preserve">Project is expected to achieve most of its major global environmental objectives, and yield satisfactory global environmental benefits, with only minor shortcomings. </w:t>
      </w:r>
    </w:p>
    <w:p>
      <w:r>
        <w:rPr>
          <w:rFonts w:ascii="Calibri" w:hAnsi="Calibri" w:cs="Calibri"/>
          <w:i/>
          <w:iCs/>
        </w:rPr>
        <w:t xml:space="preserve">Moderately Satisfactory (MS): </w:t>
      </w:r>
      <w:r>
        <w:rPr>
          <w:rFonts w:ascii="Calibri" w:hAnsi="Calibri" w:cs="Calibri"/>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 </w:t>
      </w:r>
    </w:p>
    <w:p>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
        <w:rPr>
          <w:rFonts w:ascii="Calibri" w:hAnsi="Calibri" w:cs="Calibri"/>
          <w:i/>
          <w:iCs/>
        </w:rPr>
        <w:t xml:space="preserve">Unsatisfactory (U): </w:t>
      </w:r>
      <w:r>
        <w:rPr>
          <w:rFonts w:ascii="Calibri" w:hAnsi="Calibri" w:cs="Calibri"/>
        </w:rPr>
        <w:t xml:space="preserve">Project is expected not to achieve most of its major global environment objectives or to yield any satisfactory global environmental benefits. </w:t>
      </w:r>
    </w:p>
    <w:p>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p>
      <w:r>
        <w:rPr>
          <w:rFonts w:ascii="Calibri" w:hAnsi="Calibri" w:cs="Calibri"/>
          <w:sz w:val="22"/>
          <w:szCs w:val="22"/>
          <w:b/>
        </w:rPr>
        <w:t xml:space="preserve">Implementation Progress Ratings Definitions</w:t>
      </w:r>
    </w:p>
    <w:p>
      <w:r>
        <w:rPr>
          <w:rFonts w:ascii="Calibri" w:hAnsi="Calibri" w:cs="Calibri"/>
          <w:i/>
          <w:iCs/>
        </w:rPr>
        <w:t xml:space="preserve">Highly Satisfactory (HS): </w:t>
      </w:r>
      <w:r>
        <w:rPr>
          <w:rFonts w:ascii="Calibri" w:hAnsi="Calibri" w:cs="Calibri"/>
        </w:rPr>
        <w:t xml:space="preserve">Implementation of all components is in substantial compliance with the original/formally revised implementation plan for the project. The project can be presented as 'good practice'.</w:t>
      </w:r>
    </w:p>
    <w:p>
      <w:r>
        <w:rPr>
          <w:rFonts w:ascii="Calibri" w:hAnsi="Calibri" w:cs="Calibri"/>
          <w:i/>
          <w:iCs/>
        </w:rPr>
        <w:t xml:space="preserve">Satisfactory (S): </w:t>
      </w:r>
      <w:r>
        <w:rPr>
          <w:rFonts w:ascii="Calibri" w:hAnsi="Calibri" w:cs="Calibri"/>
        </w:rPr>
        <w:t xml:space="preserve">Implementation of most components is in substantial compliance with the original/formally revised plan except for only few that are subject to remedial action. </w:t>
      </w:r>
    </w:p>
    <w:p>
      <w:r>
        <w:rPr>
          <w:rFonts w:ascii="Calibri" w:hAnsi="Calibri" w:cs="Calibri"/>
          <w:i/>
          <w:iCs/>
        </w:rPr>
        <w:t xml:space="preserve">Moderately Satisfactory (MS): </w:t>
      </w:r>
      <w:r>
        <w:rPr>
          <w:rFonts w:ascii="Calibri" w:hAnsi="Calibri" w:cs="Calibri"/>
        </w:rPr>
        <w:t xml:space="preserve">Implementation of some components is in substantial compliance with the original/formally revised plan with some components requiring remedial action. </w:t>
      </w:r>
    </w:p>
    <w:p>
      <w:r>
        <w:rPr>
          <w:rFonts w:ascii="Calibri" w:hAnsi="Calibri" w:cs="Calibri"/>
          <w:i/>
          <w:iCs/>
        </w:rPr>
        <w:t xml:space="preserve">Moderately Unsatisfactory (MU): </w:t>
      </w:r>
      <w:r>
        <w:rPr>
          <w:rFonts w:ascii="Calibri" w:hAnsi="Calibri" w:cs="Calibri"/>
        </w:rPr>
        <w:t xml:space="preserve">Implementation of some components is not in substantial compliance with the original/formally revised plan with most components requiring remedial action. </w:t>
      </w:r>
    </w:p>
    <w:p>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
        <w:rPr>
          <w:rFonts w:ascii="Calibri" w:hAnsi="Calibri" w:cs="Calibri"/>
          <w:i/>
          <w:iCs/>
        </w:rPr>
        <w:t xml:space="preserve">Highly Unsatisfactory (HU): </w:t>
      </w:r>
      <w:r>
        <w:rPr>
          <w:rFonts w:ascii="Calibri" w:hAnsi="Calibri" w:cs="Calibri"/>
        </w:rPr>
        <w:t xml:space="preserve">Implementation of none of the components is in substantial compliance with the original/formally revised plan. </w:t>
      </w:r>
    </w:p>
    <w:sectPr>
      <w:pgSz w:w="11906" w:h="16838"/>
      <w:pgMar w:top="600" w:right="500" w:bottom="60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 xml:space="preserve"> DATE \@"MMMM d, yyyy" </w:instrText>
    </w:r>
    <w:r>
      <w:fldChar w:fldCharType="separate"/>
    </w:r>
    <w:r>
      <w:fldChar w:fldCharType="end"/>
    </w:r>
    <w:r>
      <w:t xml:space="preserve">               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unHeaderStyle"/>
    <w:rPr>
      <w:rFonts w:ascii="Calibri" w:hAnsi="Calibri" w:cs="Calibri"/>
      <w:sz w:val="28"/>
      <w:szCs w:val="28"/>
    </w:rPr>
  </w:style>
  <w:style w:type="character">
    <w:name w:val="undpStyle"/>
    <w:rPr>
      <w:rFonts w:ascii="Calibri" w:hAnsi="Calibri" w:cs="Calibri"/>
    </w:rPr>
  </w:style>
  <w:style w:type="character">
    <w:name w:val="undpStyleItalic"/>
    <w:rPr>
      <w:rFonts w:ascii="Calibri" w:hAnsi="Calibri" w:cs="Calibri"/>
      <w:i/>
      <w:iCs/>
    </w:rPr>
  </w:style>
  <w:style w:type="paragraph" w:styleId="Heading1">
    <w:link w:val="Heading1Char"/>
    <w:name w:val="heading 1"/>
    <w:pPr>
      <w:jc w:val="left"/>
      <w:spacing w:before="12" w:after="12" w:line="252" w:lineRule="auto"/>
    </w:pPr>
    <w:rPr>
      <w:rFonts w:ascii="Calibri" w:hAnsi="Calibri" w:cs="Calibri"/>
      <w:color w:val="#FFFFFF"/>
      <w:sz w:val="28"/>
      <w:szCs w:val="28"/>
      <w:highlight w:val="darkGray"/>
    </w:rPr>
  </w:style>
  <w:style w:type="character">
    <w:name w:val="rStyle"/>
    <w:rPr>
      <w:rFonts w:ascii="Calibri" w:hAnsi="Calibri" w:cs="Calibri"/>
    </w:rPr>
  </w:style>
  <w:style w:type="paragraph" w:customStyle="1" w:styleId="tpara">
    <w:name w:val="tpara"/>
    <w:pPr>
      <w:jc w:val="center"/>
      <w:spacing w:after="100"/>
    </w:pPr>
  </w:style>
  <w:style w:type="paragraph" w:customStyle="1" w:styleId="npara">
    <w:name w:val="npara"/>
    <w:pPr>
      <w:jc w:val="left"/>
      <w:spacing w:after="100"/>
    </w:pPr>
  </w:style>
  <w:style w:type="table" w:customStyle="1" w:styleId="myOwnTableStyle">
    <w:name w:val="myOwnTableStyle"/>
    <w:uiPriority w:val="99"/>
    <w:tblPr>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theme" Target="theme/theme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2016-03-09T12:00:00+00:00</UNDPPublishedDate>
    <UNDPCountryTaxHTField0 xmlns="1ed4137b-41b2-488b-8250-6d369ec27664">
      <Terms xmlns="http://schemas.microsoft.com/office/infopath/2007/PartnerControls"/>
    </UNDPCountryTaxHTField0>
    <UndpOUCode xmlns="1ed4137b-41b2-488b-8250-6d369ec27664">HRV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1449</Value>
      <Value>1</Value>
      <Value>763</Value>
    </TaxCatchAll>
    <c4e2ab2cc9354bbf9064eeb465a566ea xmlns="1ed4137b-41b2-488b-8250-6d369ec27664">
      <Terms xmlns="http://schemas.microsoft.com/office/infopath/2007/PartnerControls"/>
    </c4e2ab2cc9354bbf9064eeb465a566ea>
    <UndpProjectNo xmlns="1ed4137b-41b2-488b-8250-6d369ec27664">00077440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HRV</TermName>
          <TermId xmlns="http://schemas.microsoft.com/office/infopath/2007/PartnerControls">6b8a899e-11cf-4181-8143-7b0f31a07187</TermId>
        </TermInfo>
      </Terms>
    </gc6531b704974d528487414686b72f6f>
    <_dlc_DocId xmlns="f1161f5b-24a3-4c2d-bc81-44cb9325e8ee">ATLASPDC-4-45788</_dlc_DocId>
    <_dlc_DocIdUrl xmlns="f1161f5b-24a3-4c2d-bc81-44cb9325e8ee">
      <Url>https://info.undp.org/docs/pdc/_layouts/DocIdRedir.aspx?ID=ATLASPDC-4-45788</Url>
      <Description>ATLASPDC-4-45788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4C8E958-BEDA-4C78-AC88-5D3AD67986FE}"/>
</file>

<file path=customXml/itemProps2.xml><?xml version="1.0" encoding="utf-8"?>
<ds:datastoreItem xmlns:ds="http://schemas.openxmlformats.org/officeDocument/2006/customXml" ds:itemID="{F6227B4B-657A-475F-8D20-98BC81A62FC3}"/>
</file>

<file path=customXml/itemProps3.xml><?xml version="1.0" encoding="utf-8"?>
<ds:datastoreItem xmlns:ds="http://schemas.openxmlformats.org/officeDocument/2006/customXml" ds:itemID="{1D67ECC1-71D4-4DAA-98DF-F43CD65BB049}"/>
</file>

<file path=customXml/itemProps4.xml><?xml version="1.0" encoding="utf-8"?>
<ds:datastoreItem xmlns:ds="http://schemas.openxmlformats.org/officeDocument/2006/customXml" ds:itemID="{AF8BD575-BB45-468B-AE49-3D2D80F5794A}"/>
</file>

<file path=customXml/itemProps5.xml><?xml version="1.0" encoding="utf-8"?>
<ds:datastoreItem xmlns:ds="http://schemas.openxmlformats.org/officeDocument/2006/customXml" ds:itemID="{86A0B169-C6F5-409D-9930-FC3409916148}"/>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2015-12-15T11:10:00Z</dcterms:created>
  <dcterms:modified xsi:type="dcterms:W3CDTF">2015-12-15T11:10:00Z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1449;#HRV|6b8a899e-11cf-4181-8143-7b0f31a07187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5c60f047-af80-4286-a64c-3f21f1349897</vt:lpwstr>
  </property>
  <property fmtid="{D5CDD505-2E9C-101B-9397-08002B2CF9AE}" pid="18" name="URL">
    <vt:lpwstr/>
  </property>
  <property fmtid="{D5CDD505-2E9C-101B-9397-08002B2CF9AE}" pid="19" name="DocumentSetDescription">
    <vt:lpwstr/>
  </property>
</Properties>
</file>