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4" w:type="pct"/>
        <w:tblInd w:w="-972" w:type="dxa"/>
        <w:tblLayout w:type="fixed"/>
        <w:tblLook w:val="04A0" w:firstRow="1" w:lastRow="0" w:firstColumn="1" w:lastColumn="0" w:noHBand="0" w:noVBand="1"/>
      </w:tblPr>
      <w:tblGrid>
        <w:gridCol w:w="3555"/>
        <w:gridCol w:w="3033"/>
        <w:gridCol w:w="358"/>
        <w:gridCol w:w="358"/>
        <w:gridCol w:w="355"/>
        <w:gridCol w:w="358"/>
        <w:gridCol w:w="361"/>
        <w:gridCol w:w="361"/>
        <w:gridCol w:w="361"/>
        <w:gridCol w:w="349"/>
        <w:gridCol w:w="36"/>
        <w:gridCol w:w="1037"/>
        <w:gridCol w:w="956"/>
        <w:gridCol w:w="12"/>
        <w:gridCol w:w="9"/>
        <w:gridCol w:w="15"/>
        <w:gridCol w:w="899"/>
        <w:gridCol w:w="1674"/>
        <w:gridCol w:w="944"/>
      </w:tblGrid>
      <w:tr w:rsidR="003D238C" w:rsidRPr="009F32BE" w:rsidTr="00AC36E8">
        <w:trPr>
          <w:trHeight w:val="214"/>
          <w:tblHeader/>
        </w:trPr>
        <w:tc>
          <w:tcPr>
            <w:tcW w:w="118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F32BE" w:rsidRPr="009F32BE" w:rsidRDefault="009F32BE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 Outcomes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Planned Activities</w:t>
            </w:r>
          </w:p>
        </w:tc>
        <w:tc>
          <w:tcPr>
            <w:tcW w:w="96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Frame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Planned Budget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238C" w:rsidRPr="009F32BE" w:rsidTr="00AC36E8">
        <w:trPr>
          <w:cantSplit/>
          <w:trHeight w:val="385"/>
          <w:tblHeader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776B" w:rsidRPr="009F32BE" w:rsidRDefault="00D0776B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776B" w:rsidRPr="009F32BE" w:rsidRDefault="00D0776B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EEECE1"/>
            <w:noWrap/>
            <w:vAlign w:val="bottom"/>
            <w:hideMark/>
          </w:tcPr>
          <w:p w:rsidR="00D0776B" w:rsidRDefault="00D0776B" w:rsidP="00D0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Year 1</w:t>
            </w:r>
          </w:p>
          <w:p w:rsidR="00D0776B" w:rsidRPr="009F32BE" w:rsidRDefault="00D0776B" w:rsidP="00D0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</w:tcPr>
          <w:p w:rsidR="00D0776B" w:rsidRPr="009F32BE" w:rsidRDefault="00D0776B" w:rsidP="00D0776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EECE1"/>
            <w:textDirection w:val="btLr"/>
            <w:vAlign w:val="bottom"/>
            <w:hideMark/>
          </w:tcPr>
          <w:p w:rsidR="00D0776B" w:rsidRPr="009F32BE" w:rsidRDefault="00D0776B" w:rsidP="009F32BE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Responsible Party</w:t>
            </w:r>
          </w:p>
        </w:tc>
        <w:tc>
          <w:tcPr>
            <w:tcW w:w="330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EECE1"/>
            <w:noWrap/>
            <w:textDirection w:val="btLr"/>
            <w:vAlign w:val="bottom"/>
            <w:hideMark/>
          </w:tcPr>
          <w:p w:rsidR="00D0776B" w:rsidRPr="009F32BE" w:rsidRDefault="00D0776B" w:rsidP="009F32BE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Funding Source 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EECE1"/>
            <w:noWrap/>
            <w:textDirection w:val="btLr"/>
            <w:vAlign w:val="bottom"/>
            <w:hideMark/>
          </w:tcPr>
          <w:p w:rsidR="00D0776B" w:rsidRPr="009F32BE" w:rsidRDefault="00D0776B" w:rsidP="009F32BE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ATLAS code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EECE1"/>
            <w:textDirection w:val="btLr"/>
            <w:vAlign w:val="bottom"/>
            <w:hideMark/>
          </w:tcPr>
          <w:p w:rsidR="00D0776B" w:rsidRPr="009F32BE" w:rsidRDefault="00D0776B" w:rsidP="009F32BE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Budget Description</w:t>
            </w:r>
          </w:p>
        </w:tc>
        <w:tc>
          <w:tcPr>
            <w:tcW w:w="31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0776B" w:rsidRPr="009F32BE" w:rsidRDefault="00D0776B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Amount in USD</w:t>
            </w:r>
          </w:p>
        </w:tc>
      </w:tr>
      <w:tr w:rsidR="003D238C" w:rsidRPr="009F32BE" w:rsidTr="00AC36E8">
        <w:trPr>
          <w:cantSplit/>
          <w:trHeight w:val="422"/>
          <w:tblHeader/>
        </w:trPr>
        <w:tc>
          <w:tcPr>
            <w:tcW w:w="11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EEECE1"/>
            <w:noWrap/>
            <w:vAlign w:val="bottom"/>
            <w:hideMark/>
          </w:tcPr>
          <w:p w:rsid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Q4</w:t>
            </w:r>
          </w:p>
        </w:tc>
        <w:tc>
          <w:tcPr>
            <w:tcW w:w="3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textDirection w:val="btLr"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textDirection w:val="btLr"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textDirection w:val="btLr"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textDirection w:val="btLr"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F32BE" w:rsidRPr="009F32BE" w:rsidRDefault="009F32BE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D238C" w:rsidRPr="009F32BE" w:rsidTr="00743A9D">
        <w:trPr>
          <w:trHeight w:val="234"/>
        </w:trPr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F0012" w:rsidRPr="00743A9D" w:rsidRDefault="002F0012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OUTPUT 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2F0012" w:rsidRPr="00743A9D" w:rsidRDefault="002F0012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F0012" w:rsidRPr="00743A9D" w:rsidRDefault="002F0012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F0012" w:rsidRPr="00743A9D" w:rsidRDefault="002F0012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F0012" w:rsidRPr="00743A9D" w:rsidRDefault="002F0012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F0012" w:rsidRPr="00743A9D" w:rsidRDefault="002F0012" w:rsidP="00743A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F0012" w:rsidRPr="00743A9D" w:rsidRDefault="002F0012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F0012" w:rsidRPr="00743A9D" w:rsidRDefault="002F0012" w:rsidP="00743A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F0012" w:rsidRPr="00743A9D" w:rsidRDefault="002F0012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F0012" w:rsidRPr="00743A9D" w:rsidRDefault="002F0012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F0012" w:rsidRPr="00743A9D" w:rsidRDefault="002F0012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2F0012" w:rsidRPr="00743A9D" w:rsidRDefault="002F0012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F0012" w:rsidRPr="00743A9D" w:rsidRDefault="004E1BFB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185</w:t>
            </w:r>
            <w:r w:rsidR="00227464" w:rsidRPr="00743A9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3D238C" w:rsidRPr="009F32BE" w:rsidTr="00AC36E8">
        <w:trPr>
          <w:trHeight w:val="709"/>
        </w:trPr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9F32BE" w:rsidRPr="004507F2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4507F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Institutional and legal systems for DRR established and capacities of DRR institutions strengthened to fulfil</w:t>
            </w:r>
            <w:r w:rsidR="008A694A" w:rsidRPr="004507F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</w:t>
            </w:r>
            <w:r w:rsidRPr="004507F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their mandate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1.1: Sensitize key stakeholders on DRRM bill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BE" w:rsidRPr="009F32BE" w:rsidRDefault="009F32BE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2274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F32BE" w:rsidRPr="009F32BE" w:rsidRDefault="009F32B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Workshop for parliamentarians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9F32BE" w:rsidRPr="002847E3" w:rsidRDefault="002847E3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  <w:r w:rsidRPr="002847E3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2 000</w:t>
            </w:r>
          </w:p>
        </w:tc>
      </w:tr>
      <w:tr w:rsidR="00996B96" w:rsidRPr="009F32BE" w:rsidTr="00AC36E8">
        <w:trPr>
          <w:trHeight w:val="405"/>
        </w:trPr>
        <w:tc>
          <w:tcPr>
            <w:tcW w:w="118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96B96" w:rsidRDefault="00996B96" w:rsidP="009F32B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D4D9E" w:rsidRDefault="00996B96" w:rsidP="009F32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729A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Indicators:</w:t>
            </w:r>
            <w:r w:rsidRPr="00C729A2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1. Progress made on the finalization of DRRM Bill leading towards parliament</w:t>
            </w:r>
          </w:p>
          <w:p w:rsidR="003D4D9E" w:rsidRDefault="003D4D9E" w:rsidP="009F32BE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2.# of awareness workshops held by June 2014</w:t>
            </w:r>
          </w:p>
          <w:p w:rsidR="00996B96" w:rsidRPr="00C50AA7" w:rsidRDefault="003D4D9E" w:rsidP="009F32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Progress towards validating and endorsement of DRR Policy briefs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4</w:t>
            </w:r>
            <w:r w:rsidR="00996B96" w:rsidRPr="00C729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# </w:t>
            </w:r>
            <w:proofErr w:type="gramStart"/>
            <w:r w:rsidR="00996B96" w:rsidRPr="00C729A2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gramEnd"/>
            <w:r w:rsidR="00996B96" w:rsidRPr="00C729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multi-sector technical working group meetings for DRR held in a year</w:t>
            </w:r>
            <w:r w:rsidR="00996B96" w:rsidRPr="00C729A2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 w:rsidR="00090F31">
              <w:rPr>
                <w:rFonts w:eastAsia="Times New Roman" w:cs="Times New Roman"/>
                <w:color w:val="000000"/>
                <w:sz w:val="18"/>
                <w:szCs w:val="18"/>
              </w:rPr>
              <w:t>. % NDMC staff will</w:t>
            </w:r>
            <w:r w:rsidR="00996B96" w:rsidRPr="00C729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receive required training, as identified in the capacity assessment </w:t>
            </w:r>
            <w:r w:rsidR="00996B96" w:rsidRPr="00C729A2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  <w:r w:rsidR="00996B96" w:rsidRPr="00C50AA7">
              <w:rPr>
                <w:rFonts w:eastAsia="Times New Roman" w:cs="Times New Roman"/>
                <w:color w:val="000000"/>
                <w:sz w:val="18"/>
                <w:szCs w:val="18"/>
              </w:rPr>
              <w:t>. Existence of a gender sensitive National DRRM Plan</w:t>
            </w:r>
          </w:p>
          <w:p w:rsidR="003D4D9E" w:rsidRDefault="003D4D9E" w:rsidP="00C50AA7">
            <w:pPr>
              <w:pStyle w:val="ColorfulList-Accent11"/>
              <w:spacing w:after="60"/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7. % of NDMC staff with required minimum training in DRR</w:t>
            </w:r>
          </w:p>
          <w:p w:rsidR="00C50AA7" w:rsidRPr="00C50AA7" w:rsidRDefault="003D4D9E" w:rsidP="00C50AA7">
            <w:pPr>
              <w:pStyle w:val="ColorfulList-Accent11"/>
              <w:spacing w:after="60"/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C50AA7" w:rsidRPr="00C50AA7">
              <w:rPr>
                <w:rFonts w:asciiTheme="minorHAnsi" w:hAnsiTheme="minorHAnsi" w:cs="Arial"/>
                <w:sz w:val="18"/>
                <w:szCs w:val="18"/>
              </w:rPr>
              <w:t>.Existence of internally displaced population framework</w:t>
            </w:r>
          </w:p>
          <w:p w:rsidR="00C50AA7" w:rsidRPr="00C50AA7" w:rsidRDefault="003D4D9E" w:rsidP="00C50AA7">
            <w:pPr>
              <w:pStyle w:val="ColorfulList-Accent11"/>
              <w:spacing w:after="60"/>
              <w:ind w:left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C50AA7" w:rsidRPr="00C50AA7">
              <w:rPr>
                <w:rFonts w:asciiTheme="minorHAnsi" w:hAnsiTheme="minorHAnsi" w:cs="Arial"/>
                <w:sz w:val="18"/>
                <w:szCs w:val="18"/>
              </w:rPr>
              <w:t>.Finalization of national emergency operations plan</w:t>
            </w:r>
          </w:p>
          <w:p w:rsidR="00996B96" w:rsidRDefault="00996B96" w:rsidP="009F32B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D4D9E" w:rsidRDefault="00996B96" w:rsidP="009F32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729A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Baseline: </w:t>
            </w:r>
            <w:r w:rsidRPr="00C729A2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1. Draft DM Bill of submitted to AGO</w:t>
            </w:r>
          </w:p>
          <w:p w:rsidR="003D4D9E" w:rsidRDefault="003D4D9E" w:rsidP="009F32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2.No workshops held yet</w:t>
            </w:r>
          </w:p>
          <w:p w:rsidR="00996B96" w:rsidRPr="00513C2D" w:rsidRDefault="003D4D9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3.No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policy briefs validated and endorsed yet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4</w:t>
            </w:r>
            <w:r w:rsidR="00996B96" w:rsidRPr="00C729A2">
              <w:rPr>
                <w:rFonts w:eastAsia="Times New Roman" w:cs="Times New Roman"/>
                <w:color w:val="000000"/>
                <w:sz w:val="18"/>
                <w:szCs w:val="18"/>
              </w:rPr>
              <w:t>. Ad-hoc meetings of semi-formal multi-</w:t>
            </w:r>
            <w:proofErr w:type="spellStart"/>
            <w:r w:rsidR="00996B96" w:rsidRPr="00C729A2">
              <w:rPr>
                <w:rFonts w:eastAsia="Times New Roman" w:cs="Times New Roman"/>
                <w:color w:val="000000"/>
                <w:sz w:val="18"/>
                <w:szCs w:val="18"/>
              </w:rPr>
              <w:t>sectoral</w:t>
            </w:r>
            <w:proofErr w:type="spellEnd"/>
            <w:r w:rsidR="00996B96" w:rsidRPr="00C729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techni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cal working group for DRR held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5</w:t>
            </w:r>
            <w:r w:rsidR="00996B96" w:rsidRPr="00C729A2">
              <w:rPr>
                <w:rFonts w:eastAsia="Times New Roman" w:cs="Times New Roman"/>
                <w:color w:val="000000"/>
                <w:sz w:val="18"/>
                <w:szCs w:val="18"/>
              </w:rPr>
              <w:t>. 0 (no structured training system/plan in place for NDMC staff</w:t>
            </w:r>
            <w:proofErr w:type="gramStart"/>
            <w:r w:rsidR="00996B96" w:rsidRPr="00C729A2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  <w:r w:rsidR="00996B96" w:rsidRPr="00C729A2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996B96" w:rsidRPr="00513C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National DRRM Plan does not exit</w:t>
            </w:r>
          </w:p>
          <w:p w:rsidR="003D4D9E" w:rsidRDefault="003D4D9E" w:rsidP="00513C2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</w:t>
            </w:r>
            <w:r>
              <w:rPr>
                <w:rFonts w:cs="Arial"/>
                <w:sz w:val="18"/>
                <w:szCs w:val="18"/>
              </w:rPr>
              <w:t xml:space="preserve"> To be determined by capacity assessment</w:t>
            </w:r>
          </w:p>
          <w:p w:rsidR="00C50AA7" w:rsidRPr="00513C2D" w:rsidRDefault="003D4D9E" w:rsidP="00513C2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8</w:t>
            </w:r>
            <w:r w:rsidR="00C50AA7" w:rsidRPr="00513C2D">
              <w:rPr>
                <w:rFonts w:ascii="Calibri" w:hAnsi="Calibri" w:cs="Arial"/>
                <w:sz w:val="18"/>
                <w:szCs w:val="18"/>
              </w:rPr>
              <w:t>.</w:t>
            </w:r>
            <w:r w:rsidR="00513C2D">
              <w:rPr>
                <w:rFonts w:ascii="Calibri" w:hAnsi="Calibri" w:cs="Arial"/>
                <w:sz w:val="18"/>
                <w:szCs w:val="18"/>
              </w:rPr>
              <w:t>I</w:t>
            </w:r>
            <w:r w:rsidR="00C50AA7" w:rsidRPr="00513C2D">
              <w:rPr>
                <w:rFonts w:ascii="Calibri" w:hAnsi="Calibri" w:cs="Arial"/>
                <w:sz w:val="18"/>
                <w:szCs w:val="18"/>
              </w:rPr>
              <w:t>nternally displaced population framework does not exist</w:t>
            </w:r>
          </w:p>
          <w:p w:rsidR="00C50AA7" w:rsidRPr="00513C2D" w:rsidRDefault="003D4D9E" w:rsidP="00C50AA7">
            <w:pPr>
              <w:spacing w:after="6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="00513C2D" w:rsidRPr="00513C2D">
              <w:rPr>
                <w:rFonts w:ascii="Calibri" w:hAnsi="Calibri" w:cs="Arial"/>
                <w:sz w:val="18"/>
                <w:szCs w:val="18"/>
              </w:rPr>
              <w:t>.</w:t>
            </w:r>
            <w:r w:rsidR="00C50AA7" w:rsidRPr="00513C2D">
              <w:rPr>
                <w:rFonts w:ascii="Calibri" w:hAnsi="Calibri" w:cs="Arial"/>
                <w:sz w:val="18"/>
                <w:szCs w:val="18"/>
              </w:rPr>
              <w:t xml:space="preserve">Draft national emergency operation plan </w:t>
            </w:r>
          </w:p>
          <w:p w:rsidR="00996B96" w:rsidRDefault="00996B96" w:rsidP="00C729A2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</w:pPr>
          </w:p>
          <w:p w:rsidR="00996B96" w:rsidRPr="00C729A2" w:rsidRDefault="00996B96" w:rsidP="00C729A2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</w:pPr>
            <w:r w:rsidRPr="00C729A2"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 xml:space="preserve">Target: </w:t>
            </w:r>
          </w:p>
          <w:p w:rsidR="00996B96" w:rsidRPr="003D4D9E" w:rsidRDefault="00996B96" w:rsidP="003D4D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D4D9E">
              <w:rPr>
                <w:rFonts w:eastAsia="Times New Roman" w:cs="Arial"/>
                <w:color w:val="000000"/>
                <w:sz w:val="18"/>
                <w:szCs w:val="18"/>
              </w:rPr>
              <w:t xml:space="preserve">National DRRM Bill passed by parliament as an Act </w:t>
            </w:r>
          </w:p>
          <w:p w:rsidR="003D4D9E" w:rsidRPr="003D4D9E" w:rsidRDefault="003D4D9E" w:rsidP="003D4D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 least 7 workshops at national, atoll and island level</w:t>
            </w:r>
          </w:p>
          <w:p w:rsidR="003D4D9E" w:rsidRDefault="003D4D9E" w:rsidP="00C729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="00996B96" w:rsidRPr="00C729A2">
              <w:rPr>
                <w:rFonts w:eastAsia="Times New Roman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One validation workshop and one endorsement workshop</w:t>
            </w:r>
          </w:p>
          <w:p w:rsidR="00996B96" w:rsidRPr="00C729A2" w:rsidRDefault="003D4D9E" w:rsidP="00C729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</w:t>
            </w:r>
            <w:r w:rsidR="00996B96" w:rsidRPr="00C729A2">
              <w:rPr>
                <w:rFonts w:eastAsia="Times New Roman" w:cs="Arial"/>
                <w:color w:val="000000"/>
                <w:sz w:val="18"/>
                <w:szCs w:val="18"/>
              </w:rPr>
              <w:t xml:space="preserve">At least 6 a year </w:t>
            </w:r>
          </w:p>
          <w:p w:rsidR="00996B96" w:rsidRPr="00C729A2" w:rsidRDefault="003D4D9E" w:rsidP="00C729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996B96" w:rsidRPr="00C729A2">
              <w:rPr>
                <w:rFonts w:eastAsia="Times New Roman" w:cs="Arial"/>
                <w:color w:val="000000"/>
                <w:sz w:val="18"/>
                <w:szCs w:val="18"/>
              </w:rPr>
              <w:t xml:space="preserve">. 60% </w:t>
            </w:r>
          </w:p>
          <w:p w:rsidR="00996B96" w:rsidRDefault="003D4D9E" w:rsidP="00C729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="00996B96" w:rsidRPr="00C729A2">
              <w:rPr>
                <w:rFonts w:eastAsia="Times New Roman" w:cs="Arial"/>
                <w:color w:val="000000"/>
                <w:sz w:val="18"/>
                <w:szCs w:val="18"/>
              </w:rPr>
              <w:t>. National DRRM Plan exists with gender specific considerations in it</w:t>
            </w:r>
          </w:p>
          <w:p w:rsidR="003D4D9E" w:rsidRDefault="003D4D9E" w:rsidP="00513C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 At least 85% of NDMC staff trained</w:t>
            </w:r>
          </w:p>
          <w:p w:rsidR="00513C2D" w:rsidRDefault="003D4D9E" w:rsidP="00513C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13C2D">
              <w:rPr>
                <w:rFonts w:cs="Arial"/>
                <w:sz w:val="18"/>
                <w:szCs w:val="18"/>
              </w:rPr>
              <w:t>. Internally displaced population framework with at risk populations considerations exists by December 2014</w:t>
            </w:r>
          </w:p>
          <w:p w:rsidR="00513C2D" w:rsidRPr="00513C2D" w:rsidRDefault="003D4D9E" w:rsidP="00513C2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513C2D">
              <w:rPr>
                <w:rFonts w:cs="Arial"/>
                <w:sz w:val="18"/>
                <w:szCs w:val="18"/>
              </w:rPr>
              <w:t>.National emergency operations plan finalised by September 2014</w:t>
            </w:r>
          </w:p>
          <w:p w:rsidR="00996B96" w:rsidRPr="00C729A2" w:rsidRDefault="00996B96" w:rsidP="00513C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1.2: Roll out advocacy on DRRM bill/ act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through awareness workshops</w:t>
            </w:r>
          </w:p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orkshop for local councils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96B96" w:rsidRPr="002847E3" w:rsidRDefault="00996B96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  <w:r w:rsidRPr="002847E3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2 000</w:t>
            </w:r>
          </w:p>
        </w:tc>
      </w:tr>
      <w:tr w:rsidR="00996B96" w:rsidRPr="009F32BE" w:rsidTr="00AC36E8">
        <w:trPr>
          <w:trHeight w:val="199"/>
        </w:trPr>
        <w:tc>
          <w:tcPr>
            <w:tcW w:w="118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96B96" w:rsidRDefault="00996B96" w:rsidP="009F32B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96B96" w:rsidRPr="009F32BE" w:rsidRDefault="00996B96" w:rsidP="00582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96B96" w:rsidRPr="009F32BE" w:rsidRDefault="00996B96" w:rsidP="00582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6B96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96B96" w:rsidRPr="002847E3" w:rsidRDefault="00996B96" w:rsidP="002847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10</w:t>
            </w:r>
            <w:r w:rsidRPr="002847E3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 xml:space="preserve"> 000</w:t>
            </w:r>
          </w:p>
        </w:tc>
      </w:tr>
      <w:tr w:rsidR="00996B96" w:rsidRPr="009F32BE" w:rsidTr="00AC36E8">
        <w:trPr>
          <w:trHeight w:val="262"/>
        </w:trPr>
        <w:tc>
          <w:tcPr>
            <w:tcW w:w="118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96B96" w:rsidRDefault="00996B96" w:rsidP="009F32B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6B96" w:rsidRPr="00175D40" w:rsidRDefault="00996B96" w:rsidP="005823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175D4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6B96" w:rsidRPr="00175D40" w:rsidRDefault="00996B96" w:rsidP="005823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175D4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unfunded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6B96" w:rsidRPr="00175D40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175D4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6B96" w:rsidRPr="00175D40" w:rsidRDefault="00175D40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175D4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6B96" w:rsidRPr="00175D40" w:rsidRDefault="00175D40" w:rsidP="0017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</w:pPr>
            <w:r w:rsidRPr="00175D40"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  <w:t>10 000</w:t>
            </w:r>
          </w:p>
        </w:tc>
      </w:tr>
      <w:tr w:rsidR="00996B96" w:rsidRPr="009F32BE" w:rsidTr="00AC36E8">
        <w:trPr>
          <w:trHeight w:val="345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96B96" w:rsidRPr="00C729A2" w:rsidRDefault="00996B96" w:rsidP="009F32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Default="00996B96" w:rsidP="00763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090F31" w:rsidRDefault="00090F31" w:rsidP="00763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090F31" w:rsidRPr="00763DCE" w:rsidRDefault="00090F31" w:rsidP="00763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Default="00996B96" w:rsidP="00763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090F31" w:rsidRDefault="00090F31" w:rsidP="00763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090F31" w:rsidRPr="00763DCE" w:rsidRDefault="00090F31" w:rsidP="00763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96B96" w:rsidRPr="00763DCE" w:rsidRDefault="00090F31" w:rsidP="00595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orkshops in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selected islands x 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996B96" w:rsidRDefault="00996B96" w:rsidP="009A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10</w:t>
            </w:r>
            <w:r w:rsidRPr="002847E3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 xml:space="preserve"> 000</w:t>
            </w:r>
          </w:p>
          <w:p w:rsidR="00996B96" w:rsidRPr="002847E3" w:rsidRDefault="00996B96" w:rsidP="009A67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</w:p>
        </w:tc>
      </w:tr>
      <w:tr w:rsidR="00996B96" w:rsidRPr="009F32BE" w:rsidTr="00AC36E8">
        <w:trPr>
          <w:trHeight w:val="300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96B96" w:rsidRPr="00C729A2" w:rsidRDefault="00996B96" w:rsidP="009F32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763DCE" w:rsidRDefault="00996B96" w:rsidP="00763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763DCE" w:rsidRDefault="00996B96" w:rsidP="00763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96B96" w:rsidRDefault="00996B96" w:rsidP="00595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6B96" w:rsidRPr="00996B96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96B9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6B96" w:rsidRPr="00996B96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96B9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unfunded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6B96" w:rsidRPr="00996B96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96B9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6B96" w:rsidRPr="00996B96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96B9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Workshops in selected islands x 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6B96" w:rsidRPr="00175D40" w:rsidRDefault="00996B96" w:rsidP="00996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</w:pPr>
            <w:r w:rsidRPr="00175D40"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  <w:t>10 000</w:t>
            </w:r>
          </w:p>
          <w:p w:rsidR="00996B96" w:rsidRPr="00996B96" w:rsidRDefault="00996B96" w:rsidP="00996B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C00000"/>
                <w:sz w:val="18"/>
                <w:szCs w:val="18"/>
              </w:rPr>
            </w:pPr>
          </w:p>
        </w:tc>
      </w:tr>
      <w:tr w:rsidR="00996B96" w:rsidRPr="009F32BE" w:rsidTr="00AC36E8">
        <w:trPr>
          <w:trHeight w:val="172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96B96" w:rsidRPr="00C729A2" w:rsidRDefault="00996B96" w:rsidP="009F32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763DCE" w:rsidRDefault="00996B96" w:rsidP="00763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763DCE" w:rsidRDefault="00996B96" w:rsidP="00763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96B96" w:rsidRDefault="00996B96" w:rsidP="00595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96B96" w:rsidRPr="009F32BE" w:rsidRDefault="00996B96" w:rsidP="00582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96B96" w:rsidRPr="009F32BE" w:rsidRDefault="00996B96" w:rsidP="00582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996B96" w:rsidRPr="009F32BE" w:rsidRDefault="00996B96" w:rsidP="0048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6B96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996B96" w:rsidRPr="002847E3" w:rsidRDefault="00996B96" w:rsidP="00982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  <w:r w:rsidRPr="002847E3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4 000</w:t>
            </w:r>
          </w:p>
        </w:tc>
      </w:tr>
      <w:tr w:rsidR="00996B96" w:rsidRPr="009F32BE" w:rsidTr="00AC36E8">
        <w:trPr>
          <w:trHeight w:val="64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996B96" w:rsidRPr="00C729A2" w:rsidRDefault="00996B96" w:rsidP="009F32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9F32BE" w:rsidRDefault="00996B96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763DCE" w:rsidRDefault="00996B96" w:rsidP="00763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6" w:rsidRPr="00763DCE" w:rsidRDefault="00996B96" w:rsidP="00763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96B96" w:rsidRDefault="00996B96" w:rsidP="00595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B96" w:rsidRPr="009F32BE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6B96" w:rsidRPr="00996B96" w:rsidRDefault="00996B96" w:rsidP="005823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6B96" w:rsidRPr="00996B96" w:rsidRDefault="00996B96" w:rsidP="005823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96B9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unfunded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6B96" w:rsidRPr="00996B96" w:rsidRDefault="00996B96" w:rsidP="004849D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6B96" w:rsidRPr="00996B96" w:rsidRDefault="00996B96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96B9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Travel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6B96" w:rsidRPr="00982D54" w:rsidRDefault="00996B96" w:rsidP="00982D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</w:pPr>
            <w:r w:rsidRPr="00175D40"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  <w:t>4 000</w:t>
            </w:r>
          </w:p>
        </w:tc>
      </w:tr>
      <w:tr w:rsidR="003D238C" w:rsidRPr="009F32BE" w:rsidTr="002F68EB">
        <w:trPr>
          <w:trHeight w:val="414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38C" w:rsidRPr="00C729A2" w:rsidRDefault="003D238C" w:rsidP="009F32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D238C" w:rsidRPr="009F32BE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1.3:</w:t>
            </w:r>
            <w:r w:rsidRPr="009F3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951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Contribute to the d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evelop</w:t>
            </w:r>
            <w:r w:rsidR="008951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ment of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policy briefs on DRR/DRM policy framework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validate and have them endorsed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38C" w:rsidRPr="00240BAD" w:rsidRDefault="002F68EB" w:rsidP="009F32B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trike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38C" w:rsidRPr="00240BAD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38C" w:rsidRPr="00240BAD" w:rsidRDefault="003D238C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E1BFB" w:rsidRDefault="004E1BFB" w:rsidP="004E1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D238C" w:rsidRPr="00240BAD" w:rsidRDefault="003D238C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38C" w:rsidRPr="00240BAD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38C" w:rsidRPr="00240BAD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38C" w:rsidRPr="00240BAD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38C" w:rsidRPr="00240BAD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D238C" w:rsidRPr="00240BAD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D238C" w:rsidRPr="00240BAD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D238C" w:rsidRPr="00240BAD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D238C" w:rsidRPr="00240BAD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Validation Workshop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D238C" w:rsidRPr="00240BAD" w:rsidRDefault="003D238C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3D238C" w:rsidRPr="009F32BE" w:rsidTr="002F68EB">
        <w:trPr>
          <w:trHeight w:val="271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823EF" w:rsidRPr="00C729A2" w:rsidRDefault="005823EF" w:rsidP="009F32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89514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595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ED20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Endorsement Workshop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5823EF" w:rsidRPr="009F32BE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AD76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351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823EF" w:rsidRPr="00C729A2" w:rsidRDefault="005823EF" w:rsidP="009F32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1.4: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Desktop drill on the operation of NEOC &amp; coordination protocols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227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2274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Workshop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2847E3" w:rsidRDefault="002847E3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  <w:r w:rsidRPr="002847E3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2 000</w:t>
            </w:r>
          </w:p>
        </w:tc>
      </w:tr>
      <w:tr w:rsidR="003D238C" w:rsidRPr="009F32BE" w:rsidTr="00AC36E8">
        <w:trPr>
          <w:trHeight w:val="1373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823EF" w:rsidRPr="00C729A2" w:rsidRDefault="005823EF" w:rsidP="009F32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5823EF" w:rsidRPr="009F32BE" w:rsidRDefault="005823EF" w:rsidP="006F3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1.5: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Conduct a comprehensive capacity assessment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NDMC and d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evelop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clear operational mandate, functioning organizational structure, work planning procedures, </w:t>
            </w:r>
            <w:proofErr w:type="spellStart"/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ToRs</w:t>
            </w:r>
            <w:proofErr w:type="spellEnd"/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key staff &amp; functions</w:t>
            </w:r>
            <w:r w:rsidR="00090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human resources development plan</w:t>
            </w:r>
          </w:p>
        </w:tc>
        <w:tc>
          <w:tcPr>
            <w:tcW w:w="11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F31" w:rsidRDefault="005823EF" w:rsidP="000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Default="005823EF" w:rsidP="000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090F31" w:rsidRPr="009F32BE" w:rsidRDefault="00090F31" w:rsidP="000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299" w:type="pct"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Consultant</w:t>
            </w:r>
          </w:p>
        </w:tc>
        <w:tc>
          <w:tcPr>
            <w:tcW w:w="315" w:type="pct"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09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5823EF" w:rsidRPr="009F32BE" w:rsidRDefault="005823EF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238C" w:rsidRPr="009F32BE" w:rsidTr="00AC36E8">
        <w:trPr>
          <w:trHeight w:val="560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823EF" w:rsidRPr="00C729A2" w:rsidRDefault="005823EF" w:rsidP="009F32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5823EF" w:rsidRPr="009F32BE" w:rsidRDefault="005823EF" w:rsidP="006F3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090F31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r w:rsidR="00090F3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DF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DF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ED20B1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003B0D" w:rsidRDefault="00AD762E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 </w:t>
            </w:r>
            <w:r w:rsidR="00003B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  <w:p w:rsidR="00003B0D" w:rsidRPr="009F32BE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D238C" w:rsidRPr="009F32BE" w:rsidTr="00AC36E8">
        <w:trPr>
          <w:trHeight w:val="496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823EF" w:rsidRPr="00C729A2" w:rsidRDefault="005823EF" w:rsidP="009F32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5823EF" w:rsidRPr="009F32BE" w:rsidRDefault="005823EF" w:rsidP="00090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1.6: </w:t>
            </w:r>
            <w:r w:rsidR="00090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Update and streamline the National DRM Plan aspects of the DRM Bill and include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gender, vulnerability and disaster interface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analysis 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2F68EB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ED20B1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Consultant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3D238C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  <w:r w:rsidR="00AD76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003B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184"/>
        </w:trPr>
        <w:tc>
          <w:tcPr>
            <w:tcW w:w="118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823EF" w:rsidRPr="00C729A2" w:rsidRDefault="005823EF" w:rsidP="009F32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ED20B1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day National Workshop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240BA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AD76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003B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240"/>
        </w:trPr>
        <w:tc>
          <w:tcPr>
            <w:tcW w:w="118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823EF" w:rsidRPr="00C729A2" w:rsidRDefault="005823EF" w:rsidP="009F32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ED20B1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Endorsement Workshop</w:t>
            </w:r>
            <w:r w:rsidR="005823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AD76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588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3D238C" w:rsidRPr="009F32BE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D238C" w:rsidRPr="009F32BE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1.7: Local and international t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raining for key staff as identified through the capacity assessment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38C" w:rsidRPr="00835D12" w:rsidRDefault="004E1BFB" w:rsidP="00835D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38C" w:rsidRPr="00835D12" w:rsidRDefault="004E1BFB" w:rsidP="00835D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38C" w:rsidRPr="00835D12" w:rsidRDefault="004E1BFB" w:rsidP="004E1BFB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D238C" w:rsidRPr="00835D12" w:rsidRDefault="003D238C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35D1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D238C" w:rsidRPr="00835D12" w:rsidRDefault="003D238C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35D1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D238C" w:rsidRPr="00835D12" w:rsidRDefault="003D238C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35D1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D238C" w:rsidRPr="00835D12" w:rsidRDefault="003D238C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35D1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71602F" w:rsidRDefault="0071602F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D238C" w:rsidRPr="00835D12" w:rsidRDefault="003D238C" w:rsidP="00835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35D1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345" w:type="pct"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D238C" w:rsidRPr="00240BAD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D238C" w:rsidRPr="00240BAD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299" w:type="pct"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D238C" w:rsidRPr="00240BAD" w:rsidRDefault="003D238C" w:rsidP="009F32B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D238C" w:rsidRPr="00240BAD" w:rsidRDefault="0071602F" w:rsidP="009F32B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Local w</w:t>
            </w:r>
            <w:r w:rsidR="003D23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orkshops, seminars and exposure trips</w:t>
            </w:r>
          </w:p>
        </w:tc>
        <w:tc>
          <w:tcPr>
            <w:tcW w:w="315" w:type="pct"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D238C" w:rsidRPr="00240BAD" w:rsidRDefault="004E1BFB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3D23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3D238C" w:rsidRPr="009F32BE" w:rsidTr="00AC36E8">
        <w:trPr>
          <w:trHeight w:val="199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ED20B1" w:rsidP="0048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  <w:r w:rsidR="004849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225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ED20B1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Misc.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5823EF" w:rsidRPr="009F32BE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743A9D">
        <w:trPr>
          <w:trHeight w:val="397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823EF" w:rsidRPr="009F32BE" w:rsidRDefault="00EC254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training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823EF" w:rsidRPr="002847E3" w:rsidRDefault="00775F87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40</w:t>
            </w:r>
            <w:r w:rsidR="002847E3" w:rsidRPr="002847E3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 xml:space="preserve"> 000</w:t>
            </w:r>
          </w:p>
        </w:tc>
      </w:tr>
      <w:tr w:rsidR="003D238C" w:rsidRPr="009F32BE" w:rsidTr="003D4D9E">
        <w:trPr>
          <w:trHeight w:val="2961"/>
        </w:trPr>
        <w:tc>
          <w:tcPr>
            <w:tcW w:w="11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240BAD" w:rsidRPr="009F32BE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40BAD" w:rsidRPr="00BB73D2" w:rsidRDefault="0030586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</w:t>
            </w:r>
            <w:r w:rsidR="00240B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 w:rsidR="00240BAD" w:rsidRPr="00147C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Formulate an I</w:t>
            </w:r>
            <w:r w:rsidR="00240B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nternally displaced populations</w:t>
            </w:r>
            <w:r w:rsidR="00240BAD" w:rsidRPr="00147C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240B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management f</w:t>
            </w:r>
            <w:r w:rsidR="00240BAD" w:rsidRPr="00147C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ramework</w:t>
            </w:r>
            <w:r w:rsidR="00240B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Maldives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BB73D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BB73D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11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BB73D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40BAD" w:rsidRPr="00BB73D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120" w:type="pct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BB73D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BB73D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BB73D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BB73D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BB73D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227464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74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227464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74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BB73D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International consultant </w:t>
            </w:r>
          </w:p>
        </w:tc>
        <w:tc>
          <w:tcPr>
            <w:tcW w:w="31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BB73D2" w:rsidRDefault="00240BA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15 000</w:t>
            </w:r>
          </w:p>
        </w:tc>
      </w:tr>
      <w:tr w:rsidR="003D238C" w:rsidRPr="009F32BE" w:rsidTr="003D4D9E">
        <w:trPr>
          <w:trHeight w:val="220"/>
        </w:trPr>
        <w:tc>
          <w:tcPr>
            <w:tcW w:w="118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240BAD" w:rsidRPr="009F32BE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D238C" w:rsidRPr="009F32BE" w:rsidTr="00AC36E8">
        <w:trPr>
          <w:trHeight w:val="199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240BAD" w:rsidRPr="009F32BE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Translation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240BAD" w:rsidRPr="009F32BE" w:rsidTr="00AC36E8">
        <w:trPr>
          <w:trHeight w:val="199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240BAD" w:rsidRPr="009F32BE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Workshop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Pr="00147C62" w:rsidRDefault="00240BA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240BAD" w:rsidRPr="009F32BE" w:rsidTr="00AC36E8">
        <w:trPr>
          <w:trHeight w:val="225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240BAD" w:rsidRPr="009F32BE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BAD" w:rsidRPr="00147C62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Default="00240BA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40BAD" w:rsidRDefault="00240BA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240BAD" w:rsidRDefault="00240BA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3 000</w:t>
            </w:r>
          </w:p>
        </w:tc>
      </w:tr>
      <w:tr w:rsidR="003D238C" w:rsidRPr="009F32BE" w:rsidTr="00AC36E8">
        <w:trPr>
          <w:trHeight w:val="432"/>
        </w:trPr>
        <w:tc>
          <w:tcPr>
            <w:tcW w:w="11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5823EF" w:rsidRPr="00147C62" w:rsidRDefault="0030586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</w:t>
            </w:r>
            <w:r w:rsidR="005823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</w:t>
            </w:r>
            <w:r w:rsidR="00813C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Contribute towards the d</w:t>
            </w:r>
            <w:r w:rsidR="005823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evelop </w:t>
            </w:r>
            <w:r w:rsidR="00813C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 </w:t>
            </w:r>
            <w:r w:rsidR="005823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emergency operations plan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147C62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147C62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147C62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147C62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147C62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147C62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147C62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147C62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823EF" w:rsidRPr="00147C62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823EF" w:rsidRPr="00147C62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823EF" w:rsidRPr="00147C62" w:rsidRDefault="00ED20B1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823EF" w:rsidRPr="00147C62" w:rsidRDefault="005823EF" w:rsidP="0066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 Day Workshop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823EF" w:rsidRPr="00147C62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743A9D">
        <w:trPr>
          <w:trHeight w:val="189"/>
        </w:trPr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5823EF" w:rsidRPr="00743A9D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OUTPUT 2</w:t>
            </w:r>
          </w:p>
        </w:tc>
        <w:tc>
          <w:tcPr>
            <w:tcW w:w="3502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5823EF" w:rsidRPr="00743A9D" w:rsidRDefault="005823EF" w:rsidP="00743A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743A9D" w:rsidRDefault="004E1BFB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161 5</w:t>
            </w:r>
            <w:r w:rsidR="007D4BFC" w:rsidRPr="00743A9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00</w:t>
            </w:r>
          </w:p>
        </w:tc>
      </w:tr>
      <w:tr w:rsidR="003D238C" w:rsidRPr="009F32BE" w:rsidTr="00743A9D">
        <w:trPr>
          <w:cantSplit/>
          <w:trHeight w:val="936"/>
        </w:trPr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5823EF" w:rsidRDefault="005823EF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4507F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End-to-end early warning </w:t>
            </w:r>
            <w:r w:rsidR="00466EF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operating procedures</w:t>
            </w:r>
            <w:r w:rsidRPr="004507F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strengthened </w:t>
            </w:r>
          </w:p>
          <w:p w:rsidR="005823EF" w:rsidRPr="004507F2" w:rsidRDefault="005823EF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7E4BC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2.1: </w:t>
            </w:r>
            <w:r w:rsidR="00813CFA"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Develop </w:t>
            </w:r>
            <w:r w:rsidR="00813C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multi hazard early warning national </w:t>
            </w:r>
            <w:r w:rsidR="00813CFA"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SOPs</w:t>
            </w:r>
            <w:r w:rsidR="00813C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links to local level early warning and finalize the national </w:t>
            </w:r>
            <w:r w:rsidR="00813CFA"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communication strategy for disseminating early warning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information 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 </w:t>
            </w: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6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NDMC/</w:t>
            </w:r>
            <w:r w:rsidR="008E3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MMS</w:t>
            </w:r>
          </w:p>
        </w:tc>
        <w:tc>
          <w:tcPr>
            <w:tcW w:w="325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8E3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hideMark/>
          </w:tcPr>
          <w:p w:rsidR="00227464" w:rsidRDefault="00227464" w:rsidP="0045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227464" w:rsidRDefault="00227464" w:rsidP="0045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823EF" w:rsidRPr="009F32BE" w:rsidRDefault="0071602F" w:rsidP="0045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</w:t>
            </w:r>
            <w:r w:rsidR="005823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ational Consultant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743A9D" w:rsidRDefault="00743A9D" w:rsidP="00743A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16 500</w:t>
            </w:r>
            <w:r w:rsidR="005823EF" w:rsidRPr="00743A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238C" w:rsidRPr="009F32BE" w:rsidTr="00743A9D">
        <w:trPr>
          <w:trHeight w:val="252"/>
        </w:trPr>
        <w:tc>
          <w:tcPr>
            <w:tcW w:w="118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87CD8" w:rsidRDefault="005823EF" w:rsidP="00987CD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987CD8" w:rsidRPr="00987CD8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Indicators:</w:t>
            </w:r>
          </w:p>
          <w:p w:rsidR="00987CD8" w:rsidRPr="00987CD8" w:rsidRDefault="00987CD8" w:rsidP="00987CD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1.Progress made on the communication strategy for disseminating early warning information strategy </w:t>
            </w:r>
          </w:p>
          <w:p w:rsidR="00987CD8" w:rsidRDefault="00987CD8" w:rsidP="00987CD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2.Progress made on development of </w:t>
            </w:r>
            <w:r w:rsidRPr="007E5B53">
              <w:rPr>
                <w:rFonts w:cs="Arial"/>
                <w:sz w:val="18"/>
                <w:szCs w:val="18"/>
              </w:rPr>
              <w:t xml:space="preserve">SOPs and response actions </w:t>
            </w:r>
          </w:p>
          <w:p w:rsidR="00987CD8" w:rsidRPr="007E5B53" w:rsidRDefault="00987CD8" w:rsidP="00987CD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3.% of people with increased awareness on how to respond to early warning</w:t>
            </w:r>
          </w:p>
          <w:p w:rsidR="00987CD8" w:rsidRDefault="00987CD8" w:rsidP="00987CD8">
            <w:pPr>
              <w:spacing w:before="100" w:beforeAutospacing="1" w:after="100" w:afterAutospacing="1" w:line="240" w:lineRule="auto"/>
              <w:contextualSpacing/>
              <w:rPr>
                <w:rFonts w:cs="Arial"/>
                <w:b/>
                <w:i/>
                <w:sz w:val="18"/>
                <w:szCs w:val="18"/>
              </w:rPr>
            </w:pPr>
          </w:p>
          <w:p w:rsidR="00987CD8" w:rsidRPr="00780190" w:rsidRDefault="00987CD8" w:rsidP="00987CD8">
            <w:pPr>
              <w:spacing w:after="0" w:line="240" w:lineRule="auto"/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Baseline:</w:t>
            </w:r>
          </w:p>
          <w:p w:rsidR="00987CD8" w:rsidRDefault="00987CD8" w:rsidP="00987CD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1.No communication strategy exists</w:t>
            </w:r>
          </w:p>
          <w:p w:rsidR="00987CD8" w:rsidRPr="007E5B53" w:rsidRDefault="00987CD8" w:rsidP="00987CD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2.No SOPs exist</w:t>
            </w:r>
          </w:p>
          <w:p w:rsidR="005823EF" w:rsidRPr="00987CD8" w:rsidRDefault="00987CD8" w:rsidP="00987CD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3.TBE by the baseline survey</w:t>
            </w:r>
          </w:p>
          <w:p w:rsidR="00987CD8" w:rsidRDefault="00987CD8" w:rsidP="00987CD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  <w:p w:rsidR="00987CD8" w:rsidRDefault="005823EF" w:rsidP="00987CD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03C2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Targets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r w:rsidR="00987CD8">
              <w:rPr>
                <w:rFonts w:cs="Arial"/>
                <w:sz w:val="18"/>
                <w:szCs w:val="18"/>
              </w:rPr>
              <w:t xml:space="preserve">1.Communication strategy finalised </w:t>
            </w:r>
          </w:p>
          <w:p w:rsidR="00987CD8" w:rsidRDefault="00987CD8" w:rsidP="00987CD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5B222E">
              <w:rPr>
                <w:rFonts w:cs="Arial"/>
                <w:sz w:val="18"/>
                <w:szCs w:val="18"/>
              </w:rPr>
              <w:t>Early warning</w:t>
            </w:r>
            <w:r w:rsidRPr="007E5B53">
              <w:rPr>
                <w:rFonts w:cs="Arial"/>
                <w:sz w:val="18"/>
                <w:szCs w:val="18"/>
              </w:rPr>
              <w:t xml:space="preserve"> SOPs and appropriate response actions developed</w:t>
            </w:r>
          </w:p>
          <w:p w:rsidR="005823EF" w:rsidRPr="00987CD8" w:rsidRDefault="00987CD8" w:rsidP="00987CD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3.Target % </w:t>
            </w:r>
            <w:r w:rsidRPr="00606564">
              <w:rPr>
                <w:rFonts w:cs="Arial"/>
                <w:sz w:val="18"/>
                <w:szCs w:val="18"/>
              </w:rPr>
              <w:t>to be determined by baseline survey</w:t>
            </w:r>
          </w:p>
        </w:tc>
        <w:tc>
          <w:tcPr>
            <w:tcW w:w="10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48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ED20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  <w:r w:rsidR="004849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ED20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  <w:r w:rsidR="005823EF"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AA4" w:rsidRPr="009F32BE" w:rsidTr="00743A9D">
        <w:trPr>
          <w:trHeight w:val="234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7E4BC"/>
            <w:hideMark/>
          </w:tcPr>
          <w:p w:rsidR="00106AA4" w:rsidRPr="009F32BE" w:rsidRDefault="00106AA4" w:rsidP="0030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2.2: </w:t>
            </w:r>
            <w:proofErr w:type="spellStart"/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Sensitisation</w:t>
            </w:r>
            <w:proofErr w:type="spellEnd"/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/ simulation on early warning SOPs for stakeholders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at national, Atoll and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community level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selected Atolls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106AA4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Pr="009F32BE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Pr="009F32BE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30586D" w:rsidRPr="009F32BE" w:rsidRDefault="0030586D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6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NDMC/ MMS</w:t>
            </w:r>
          </w:p>
        </w:tc>
        <w:tc>
          <w:tcPr>
            <w:tcW w:w="325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45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Consultant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5C3C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106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000</w:t>
            </w:r>
            <w:r w:rsidR="00106AA4"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AA4" w:rsidRPr="009F32BE" w:rsidTr="00AC36E8">
        <w:trPr>
          <w:trHeight w:val="340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7E4BC"/>
            <w:hideMark/>
          </w:tcPr>
          <w:p w:rsidR="00106AA4" w:rsidRDefault="00106AA4" w:rsidP="0030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6AA4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National sensitization workshop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5C3C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106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106AA4" w:rsidRPr="009F32BE" w:rsidTr="00AC36E8">
        <w:trPr>
          <w:trHeight w:val="269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7E4BC"/>
            <w:hideMark/>
          </w:tcPr>
          <w:p w:rsidR="00106AA4" w:rsidRDefault="00106AA4" w:rsidP="0030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6AA4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Atoll sensitization workshops x 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Default="00106AA4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4 000</w:t>
            </w:r>
          </w:p>
          <w:p w:rsidR="00106AA4" w:rsidRPr="009F32BE" w:rsidRDefault="00106AA4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06AA4" w:rsidRPr="009F32BE" w:rsidTr="00AC36E8">
        <w:trPr>
          <w:trHeight w:val="375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7E4BC"/>
            <w:hideMark/>
          </w:tcPr>
          <w:p w:rsidR="00106AA4" w:rsidRDefault="00106AA4" w:rsidP="0030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6AA4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6AA4" w:rsidRPr="00106AA4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106AA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unfunded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6AA4" w:rsidRPr="00106AA4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106AA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6AA4" w:rsidRPr="00106AA4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106AA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Atoll sensitization workshops x 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6AA4" w:rsidRPr="00106AA4" w:rsidRDefault="00106AA4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</w:pPr>
            <w:r w:rsidRPr="00106AA4"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  <w:t>4 000</w:t>
            </w:r>
          </w:p>
          <w:p w:rsidR="00106AA4" w:rsidRPr="00106AA4" w:rsidRDefault="00106AA4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</w:p>
        </w:tc>
      </w:tr>
      <w:tr w:rsidR="00106AA4" w:rsidRPr="009F32BE" w:rsidTr="00AC36E8">
        <w:trPr>
          <w:trHeight w:val="315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7E4BC"/>
            <w:hideMark/>
          </w:tcPr>
          <w:p w:rsidR="00106AA4" w:rsidRDefault="00106AA4" w:rsidP="0030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6AA4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Community level workshops x 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106AA4" w:rsidRDefault="00106AA4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6AA4">
              <w:rPr>
                <w:rFonts w:ascii="Calibri" w:eastAsia="Times New Roman" w:hAnsi="Calibri" w:cs="Times New Roman"/>
                <w:sz w:val="18"/>
                <w:szCs w:val="18"/>
              </w:rPr>
              <w:t>4 000</w:t>
            </w:r>
          </w:p>
          <w:p w:rsidR="00106AA4" w:rsidRPr="009F32BE" w:rsidRDefault="00106AA4" w:rsidP="0010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06AA4" w:rsidRPr="009F32BE" w:rsidTr="00AC36E8">
        <w:trPr>
          <w:trHeight w:val="329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7E4BC"/>
            <w:hideMark/>
          </w:tcPr>
          <w:p w:rsidR="00106AA4" w:rsidRDefault="00106AA4" w:rsidP="0030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6AA4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6AA4" w:rsidRPr="00106AA4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unfunded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6AA4" w:rsidRPr="00106AA4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6AA4" w:rsidRPr="00106AA4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106AA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Community level workshops x 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6AA4" w:rsidRPr="00106AA4" w:rsidRDefault="00106AA4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</w:pPr>
            <w:r w:rsidRPr="00106AA4"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  <w:t>4 000</w:t>
            </w:r>
          </w:p>
        </w:tc>
      </w:tr>
      <w:tr w:rsidR="00106AA4" w:rsidRPr="009F32BE" w:rsidTr="00AC36E8">
        <w:trPr>
          <w:trHeight w:val="199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7E4BC"/>
            <w:hideMark/>
          </w:tcPr>
          <w:p w:rsidR="00106AA4" w:rsidRDefault="00106AA4" w:rsidP="0030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6AA4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48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30586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106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0 000</w:t>
            </w:r>
          </w:p>
        </w:tc>
      </w:tr>
      <w:tr w:rsidR="00106AA4" w:rsidRPr="009F32BE" w:rsidTr="00AC36E8">
        <w:trPr>
          <w:trHeight w:val="225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7E4BC"/>
            <w:hideMark/>
          </w:tcPr>
          <w:p w:rsidR="00106AA4" w:rsidRDefault="00106AA4" w:rsidP="0030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6AA4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6AA4" w:rsidRPr="00790DB6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90DB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unfunded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6AA4" w:rsidRPr="00790DB6" w:rsidRDefault="00106AA4" w:rsidP="004849D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6AA4" w:rsidRPr="00790DB6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Travel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6AA4" w:rsidRPr="00106AA4" w:rsidRDefault="00106AA4" w:rsidP="00106A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</w:pPr>
            <w:r w:rsidRPr="00106AA4"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  <w:t>40 000</w:t>
            </w:r>
          </w:p>
        </w:tc>
      </w:tr>
      <w:tr w:rsidR="00106AA4" w:rsidRPr="009F32BE" w:rsidTr="00743A9D">
        <w:trPr>
          <w:trHeight w:val="298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106AA4" w:rsidRDefault="00106AA4" w:rsidP="0030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6AA4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A4" w:rsidRPr="009F32BE" w:rsidRDefault="00106AA4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Default="00106AA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06AA4" w:rsidRPr="009F32BE" w:rsidRDefault="00106AA4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5 000</w:t>
            </w:r>
          </w:p>
        </w:tc>
      </w:tr>
      <w:tr w:rsidR="003D238C" w:rsidRPr="009F32BE" w:rsidTr="00AC36E8">
        <w:trPr>
          <w:trHeight w:val="420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7E4BC"/>
            <w:hideMark/>
          </w:tcPr>
          <w:p w:rsidR="005823EF" w:rsidRPr="009F32BE" w:rsidRDefault="0030586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</w:t>
            </w:r>
            <w:r w:rsidR="005823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</w:t>
            </w:r>
            <w:r w:rsidR="005823EF"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Conduct campaigns to raise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awareness on early warning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procedures, messages,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channels including feedback, community rights to safe environment.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356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813C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NDMC/ 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25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ED20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awareness meetings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4E1BFB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003B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210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7E4BC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4849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Publications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7D4BFC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 </w:t>
            </w:r>
            <w:r w:rsidR="00003B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240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7E4BC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4849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TV/radio spots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7D4BFC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 </w:t>
            </w:r>
            <w:r w:rsidR="00003B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225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7E4BC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4849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Shipping costs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225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7E4BC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ED20B1" w:rsidP="0048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  <w:r w:rsidR="004849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210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ED20B1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217"/>
        </w:trPr>
        <w:tc>
          <w:tcPr>
            <w:tcW w:w="11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5823EF" w:rsidRPr="009F32BE" w:rsidRDefault="005823EF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D238C" w:rsidRPr="009F32BE" w:rsidTr="00743A9D">
        <w:trPr>
          <w:trHeight w:val="216"/>
        </w:trPr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5823EF" w:rsidRPr="00743A9D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OUTPUT 3</w:t>
            </w:r>
          </w:p>
        </w:tc>
        <w:tc>
          <w:tcPr>
            <w:tcW w:w="3502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823EF" w:rsidRPr="00743A9D" w:rsidRDefault="005823EF" w:rsidP="00F16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743A9D" w:rsidRDefault="004E1BFB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743A9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60</w:t>
            </w:r>
            <w:r w:rsidR="007D4BFC" w:rsidRPr="00743A9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500</w:t>
            </w:r>
          </w:p>
        </w:tc>
      </w:tr>
      <w:tr w:rsidR="003D238C" w:rsidRPr="009F32BE" w:rsidTr="00AC36E8">
        <w:trPr>
          <w:trHeight w:val="351"/>
        </w:trPr>
        <w:tc>
          <w:tcPr>
            <w:tcW w:w="118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Output 3: Increased public awareness and knowledge on disaster risk reduction and climate change adaptation</w:t>
            </w:r>
          </w:p>
        </w:tc>
        <w:tc>
          <w:tcPr>
            <w:tcW w:w="10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3.1: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Training of media personnel in DRR and CCA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6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NDMC/</w:t>
            </w:r>
            <w:r w:rsidR="008E3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MEE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D20B1" w:rsidRPr="009F32BE" w:rsidRDefault="00C46765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C4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Con</w:t>
            </w:r>
            <w:r w:rsidR="00C467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sultant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C46765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352"/>
        </w:trPr>
        <w:tc>
          <w:tcPr>
            <w:tcW w:w="11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C46765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DRR Media Workshop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C46765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743A9D">
        <w:trPr>
          <w:trHeight w:val="504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2C28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Indicators</w:t>
            </w:r>
            <w:proofErr w:type="gramStart"/>
            <w:r w:rsidRPr="00862C28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:</w:t>
            </w:r>
            <w:proofErr w:type="gramEnd"/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1. No. of media personnel sensitized on DRRM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2. No. of DRR/CCA articles published in national broadsheets within the year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3. # of Gender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vulnerable groups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specific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DRR awareness </w:t>
            </w:r>
            <w:proofErr w:type="spellStart"/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programmes</w:t>
            </w:r>
            <w:proofErr w:type="spellEnd"/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conducted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4. No. of Radio and TV </w:t>
            </w:r>
            <w:proofErr w:type="gramStart"/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stations  aired</w:t>
            </w:r>
            <w:proofErr w:type="gramEnd"/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spots, programs or talk shows on DRR/CCA within the year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5. % of people with increased awareness on disasters</w:t>
            </w:r>
          </w:p>
          <w:p w:rsidR="00AF6B9E" w:rsidRPr="009F32BE" w:rsidRDefault="00AF6B9E" w:rsidP="00AF6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62C28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Baseline: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TBE by the baseline survey</w:t>
            </w:r>
          </w:p>
          <w:p w:rsidR="00AF6B9E" w:rsidRDefault="00AF6B9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2C28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Targets</w:t>
            </w:r>
            <w:proofErr w:type="gramStart"/>
            <w:r w:rsidRPr="00862C28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:</w:t>
            </w:r>
            <w:proofErr w:type="gramEnd"/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1. 15 people from all media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2. 10 articles</w:t>
            </w:r>
          </w:p>
          <w:p w:rsidR="005823EF" w:rsidRPr="009F32BE" w:rsidRDefault="00AF6B9E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At least 8 island communities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4</w:t>
            </w:r>
            <w:r w:rsidR="005823EF"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2 ra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 channels and 2 TV channels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5. </w:t>
            </w:r>
            <w:r w:rsidR="005823EF"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 to be determined by baseline survey</w:t>
            </w:r>
          </w:p>
        </w:tc>
        <w:tc>
          <w:tcPr>
            <w:tcW w:w="10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CD5B4"/>
            <w:hideMark/>
          </w:tcPr>
          <w:p w:rsidR="005823EF" w:rsidRPr="009F32BE" w:rsidRDefault="005823EF" w:rsidP="008E72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3.2: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Develop a gender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vulnerable groups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DRR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/CCA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public awareness module</w:t>
            </w:r>
            <w:r w:rsidR="004D00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using experiences from ongoing DRR and CCA activities in Maldives</w:t>
            </w:r>
            <w:r w:rsidR="00BA13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6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NDMC/</w:t>
            </w:r>
            <w:r w:rsidR="008E3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MEE</w:t>
            </w:r>
            <w:r w:rsidR="004D00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/ MRC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48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ED20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  <w:r w:rsidR="004849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ED20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3D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3D23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Consultant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206F67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003B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  <w:r w:rsidR="005823EF"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238C" w:rsidRPr="009F32BE" w:rsidTr="00AC36E8">
        <w:trPr>
          <w:trHeight w:val="315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FCD5B4"/>
            <w:hideMark/>
          </w:tcPr>
          <w:p w:rsidR="005823EF" w:rsidRDefault="005823EF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C46765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</w:t>
            </w:r>
            <w:r w:rsidR="004849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Printing and </w:t>
            </w:r>
            <w:r w:rsidR="007951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production costs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  <w:p w:rsidR="00795143" w:rsidRPr="009F32BE" w:rsidRDefault="00795143" w:rsidP="0079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95143" w:rsidRPr="009F32BE" w:rsidTr="00AC36E8">
        <w:trPr>
          <w:trHeight w:val="330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795143" w:rsidRPr="009F32BE" w:rsidRDefault="00795143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FCD5B4"/>
            <w:hideMark/>
          </w:tcPr>
          <w:p w:rsidR="00795143" w:rsidRDefault="00795143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43" w:rsidRPr="009F32BE" w:rsidRDefault="00795143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43" w:rsidRPr="009F32BE" w:rsidRDefault="00795143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43" w:rsidRPr="009F32BE" w:rsidRDefault="00795143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95143" w:rsidRPr="009F32BE" w:rsidRDefault="00795143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43" w:rsidRPr="009F32BE" w:rsidRDefault="00795143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43" w:rsidRPr="009F32BE" w:rsidRDefault="00795143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43" w:rsidRPr="009F32BE" w:rsidRDefault="00795143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143" w:rsidRPr="009F32BE" w:rsidRDefault="00795143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95143" w:rsidRPr="00795143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9514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unfunded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95143" w:rsidRPr="00795143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9514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95143" w:rsidRPr="00795143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9514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Printing and production costs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95143" w:rsidRPr="009B6540" w:rsidRDefault="00795143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</w:pPr>
            <w:r w:rsidRPr="009B6540"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  <w:t>5 000</w:t>
            </w:r>
          </w:p>
        </w:tc>
      </w:tr>
      <w:tr w:rsidR="003D238C" w:rsidRPr="009F32BE" w:rsidTr="00AC36E8">
        <w:trPr>
          <w:trHeight w:val="180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FCD5B4"/>
            <w:hideMark/>
          </w:tcPr>
          <w:p w:rsidR="005823EF" w:rsidRPr="009F32BE" w:rsidRDefault="005823EF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EC254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467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</w:t>
            </w:r>
            <w:r w:rsidR="004849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Shipping costs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B6540" w:rsidRPr="009F32BE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9B6540" w:rsidRPr="009F32BE" w:rsidTr="00AC36E8">
        <w:trPr>
          <w:trHeight w:val="255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B6540" w:rsidRPr="009F32BE" w:rsidRDefault="009B6540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FCD5B4"/>
            <w:hideMark/>
          </w:tcPr>
          <w:p w:rsidR="009B6540" w:rsidRPr="009F32BE" w:rsidRDefault="009B6540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540" w:rsidRPr="009F32BE" w:rsidRDefault="009B6540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540" w:rsidRPr="009F32BE" w:rsidRDefault="009B6540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540" w:rsidRPr="009F32BE" w:rsidRDefault="009B6540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6540" w:rsidRPr="009F32BE" w:rsidRDefault="009B6540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540" w:rsidRPr="009F32BE" w:rsidRDefault="009B6540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540" w:rsidRPr="009F32BE" w:rsidRDefault="009B6540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540" w:rsidRPr="009F32BE" w:rsidRDefault="009B6540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540" w:rsidRPr="009F32BE" w:rsidRDefault="009B6540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B6540" w:rsidRPr="009F32BE" w:rsidRDefault="009B6540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B6540" w:rsidRPr="009B6540" w:rsidRDefault="009B6540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B654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unfunded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B6540" w:rsidRPr="009B6540" w:rsidRDefault="009B6540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B654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B6540" w:rsidRPr="009B6540" w:rsidRDefault="009B6540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B654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Shipping costs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B6540" w:rsidRPr="009B6540" w:rsidRDefault="009B6540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</w:pPr>
            <w:r w:rsidRPr="009B6540"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  <w:t>2 000</w:t>
            </w:r>
          </w:p>
        </w:tc>
      </w:tr>
      <w:tr w:rsidR="003D238C" w:rsidRPr="009F32BE" w:rsidTr="00AC36E8">
        <w:trPr>
          <w:trHeight w:val="289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FCD5B4"/>
            <w:hideMark/>
          </w:tcPr>
          <w:p w:rsidR="005823EF" w:rsidRPr="009F32BE" w:rsidRDefault="005823EF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ED20B1" w:rsidP="0048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  <w:r w:rsidR="004849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451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FCD5B4"/>
            <w:hideMark/>
          </w:tcPr>
          <w:p w:rsidR="005823EF" w:rsidRPr="009F32BE" w:rsidRDefault="005823EF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4E1BFB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8A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NDMC/</w:t>
            </w:r>
            <w:r w:rsidR="008E3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MEE</w:t>
            </w:r>
            <w:r w:rsidR="004D00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 MRC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9A671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9A671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Endorsement Workshop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A6713" w:rsidRDefault="009A6713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  <w:r w:rsidRPr="009A6713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2 000</w:t>
            </w:r>
          </w:p>
        </w:tc>
      </w:tr>
      <w:tr w:rsidR="003D238C" w:rsidRPr="009F32BE" w:rsidTr="00AC36E8">
        <w:trPr>
          <w:trHeight w:val="405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CD5B4"/>
            <w:hideMark/>
          </w:tcPr>
          <w:p w:rsidR="005823EF" w:rsidRDefault="005823EF" w:rsidP="008E72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Disseminate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DRR and CCA messages, information and knowledge products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through public media and social media.</w:t>
            </w:r>
          </w:p>
          <w:p w:rsidR="005823EF" w:rsidRPr="009F32BE" w:rsidRDefault="005823EF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631FEB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631FEB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631FEB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7D4BFC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NDMC/</w:t>
            </w:r>
            <w:r w:rsidR="008E3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MEE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EC254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22746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</w:t>
            </w:r>
            <w:r w:rsidR="004849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Printing and production costs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013120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A671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003B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3D238C" w:rsidRPr="009F32BE" w:rsidTr="00AC36E8">
        <w:trPr>
          <w:trHeight w:val="334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FCD5B4"/>
            <w:hideMark/>
          </w:tcPr>
          <w:p w:rsidR="005823EF" w:rsidRDefault="005823EF" w:rsidP="008E72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4849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TV and Radio spots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4E1BFB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003B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271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5823EF" w:rsidRDefault="005823EF" w:rsidP="008E72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ED20B1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013120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7D4B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003B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1320"/>
        </w:trPr>
        <w:tc>
          <w:tcPr>
            <w:tcW w:w="11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5823EF" w:rsidRDefault="005823EF" w:rsidP="008E72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23EF" w:rsidRPr="009F32BE" w:rsidRDefault="005823EF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D238C" w:rsidRPr="009F32BE" w:rsidTr="00743A9D">
        <w:trPr>
          <w:trHeight w:val="225"/>
        </w:trPr>
        <w:tc>
          <w:tcPr>
            <w:tcW w:w="1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OUTPUT 4</w:t>
            </w:r>
          </w:p>
        </w:tc>
        <w:tc>
          <w:tcPr>
            <w:tcW w:w="3502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23EF" w:rsidRPr="00AF6B9E" w:rsidRDefault="004E1BFB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113</w:t>
            </w:r>
            <w:r w:rsidR="004E3445"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3D238C" w:rsidRPr="009F32BE" w:rsidTr="00AC36E8">
        <w:trPr>
          <w:trHeight w:val="792"/>
        </w:trPr>
        <w:tc>
          <w:tcPr>
            <w:tcW w:w="1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Output 4: Increased community capacities for disaster preparedness for effective response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5823EF" w:rsidRPr="009F32BE" w:rsidRDefault="005823EF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4.1: Explore sustainable model for long term VCA/RA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4E1BFB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ED20B1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National Consultant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4E34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F57BCC" w:rsidRPr="009F32BE" w:rsidTr="00AC36E8">
        <w:trPr>
          <w:trHeight w:val="334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D2A43" w:rsidRDefault="00F57BCC" w:rsidP="004934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A2969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Indicators: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r w:rsidR="00493422">
              <w:rPr>
                <w:rFonts w:cs="Arial"/>
                <w:sz w:val="18"/>
                <w:szCs w:val="18"/>
              </w:rPr>
              <w:t>1.</w:t>
            </w:r>
            <w:r w:rsidR="007D2A43">
              <w:rPr>
                <w:rFonts w:cs="Arial"/>
                <w:sz w:val="18"/>
                <w:szCs w:val="18"/>
              </w:rPr>
              <w:t xml:space="preserve"> Progress towards a sustainable model for VCA/RA</w:t>
            </w:r>
          </w:p>
          <w:p w:rsidR="00513C2D" w:rsidRDefault="00513C2D" w:rsidP="004934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# of additional islands with gender and ‘at risk populations’ sensitive disaster preparedness plans</w:t>
            </w:r>
          </w:p>
          <w:p w:rsidR="00513C2D" w:rsidRDefault="00493422" w:rsidP="004934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513C2D">
              <w:rPr>
                <w:rFonts w:cs="Arial"/>
                <w:sz w:val="18"/>
                <w:szCs w:val="18"/>
              </w:rPr>
              <w:t>#</w:t>
            </w:r>
            <w:r w:rsidR="00513C2D" w:rsidRPr="008F0F28">
              <w:rPr>
                <w:rFonts w:cs="Arial"/>
                <w:sz w:val="18"/>
                <w:szCs w:val="18"/>
              </w:rPr>
              <w:t>of islands with a functioning Island Disaster Management Committee</w:t>
            </w:r>
          </w:p>
          <w:p w:rsidR="00513C2D" w:rsidRDefault="00493422" w:rsidP="004934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 </w:t>
            </w:r>
            <w:r w:rsidR="00513C2D">
              <w:rPr>
                <w:rFonts w:cs="Arial"/>
                <w:sz w:val="18"/>
                <w:szCs w:val="18"/>
              </w:rPr>
              <w:t>#</w:t>
            </w:r>
            <w:r w:rsidR="00513C2D" w:rsidRPr="00606564">
              <w:rPr>
                <w:rFonts w:cs="Arial"/>
                <w:sz w:val="18"/>
                <w:szCs w:val="18"/>
              </w:rPr>
              <w:t>of atolls council offices with trained CBDRM planners</w:t>
            </w:r>
          </w:p>
          <w:p w:rsidR="00513C2D" w:rsidRPr="00606564" w:rsidRDefault="00493422" w:rsidP="004934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 w:rsidR="00513C2D" w:rsidRPr="00ED2214">
              <w:rPr>
                <w:rFonts w:cs="Arial"/>
                <w:sz w:val="18"/>
                <w:szCs w:val="18"/>
              </w:rPr>
              <w:t>No. of women</w:t>
            </w:r>
            <w:r w:rsidR="00513C2D">
              <w:rPr>
                <w:rFonts w:cs="Arial"/>
                <w:sz w:val="18"/>
                <w:szCs w:val="18"/>
              </w:rPr>
              <w:t>,</w:t>
            </w:r>
            <w:r w:rsidR="00513C2D" w:rsidRPr="00ED2214">
              <w:rPr>
                <w:rFonts w:cs="Arial"/>
                <w:sz w:val="18"/>
                <w:szCs w:val="18"/>
              </w:rPr>
              <w:t xml:space="preserve"> men</w:t>
            </w:r>
            <w:r w:rsidR="00513C2D">
              <w:rPr>
                <w:rFonts w:cs="Arial"/>
                <w:sz w:val="18"/>
                <w:szCs w:val="18"/>
              </w:rPr>
              <w:t xml:space="preserve"> and persons with special needs</w:t>
            </w:r>
            <w:r w:rsidR="00513C2D" w:rsidRPr="00ED2214">
              <w:rPr>
                <w:rFonts w:cs="Arial"/>
                <w:sz w:val="18"/>
                <w:szCs w:val="18"/>
              </w:rPr>
              <w:t xml:space="preserve"> consulted during the development of contingency and preparedness plans</w:t>
            </w:r>
          </w:p>
          <w:p w:rsidR="00513C2D" w:rsidRPr="008F0F28" w:rsidRDefault="00493422" w:rsidP="004934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</w:t>
            </w:r>
            <w:r w:rsidR="00513C2D">
              <w:rPr>
                <w:rFonts w:cs="Arial"/>
                <w:sz w:val="18"/>
                <w:szCs w:val="18"/>
              </w:rPr>
              <w:t>#</w:t>
            </w:r>
            <w:r w:rsidR="00513C2D" w:rsidRPr="008F0F28">
              <w:rPr>
                <w:rFonts w:cs="Arial"/>
                <w:sz w:val="18"/>
                <w:szCs w:val="18"/>
              </w:rPr>
              <w:t>of islands using a standard guide or manual developed  for IDMCs )</w:t>
            </w:r>
          </w:p>
          <w:p w:rsidR="00513C2D" w:rsidRPr="00B47E86" w:rsidRDefault="00493422" w:rsidP="00493422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  <w:r w:rsidR="00513C2D" w:rsidRPr="00B47E86">
              <w:rPr>
                <w:rFonts w:cs="Arial"/>
                <w:sz w:val="18"/>
                <w:szCs w:val="18"/>
              </w:rPr>
              <w:t xml:space="preserve">% of women members in Island Disaster </w:t>
            </w:r>
            <w:r w:rsidR="00513C2D" w:rsidRPr="00B47E86">
              <w:rPr>
                <w:rFonts w:cs="Arial"/>
                <w:sz w:val="18"/>
                <w:szCs w:val="18"/>
              </w:rPr>
              <w:lastRenderedPageBreak/>
              <w:t xml:space="preserve">Management Committees </w:t>
            </w:r>
          </w:p>
          <w:p w:rsidR="00EA6441" w:rsidRDefault="00513C2D" w:rsidP="004934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A2969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Baseline: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r w:rsidR="00493422">
              <w:rPr>
                <w:rFonts w:cs="Arial"/>
                <w:sz w:val="18"/>
                <w:szCs w:val="18"/>
              </w:rPr>
              <w:t>1.</w:t>
            </w:r>
            <w:r w:rsidR="00EA6441">
              <w:rPr>
                <w:rFonts w:cs="Arial"/>
                <w:sz w:val="18"/>
                <w:szCs w:val="18"/>
              </w:rPr>
              <w:t>no model exists</w:t>
            </w:r>
          </w:p>
          <w:p w:rsidR="00493422" w:rsidRDefault="00493422" w:rsidP="004934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islands with gender sensitive DRM Plans</w:t>
            </w:r>
          </w:p>
          <w:p w:rsidR="00493422" w:rsidRDefault="00493422" w:rsidP="004934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Pr="007E5B53">
              <w:rPr>
                <w:rFonts w:cs="Arial"/>
                <w:sz w:val="18"/>
                <w:szCs w:val="18"/>
              </w:rPr>
              <w:t>40 Islands with disaster preparedn</w:t>
            </w:r>
            <w:r>
              <w:rPr>
                <w:rFonts w:cs="Arial"/>
                <w:sz w:val="18"/>
                <w:szCs w:val="18"/>
              </w:rPr>
              <w:t>ess plans developed in 2006-2009</w:t>
            </w:r>
          </w:p>
          <w:p w:rsidR="00493422" w:rsidRDefault="00493422" w:rsidP="004934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 council offices with CBDRM planners</w:t>
            </w:r>
          </w:p>
          <w:p w:rsidR="00493422" w:rsidRPr="00493422" w:rsidRDefault="00493422" w:rsidP="004934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93422">
              <w:rPr>
                <w:rFonts w:cs="Arial"/>
                <w:sz w:val="18"/>
                <w:szCs w:val="18"/>
              </w:rPr>
              <w:t xml:space="preserve">men and women consulted </w:t>
            </w:r>
          </w:p>
          <w:p w:rsidR="00493422" w:rsidRPr="00493422" w:rsidRDefault="00493422" w:rsidP="004934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93422">
              <w:rPr>
                <w:rFonts w:cs="Arial"/>
                <w:sz w:val="18"/>
                <w:szCs w:val="18"/>
              </w:rPr>
              <w:t>islands using standard guide</w:t>
            </w:r>
          </w:p>
          <w:p w:rsidR="00F57BCC" w:rsidRPr="00493422" w:rsidRDefault="00493422" w:rsidP="004934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6.TBE by baseline survey</w:t>
            </w:r>
          </w:p>
          <w:p w:rsidR="00493422" w:rsidRDefault="00F57BCC" w:rsidP="0049342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A2969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Targets: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r w:rsidR="00493422">
              <w:rPr>
                <w:rFonts w:cs="Arial"/>
                <w:color w:val="000000"/>
                <w:sz w:val="18"/>
                <w:szCs w:val="18"/>
              </w:rPr>
              <w:t>1.8</w:t>
            </w:r>
            <w:r w:rsidR="00493422" w:rsidRPr="0043651F">
              <w:rPr>
                <w:rFonts w:cs="Arial"/>
                <w:color w:val="000000"/>
                <w:sz w:val="18"/>
                <w:szCs w:val="18"/>
              </w:rPr>
              <w:t xml:space="preserve"> islands with gender and vulnerability sensitive disaster preparedness plans</w:t>
            </w:r>
            <w:r w:rsidR="00493422">
              <w:rPr>
                <w:rFonts w:cs="Arial"/>
                <w:color w:val="000000"/>
                <w:sz w:val="18"/>
                <w:szCs w:val="18"/>
              </w:rPr>
              <w:br/>
              <w:t>2.8</w:t>
            </w:r>
            <w:r w:rsidR="00493422" w:rsidRPr="0043651F">
              <w:rPr>
                <w:rFonts w:cs="Arial"/>
                <w:color w:val="000000"/>
                <w:sz w:val="18"/>
                <w:szCs w:val="18"/>
              </w:rPr>
              <w:t xml:space="preserve"> with functioning island disaster management committee</w:t>
            </w:r>
            <w:r w:rsidR="00493422">
              <w:rPr>
                <w:rFonts w:cs="Arial"/>
                <w:color w:val="000000"/>
                <w:sz w:val="18"/>
                <w:szCs w:val="18"/>
              </w:rPr>
              <w:br/>
              <w:t>3.4</w:t>
            </w:r>
            <w:r w:rsidR="00493422" w:rsidRPr="0043651F">
              <w:rPr>
                <w:rFonts w:cs="Arial"/>
                <w:color w:val="000000"/>
                <w:sz w:val="18"/>
                <w:szCs w:val="18"/>
              </w:rPr>
              <w:t xml:space="preserve"> atoll councils with trained CBDRM planners</w:t>
            </w:r>
          </w:p>
          <w:p w:rsidR="00493422" w:rsidRPr="0043651F" w:rsidRDefault="00493422" w:rsidP="0049342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4.At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least half of the consulted individuals should be women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5. 8</w:t>
            </w:r>
            <w:r w:rsidRPr="0043651F">
              <w:rPr>
                <w:rFonts w:cs="Arial"/>
                <w:color w:val="000000"/>
                <w:sz w:val="18"/>
                <w:szCs w:val="18"/>
              </w:rPr>
              <w:t xml:space="preserve"> island using a standard guide or manual on IDMCs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 xml:space="preserve">6.At least </w:t>
            </w:r>
            <w:r w:rsidRPr="0043651F">
              <w:rPr>
                <w:rFonts w:cs="Arial"/>
                <w:color w:val="000000"/>
                <w:sz w:val="18"/>
                <w:szCs w:val="18"/>
              </w:rPr>
              <w:t xml:space="preserve">35% </w:t>
            </w:r>
            <w:r>
              <w:rPr>
                <w:rFonts w:cs="Arial"/>
                <w:color w:val="000000"/>
                <w:sz w:val="18"/>
                <w:szCs w:val="18"/>
              </w:rPr>
              <w:t>women representation on IDMCs</w:t>
            </w:r>
          </w:p>
          <w:p w:rsidR="00F57BCC" w:rsidRPr="009F32BE" w:rsidRDefault="00F57BCC" w:rsidP="004934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BE5F1"/>
            <w:noWrap/>
            <w:hideMark/>
          </w:tcPr>
          <w:p w:rsidR="00F57BCC" w:rsidRDefault="00F57BCC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4.2: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Consultations with men and women on the priorities and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needs in the development of community based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disaster preparedness plans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The consultations should lead to the </w:t>
            </w:r>
            <w:r w:rsidRPr="004B0D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development of  gender and vulnerable group sensitive tools, manuals and guides developed out of the CBDRRM implementation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  <w:r w:rsidR="004D00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 LGA/ MRC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Consultant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5B36C4" w:rsidRDefault="00F57BCC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  <w:r w:rsidRPr="005B36C4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6 500</w:t>
            </w:r>
          </w:p>
        </w:tc>
      </w:tr>
      <w:tr w:rsidR="00F57BCC" w:rsidRPr="009F32BE" w:rsidTr="00AC36E8">
        <w:trPr>
          <w:trHeight w:val="199"/>
        </w:trPr>
        <w:tc>
          <w:tcPr>
            <w:tcW w:w="118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hideMark/>
          </w:tcPr>
          <w:p w:rsidR="00F57BCC" w:rsidRDefault="00F57BCC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Atoll level workshops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4E1BFB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F57B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F57BCC" w:rsidRPr="009F32BE" w:rsidTr="00AC36E8">
        <w:trPr>
          <w:trHeight w:val="225"/>
        </w:trPr>
        <w:tc>
          <w:tcPr>
            <w:tcW w:w="118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hideMark/>
          </w:tcPr>
          <w:p w:rsidR="00F57BCC" w:rsidRDefault="00F57BCC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F57BC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unfunded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F57BC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7D50C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F57BC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Atoll level workshops</w:t>
            </w:r>
            <w:r w:rsidR="00982D5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x 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7D50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</w:pPr>
            <w:r w:rsidRPr="00F57BCC"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  <w:t>2 000</w:t>
            </w:r>
          </w:p>
        </w:tc>
      </w:tr>
      <w:tr w:rsidR="00F57BCC" w:rsidRPr="009F32BE" w:rsidTr="00AC36E8">
        <w:trPr>
          <w:trHeight w:val="210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F57BCC" w:rsidRPr="00EA2969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hideMark/>
          </w:tcPr>
          <w:p w:rsidR="00F57BCC" w:rsidRDefault="00F57BCC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Print Prod. costs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3 000</w:t>
            </w:r>
          </w:p>
        </w:tc>
      </w:tr>
      <w:tr w:rsidR="00F57BCC" w:rsidRPr="009F32BE" w:rsidTr="00AC36E8">
        <w:trPr>
          <w:trHeight w:val="214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F57BCC" w:rsidRPr="00EA2969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hideMark/>
          </w:tcPr>
          <w:p w:rsidR="00F57BCC" w:rsidRDefault="00F57BCC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unfunded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F57BC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Print Prod. costs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</w:pPr>
            <w:r w:rsidRPr="00F57BCC"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  <w:t>3 000</w:t>
            </w:r>
          </w:p>
        </w:tc>
      </w:tr>
      <w:tr w:rsidR="00F57BCC" w:rsidRPr="009F32BE" w:rsidTr="00AC36E8">
        <w:trPr>
          <w:trHeight w:val="233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F57BCC" w:rsidRPr="00EA2969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hideMark/>
          </w:tcPr>
          <w:p w:rsidR="00F57BCC" w:rsidRDefault="00F57BCC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Default="008E3122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w</w:t>
            </w:r>
            <w:r w:rsidR="00F57BC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orkshop on results of the consultations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Default="00F57BCC" w:rsidP="0010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57BCC" w:rsidRPr="009F32BE" w:rsidRDefault="00F57BCC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4 000</w:t>
            </w:r>
          </w:p>
        </w:tc>
      </w:tr>
      <w:tr w:rsidR="00F57BCC" w:rsidRPr="009F32BE" w:rsidTr="00AC36E8">
        <w:trPr>
          <w:trHeight w:val="184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F57BCC" w:rsidRPr="00EA2969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hideMark/>
          </w:tcPr>
          <w:p w:rsidR="00F57BCC" w:rsidRDefault="00F57BCC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Shipping costs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F57BCC" w:rsidRPr="009F32BE" w:rsidTr="00AC36E8">
        <w:trPr>
          <w:trHeight w:val="240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F57BCC" w:rsidRPr="00EA2969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hideMark/>
          </w:tcPr>
          <w:p w:rsidR="00F57BCC" w:rsidRDefault="00F57BCC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F57BC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unfunded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F57BC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Shipping costs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F57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</w:pPr>
            <w:r w:rsidRPr="00F57BCC"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  <w:t>2 000</w:t>
            </w:r>
          </w:p>
        </w:tc>
      </w:tr>
      <w:tr w:rsidR="00F57BCC" w:rsidRPr="009F32BE" w:rsidTr="00AC36E8">
        <w:trPr>
          <w:trHeight w:val="225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F57BCC" w:rsidRPr="00EA2969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hideMark/>
          </w:tcPr>
          <w:p w:rsidR="00F57BCC" w:rsidRDefault="00F57BCC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48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20 000</w:t>
            </w:r>
          </w:p>
        </w:tc>
      </w:tr>
      <w:tr w:rsidR="00F57BCC" w:rsidRPr="009F32BE" w:rsidTr="00AC36E8">
        <w:trPr>
          <w:trHeight w:val="199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F57BCC" w:rsidRPr="00EA2969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F57BCC" w:rsidRDefault="00F57BCC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BCC" w:rsidRPr="0047154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F57BCC" w:rsidRPr="009F32BE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F57BC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unfunded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4849D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F57BC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F57BC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7BCC" w:rsidRPr="00F57BCC" w:rsidRDefault="00F57BCC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</w:pPr>
            <w:r w:rsidRPr="00F57BCC"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  <w:t>20 000</w:t>
            </w:r>
          </w:p>
        </w:tc>
      </w:tr>
      <w:tr w:rsidR="003D238C" w:rsidRPr="009F32BE" w:rsidTr="00743A9D">
        <w:trPr>
          <w:trHeight w:val="459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BE5F1"/>
            <w:hideMark/>
          </w:tcPr>
          <w:p w:rsidR="005823EF" w:rsidRPr="009F32BE" w:rsidRDefault="005823EF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4.3: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Develo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organisational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structure for I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DMC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ToRs</w:t>
            </w:r>
            <w:proofErr w:type="spellEnd"/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key functions and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posts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OPs for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IDMC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 </w:t>
            </w:r>
          </w:p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 </w:t>
            </w:r>
          </w:p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  <w:p w:rsidR="005823EF" w:rsidRPr="0047154C" w:rsidRDefault="005823EF" w:rsidP="0074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 </w:t>
            </w:r>
          </w:p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 </w:t>
            </w:r>
          </w:p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 </w:t>
            </w:r>
          </w:p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 </w:t>
            </w:r>
          </w:p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 </w:t>
            </w:r>
          </w:p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 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 </w:t>
            </w:r>
          </w:p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 </w:t>
            </w:r>
          </w:p>
        </w:tc>
        <w:tc>
          <w:tcPr>
            <w:tcW w:w="356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  <w:r w:rsidR="004D00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 LGA/ MRC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48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ED20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  <w:r w:rsidR="004849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ED20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4B0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Consultant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4E34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  <w:r w:rsidR="005823EF"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238C" w:rsidRPr="009F32BE" w:rsidTr="00AC36E8">
        <w:trPr>
          <w:trHeight w:val="602"/>
        </w:trPr>
        <w:tc>
          <w:tcPr>
            <w:tcW w:w="118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DBE5F1"/>
            <w:hideMark/>
          </w:tcPr>
          <w:p w:rsidR="005823EF" w:rsidRDefault="005823EF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227464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74200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0B2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Printing and Production costs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013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D238C" w:rsidRPr="009F32BE" w:rsidTr="00743A9D">
        <w:trPr>
          <w:trHeight w:val="74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5823EF" w:rsidRPr="009F32BE" w:rsidRDefault="005823EF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47154C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003B0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4E34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795143" w:rsidRPr="009F32BE" w:rsidTr="00AC36E8">
        <w:trPr>
          <w:trHeight w:val="304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BE5F1"/>
            <w:hideMark/>
          </w:tcPr>
          <w:p w:rsidR="00795143" w:rsidRPr="009F32BE" w:rsidRDefault="005B222E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</w:t>
            </w:r>
            <w:r w:rsidR="007951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</w:t>
            </w:r>
            <w:r w:rsidR="00795143"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Conduct desktop drills for IDMC using the SOPs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86D" w:rsidRDefault="0030586D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5F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715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6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  <w:r w:rsidR="004D00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 LGA/ MRC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Consultant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5B36C4" w:rsidRDefault="00795143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  <w:r w:rsidRPr="005B36C4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6 500</w:t>
            </w:r>
          </w:p>
        </w:tc>
      </w:tr>
      <w:tr w:rsidR="00795143" w:rsidRPr="009F32BE" w:rsidTr="00AC36E8">
        <w:trPr>
          <w:trHeight w:val="155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BE5F1"/>
            <w:hideMark/>
          </w:tcPr>
          <w:p w:rsidR="00795143" w:rsidRDefault="00795143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95143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Workshop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5B36C4" w:rsidRDefault="00795143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  <w:r w:rsidRPr="005B36C4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2 000</w:t>
            </w:r>
          </w:p>
        </w:tc>
      </w:tr>
      <w:tr w:rsidR="00795143" w:rsidRPr="009F32BE" w:rsidTr="00AC36E8">
        <w:trPr>
          <w:trHeight w:val="169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right w:val="single" w:sz="8" w:space="0" w:color="auto"/>
            </w:tcBorders>
            <w:shd w:val="clear" w:color="000000" w:fill="DBE5F1"/>
            <w:hideMark/>
          </w:tcPr>
          <w:p w:rsidR="00795143" w:rsidRDefault="00795143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95143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9F32BE" w:rsidRDefault="00795143" w:rsidP="0048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5B36C4" w:rsidRDefault="00795143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>10</w:t>
            </w:r>
            <w:r w:rsidRPr="005B36C4"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  <w:t xml:space="preserve"> 000</w:t>
            </w:r>
          </w:p>
        </w:tc>
      </w:tr>
      <w:tr w:rsidR="00795143" w:rsidRPr="009F32BE" w:rsidTr="00AC36E8">
        <w:trPr>
          <w:trHeight w:val="271"/>
        </w:trPr>
        <w:tc>
          <w:tcPr>
            <w:tcW w:w="11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795143" w:rsidRDefault="00795143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95143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143" w:rsidRPr="0047154C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795143" w:rsidRPr="009F32BE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95143" w:rsidRPr="00795143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unfunded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95143" w:rsidRPr="00795143" w:rsidRDefault="00795143" w:rsidP="004849D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9514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95143" w:rsidRPr="00795143" w:rsidRDefault="00795143" w:rsidP="009F32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9514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95143" w:rsidRPr="00795143" w:rsidRDefault="00795143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</w:pPr>
            <w:r w:rsidRPr="00795143">
              <w:rPr>
                <w:rFonts w:ascii="Calibri" w:eastAsia="Times New Roman" w:hAnsi="Calibri" w:cs="Times New Roman"/>
                <w:i/>
                <w:color w:val="1F497D" w:themeColor="text2"/>
                <w:sz w:val="18"/>
                <w:szCs w:val="18"/>
              </w:rPr>
              <w:t>10 000</w:t>
            </w:r>
          </w:p>
        </w:tc>
      </w:tr>
      <w:tr w:rsidR="003D238C" w:rsidRPr="009F32BE" w:rsidTr="00AC36E8">
        <w:trPr>
          <w:trHeight w:val="1043"/>
        </w:trPr>
        <w:tc>
          <w:tcPr>
            <w:tcW w:w="11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5823EF" w:rsidRPr="009F32BE" w:rsidRDefault="005823EF" w:rsidP="008A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823EF" w:rsidRPr="009F32BE" w:rsidRDefault="005823EF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D238C" w:rsidRPr="009F32BE" w:rsidTr="00AC36E8">
        <w:trPr>
          <w:trHeight w:val="54"/>
        </w:trPr>
        <w:tc>
          <w:tcPr>
            <w:tcW w:w="11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MONITORING &amp; EVALUATION</w:t>
            </w:r>
          </w:p>
        </w:tc>
        <w:tc>
          <w:tcPr>
            <w:tcW w:w="1365" w:type="pct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23EF" w:rsidRPr="00AF6B9E" w:rsidRDefault="005823EF" w:rsidP="00C018D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5823EF" w:rsidRPr="00AF6B9E" w:rsidRDefault="004E1BFB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21 0</w:t>
            </w:r>
            <w:r w:rsidR="00AD762E"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00</w:t>
            </w:r>
          </w:p>
        </w:tc>
      </w:tr>
      <w:tr w:rsidR="00AC36E8" w:rsidRPr="009F32BE" w:rsidTr="00AC36E8">
        <w:trPr>
          <w:trHeight w:val="443"/>
        </w:trPr>
        <w:tc>
          <w:tcPr>
            <w:tcW w:w="118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Conduct a final project evaluation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3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557" w:type="pct"/>
            <w:tcBorders>
              <w:top w:val="nil"/>
              <w:left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C36E8" w:rsidRPr="009F32BE" w:rsidRDefault="00AC36E8" w:rsidP="00C4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International Consultant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C36E8" w:rsidRPr="009F32BE" w:rsidRDefault="00AC36E8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11 000</w:t>
            </w:r>
          </w:p>
        </w:tc>
      </w:tr>
      <w:tr w:rsidR="00AC36E8" w:rsidRPr="009F32BE" w:rsidTr="00AC36E8">
        <w:trPr>
          <w:trHeight w:val="172"/>
        </w:trPr>
        <w:tc>
          <w:tcPr>
            <w:tcW w:w="1183" w:type="pct"/>
            <w:vMerge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6E8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Conduct an audit of the project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C36E8" w:rsidRDefault="00AC36E8" w:rsidP="00000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C36E8" w:rsidRDefault="003C4FD3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2 1</w:t>
            </w:r>
            <w:r w:rsidR="00AC36E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AC36E8" w:rsidRPr="009F32BE" w:rsidTr="00AC36E8">
        <w:trPr>
          <w:trHeight w:val="315"/>
        </w:trPr>
        <w:tc>
          <w:tcPr>
            <w:tcW w:w="118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Conduct Baseline Survey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C2D69B" w:themeFill="accent3" w:themeFillTint="99"/>
            <w:noWrap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557" w:type="pct"/>
            <w:tcBorders>
              <w:top w:val="nil"/>
              <w:left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C36E8" w:rsidRPr="009F32BE" w:rsidRDefault="00AC36E8" w:rsidP="00582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National consultant</w:t>
            </w:r>
          </w:p>
        </w:tc>
        <w:tc>
          <w:tcPr>
            <w:tcW w:w="315" w:type="pct"/>
            <w:tcBorders>
              <w:top w:val="nil"/>
              <w:left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C36E8" w:rsidRPr="009F32BE" w:rsidRDefault="003C4FD3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6 4</w:t>
            </w:r>
            <w:r w:rsidR="00AC36E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AC36E8" w:rsidRPr="009F32BE" w:rsidTr="00631FEB">
        <w:trPr>
          <w:trHeight w:val="253"/>
        </w:trPr>
        <w:tc>
          <w:tcPr>
            <w:tcW w:w="118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Develop sustainability/exit Strategy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C36E8" w:rsidRPr="009F32BE" w:rsidRDefault="00AC36E8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Workshop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C36E8" w:rsidRPr="009F32BE" w:rsidRDefault="00AC36E8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1 500</w:t>
            </w:r>
          </w:p>
        </w:tc>
      </w:tr>
      <w:tr w:rsidR="003D238C" w:rsidRPr="009F32BE" w:rsidTr="00AF6B9E">
        <w:trPr>
          <w:trHeight w:val="24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PROJECT MANAGEMENT UNIT</w:t>
            </w:r>
          </w:p>
        </w:tc>
        <w:tc>
          <w:tcPr>
            <w:tcW w:w="1365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2A1C7" w:themeFill="accent4" w:themeFillTint="99"/>
            <w:noWrap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2A1C7" w:themeFill="accent4" w:themeFillTint="99"/>
            <w:noWrap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AF6B9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AF6B9E" w:rsidRDefault="00006CD5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72</w:t>
            </w:r>
            <w:r w:rsidR="00AD762E" w:rsidRPr="00AF6B9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F61BD6" w:rsidRPr="009F32BE" w:rsidTr="00AC36E8">
        <w:trPr>
          <w:trHeight w:val="459"/>
        </w:trPr>
        <w:tc>
          <w:tcPr>
            <w:tcW w:w="118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2A1C7" w:themeFill="accent4" w:themeFillTint="99"/>
            <w:vAlign w:val="bottom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356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NDMC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BCPR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71400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F61BD6" w:rsidRPr="009F32BE" w:rsidRDefault="00F61BD6" w:rsidP="00F6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Contractual services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Mgr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F61BD6" w:rsidRPr="009F32BE" w:rsidRDefault="00F61BD6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24 000</w:t>
            </w:r>
          </w:p>
        </w:tc>
      </w:tr>
      <w:tr w:rsidR="00F61BD6" w:rsidRPr="009F32BE" w:rsidTr="00AC36E8">
        <w:trPr>
          <w:trHeight w:val="270"/>
        </w:trPr>
        <w:tc>
          <w:tcPr>
            <w:tcW w:w="1183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2A1C7" w:themeFill="accent4" w:themeFillTint="99"/>
            <w:vAlign w:val="bottom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D6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D6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D6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61BD6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D6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D6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D6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D6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71400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F61BD6" w:rsidRPr="009F32BE" w:rsidRDefault="00F61BD6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Contractual services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Support G7 (50%)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F61BD6" w:rsidRDefault="007D50C0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</w:t>
            </w:r>
            <w:r w:rsidR="00F61B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3D238C" w:rsidRPr="009F32BE" w:rsidTr="00AC36E8">
        <w:trPr>
          <w:trHeight w:val="14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AD762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AD762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4849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Office </w:t>
            </w: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Supplies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9F32BE" w:rsidRDefault="00F24CD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AD76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7F0E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F6B9E">
        <w:trPr>
          <w:trHeight w:val="181"/>
        </w:trPr>
        <w:tc>
          <w:tcPr>
            <w:tcW w:w="1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AD762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AD762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EF" w:rsidRPr="009F32BE" w:rsidRDefault="00AD762E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x</w:t>
            </w:r>
          </w:p>
        </w:tc>
        <w:tc>
          <w:tcPr>
            <w:tcW w:w="3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4849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9F32BE" w:rsidRDefault="00F24CDD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AD76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7F0E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207"/>
        </w:trPr>
        <w:tc>
          <w:tcPr>
            <w:tcW w:w="1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4849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9F32BE" w:rsidRDefault="005823EF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F32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823EF" w:rsidRPr="009F32BE" w:rsidRDefault="00006CD5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AD76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7F0E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3D238C" w:rsidRPr="009F32BE" w:rsidTr="00AC36E8">
        <w:trPr>
          <w:trHeight w:val="210"/>
        </w:trPr>
        <w:tc>
          <w:tcPr>
            <w:tcW w:w="4128" w:type="pct"/>
            <w:gridSpan w:val="17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46765" w:rsidRPr="009F32BE" w:rsidRDefault="00C46765" w:rsidP="009F3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765" w:rsidRPr="009F32BE" w:rsidRDefault="00C46765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765" w:rsidRPr="009F32BE" w:rsidRDefault="00C46765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D238C" w:rsidRPr="009F32BE" w:rsidTr="00AC36E8">
        <w:trPr>
          <w:trHeight w:val="105"/>
        </w:trPr>
        <w:tc>
          <w:tcPr>
            <w:tcW w:w="4128" w:type="pct"/>
            <w:gridSpan w:val="17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C46765" w:rsidRPr="00AD762E" w:rsidRDefault="00C46765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AD762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TOTAL</w:t>
            </w:r>
            <w:r w:rsidR="009B6540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CASH</w:t>
            </w:r>
            <w:r w:rsidRPr="00AD762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 xml:space="preserve"> FUNDING FROM BCPR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C46765" w:rsidRPr="00AD762E" w:rsidRDefault="00C46765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6765" w:rsidRPr="00AD762E" w:rsidRDefault="00C46765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3D238C" w:rsidRPr="009F32BE" w:rsidTr="00AC36E8">
        <w:trPr>
          <w:trHeight w:val="313"/>
        </w:trPr>
        <w:tc>
          <w:tcPr>
            <w:tcW w:w="4128" w:type="pct"/>
            <w:gridSpan w:val="17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C46765" w:rsidRPr="00AD762E" w:rsidRDefault="00C46765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C46765" w:rsidRPr="00AD762E" w:rsidRDefault="00C46765" w:rsidP="00C4676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6765" w:rsidRPr="00AD762E" w:rsidRDefault="00C46765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AD762E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400 000</w:t>
            </w:r>
          </w:p>
        </w:tc>
      </w:tr>
      <w:tr w:rsidR="005B36C4" w:rsidRPr="009F32BE" w:rsidTr="00AC36E8">
        <w:trPr>
          <w:trHeight w:val="313"/>
        </w:trPr>
        <w:tc>
          <w:tcPr>
            <w:tcW w:w="4128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B36C4" w:rsidRPr="00AD762E" w:rsidRDefault="005B36C4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TOTAL</w:t>
            </w:r>
            <w:r w:rsidR="009B6540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CASH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 xml:space="preserve"> FUNDING FROM GOVERNMENT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5B36C4" w:rsidRPr="00AD762E" w:rsidRDefault="005B36C4" w:rsidP="00C4676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36C4" w:rsidRPr="00AD762E" w:rsidRDefault="00775F87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97 000</w:t>
            </w:r>
          </w:p>
        </w:tc>
      </w:tr>
      <w:tr w:rsidR="009B6540" w:rsidRPr="009F32BE" w:rsidTr="00AC36E8">
        <w:trPr>
          <w:trHeight w:val="313"/>
        </w:trPr>
        <w:tc>
          <w:tcPr>
            <w:tcW w:w="4128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9B6540" w:rsidRDefault="009B6540" w:rsidP="009B654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TOTAL FOR UNFUNDED BUDGET COMPONENTS (</w:t>
            </w:r>
            <w:r w:rsidR="00982D5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 xml:space="preserve">Activities for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 xml:space="preserve">4 </w:t>
            </w:r>
            <w:r w:rsidR="00982D5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slands and 2 Atolls)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9B6540" w:rsidRPr="00AD762E" w:rsidRDefault="009B6540" w:rsidP="00C4676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B6540" w:rsidRDefault="009B6540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116 000</w:t>
            </w:r>
          </w:p>
        </w:tc>
      </w:tr>
      <w:tr w:rsidR="009B6540" w:rsidRPr="009F32BE" w:rsidTr="00AC36E8">
        <w:trPr>
          <w:trHeight w:val="313"/>
        </w:trPr>
        <w:tc>
          <w:tcPr>
            <w:tcW w:w="4128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9B6540" w:rsidRDefault="009B6540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TOTAL IN-KIND FUNDING FROM GOVERNMENT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9B6540" w:rsidRPr="00AD762E" w:rsidRDefault="009B6540" w:rsidP="00C4676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B6540" w:rsidRDefault="009B6540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80 000</w:t>
            </w:r>
          </w:p>
        </w:tc>
      </w:tr>
      <w:tr w:rsidR="005B36C4" w:rsidRPr="009F32BE" w:rsidTr="00AC36E8">
        <w:trPr>
          <w:trHeight w:val="313"/>
        </w:trPr>
        <w:tc>
          <w:tcPr>
            <w:tcW w:w="4128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5B36C4" w:rsidRDefault="005B36C4" w:rsidP="009F32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5B36C4" w:rsidRPr="00AD762E" w:rsidRDefault="005B36C4" w:rsidP="00C4676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B36C4" w:rsidRPr="00AD762E" w:rsidRDefault="009B6540" w:rsidP="00C4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693</w:t>
            </w:r>
            <w:r w:rsidR="00835D1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101E4F" w:rsidRDefault="00101E4F"/>
    <w:sectPr w:rsidR="00101E4F" w:rsidSect="00EB348A">
      <w:headerReference w:type="default" r:id="rId9"/>
      <w:footerReference w:type="default" r:id="rId10"/>
      <w:pgSz w:w="15840" w:h="12240" w:orient="landscape"/>
      <w:pgMar w:top="718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FA" w:rsidRDefault="00EA22FA" w:rsidP="00E76DBB">
      <w:pPr>
        <w:spacing w:after="0" w:line="240" w:lineRule="auto"/>
      </w:pPr>
      <w:r>
        <w:separator/>
      </w:r>
    </w:p>
  </w:endnote>
  <w:endnote w:type="continuationSeparator" w:id="0">
    <w:p w:rsidR="00EA22FA" w:rsidRDefault="00EA22FA" w:rsidP="00E7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0049"/>
      <w:docPartObj>
        <w:docPartGallery w:val="Page Numbers (Bottom of Page)"/>
        <w:docPartUnique/>
      </w:docPartObj>
    </w:sdtPr>
    <w:sdtEndPr/>
    <w:sdtContent>
      <w:p w:rsidR="003C4FD3" w:rsidRDefault="00EA22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4FD3" w:rsidRDefault="003C4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FA" w:rsidRDefault="00EA22FA" w:rsidP="00E76DBB">
      <w:pPr>
        <w:spacing w:after="0" w:line="240" w:lineRule="auto"/>
      </w:pPr>
      <w:r>
        <w:separator/>
      </w:r>
    </w:p>
  </w:footnote>
  <w:footnote w:type="continuationSeparator" w:id="0">
    <w:p w:rsidR="00EA22FA" w:rsidRDefault="00EA22FA" w:rsidP="00E7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3" w:rsidRDefault="003C4FD3">
    <w:pPr>
      <w:pStyle w:val="Header"/>
    </w:pPr>
    <w:r>
      <w:t>ENHANCE NATIONAL CAPACITY FOR DISASTER RISK REDUCTION AND MANAGEMENT IN MALDIVES: JULY 2013 – JUNE 2015 WP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F4A"/>
    <w:multiLevelType w:val="hybridMultilevel"/>
    <w:tmpl w:val="ED2A02C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4BEB"/>
    <w:multiLevelType w:val="hybridMultilevel"/>
    <w:tmpl w:val="1204886C"/>
    <w:lvl w:ilvl="0" w:tplc="388011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2B22"/>
    <w:multiLevelType w:val="hybridMultilevel"/>
    <w:tmpl w:val="70AC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3D7"/>
    <w:multiLevelType w:val="hybridMultilevel"/>
    <w:tmpl w:val="89782EF8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B311C"/>
    <w:multiLevelType w:val="hybridMultilevel"/>
    <w:tmpl w:val="68DAE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E31073"/>
    <w:multiLevelType w:val="multilevel"/>
    <w:tmpl w:val="7C984F0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530354C5"/>
    <w:multiLevelType w:val="hybridMultilevel"/>
    <w:tmpl w:val="0868CF2C"/>
    <w:lvl w:ilvl="0" w:tplc="81CCD0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F436E"/>
    <w:multiLevelType w:val="hybridMultilevel"/>
    <w:tmpl w:val="202812A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96D14"/>
    <w:multiLevelType w:val="hybridMultilevel"/>
    <w:tmpl w:val="F4783E58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BE"/>
    <w:rsid w:val="00000DE0"/>
    <w:rsid w:val="00003B0D"/>
    <w:rsid w:val="00003C40"/>
    <w:rsid w:val="00006CD5"/>
    <w:rsid w:val="00013120"/>
    <w:rsid w:val="00043900"/>
    <w:rsid w:val="0005585F"/>
    <w:rsid w:val="00061A24"/>
    <w:rsid w:val="00065D6D"/>
    <w:rsid w:val="00090F31"/>
    <w:rsid w:val="000B20CA"/>
    <w:rsid w:val="00101E4F"/>
    <w:rsid w:val="00105C3C"/>
    <w:rsid w:val="00106AA4"/>
    <w:rsid w:val="00123C1B"/>
    <w:rsid w:val="00147C62"/>
    <w:rsid w:val="00175D40"/>
    <w:rsid w:val="001A7859"/>
    <w:rsid w:val="001E3B4D"/>
    <w:rsid w:val="001E592A"/>
    <w:rsid w:val="00206F67"/>
    <w:rsid w:val="00216949"/>
    <w:rsid w:val="00227464"/>
    <w:rsid w:val="002363B7"/>
    <w:rsid w:val="00240BAD"/>
    <w:rsid w:val="00263871"/>
    <w:rsid w:val="002732D6"/>
    <w:rsid w:val="002847E3"/>
    <w:rsid w:val="00284C1F"/>
    <w:rsid w:val="00284FF6"/>
    <w:rsid w:val="00285482"/>
    <w:rsid w:val="002A08C8"/>
    <w:rsid w:val="002B6317"/>
    <w:rsid w:val="002C2F37"/>
    <w:rsid w:val="002C7D07"/>
    <w:rsid w:val="002F0012"/>
    <w:rsid w:val="002F6268"/>
    <w:rsid w:val="002F68EB"/>
    <w:rsid w:val="00303C24"/>
    <w:rsid w:val="0030586D"/>
    <w:rsid w:val="00310D2A"/>
    <w:rsid w:val="003144A2"/>
    <w:rsid w:val="00315510"/>
    <w:rsid w:val="003168D8"/>
    <w:rsid w:val="0037177B"/>
    <w:rsid w:val="003A2A22"/>
    <w:rsid w:val="003B1438"/>
    <w:rsid w:val="003C4FD3"/>
    <w:rsid w:val="003D238C"/>
    <w:rsid w:val="003D4D9E"/>
    <w:rsid w:val="003E565A"/>
    <w:rsid w:val="00436282"/>
    <w:rsid w:val="00444D23"/>
    <w:rsid w:val="004507F2"/>
    <w:rsid w:val="00465A02"/>
    <w:rsid w:val="00466EFF"/>
    <w:rsid w:val="0047154C"/>
    <w:rsid w:val="004849D6"/>
    <w:rsid w:val="00493422"/>
    <w:rsid w:val="004B0D74"/>
    <w:rsid w:val="004D00CD"/>
    <w:rsid w:val="004E1BFB"/>
    <w:rsid w:val="004E3445"/>
    <w:rsid w:val="00513C2D"/>
    <w:rsid w:val="00527189"/>
    <w:rsid w:val="005574A1"/>
    <w:rsid w:val="0056462F"/>
    <w:rsid w:val="005823EF"/>
    <w:rsid w:val="00595249"/>
    <w:rsid w:val="005A0EE9"/>
    <w:rsid w:val="005B222E"/>
    <w:rsid w:val="005B36C4"/>
    <w:rsid w:val="005C425A"/>
    <w:rsid w:val="005D0A72"/>
    <w:rsid w:val="005D1FBB"/>
    <w:rsid w:val="005E03DD"/>
    <w:rsid w:val="005E1282"/>
    <w:rsid w:val="005F02BA"/>
    <w:rsid w:val="005F25DA"/>
    <w:rsid w:val="006223AD"/>
    <w:rsid w:val="00631FEB"/>
    <w:rsid w:val="00662D89"/>
    <w:rsid w:val="0068483E"/>
    <w:rsid w:val="006A2EA5"/>
    <w:rsid w:val="006A523F"/>
    <w:rsid w:val="006C2CB9"/>
    <w:rsid w:val="006F3436"/>
    <w:rsid w:val="0071602F"/>
    <w:rsid w:val="00743A9D"/>
    <w:rsid w:val="0075128E"/>
    <w:rsid w:val="00763DCE"/>
    <w:rsid w:val="00775F87"/>
    <w:rsid w:val="00790DB6"/>
    <w:rsid w:val="00795143"/>
    <w:rsid w:val="007A66D5"/>
    <w:rsid w:val="007B6732"/>
    <w:rsid w:val="007D1CC4"/>
    <w:rsid w:val="007D2A43"/>
    <w:rsid w:val="007D2CA7"/>
    <w:rsid w:val="007D4BFC"/>
    <w:rsid w:val="007D50C0"/>
    <w:rsid w:val="007E46DD"/>
    <w:rsid w:val="007F0ED0"/>
    <w:rsid w:val="007F68FC"/>
    <w:rsid w:val="00813CFA"/>
    <w:rsid w:val="00835D12"/>
    <w:rsid w:val="00845002"/>
    <w:rsid w:val="00851D1E"/>
    <w:rsid w:val="00862C28"/>
    <w:rsid w:val="0089514D"/>
    <w:rsid w:val="008A694A"/>
    <w:rsid w:val="008B0D1A"/>
    <w:rsid w:val="008B2674"/>
    <w:rsid w:val="008D2BF3"/>
    <w:rsid w:val="008E3122"/>
    <w:rsid w:val="008E7164"/>
    <w:rsid w:val="008E725B"/>
    <w:rsid w:val="008F0E73"/>
    <w:rsid w:val="009148FB"/>
    <w:rsid w:val="0093727B"/>
    <w:rsid w:val="00942CF5"/>
    <w:rsid w:val="00943978"/>
    <w:rsid w:val="009716C0"/>
    <w:rsid w:val="0097383A"/>
    <w:rsid w:val="00982D54"/>
    <w:rsid w:val="0098624F"/>
    <w:rsid w:val="00987CD8"/>
    <w:rsid w:val="00996B96"/>
    <w:rsid w:val="009A6713"/>
    <w:rsid w:val="009B4C2E"/>
    <w:rsid w:val="009B6540"/>
    <w:rsid w:val="009C3450"/>
    <w:rsid w:val="009C5A6F"/>
    <w:rsid w:val="009D1BC0"/>
    <w:rsid w:val="009F32BE"/>
    <w:rsid w:val="00A44235"/>
    <w:rsid w:val="00A70481"/>
    <w:rsid w:val="00AA0766"/>
    <w:rsid w:val="00AA2612"/>
    <w:rsid w:val="00AC36E8"/>
    <w:rsid w:val="00AD762E"/>
    <w:rsid w:val="00AE4F08"/>
    <w:rsid w:val="00AF1B72"/>
    <w:rsid w:val="00AF6B9E"/>
    <w:rsid w:val="00B009C0"/>
    <w:rsid w:val="00B03B31"/>
    <w:rsid w:val="00B04F95"/>
    <w:rsid w:val="00B17612"/>
    <w:rsid w:val="00B53E18"/>
    <w:rsid w:val="00B70F1E"/>
    <w:rsid w:val="00BA1233"/>
    <w:rsid w:val="00BA136C"/>
    <w:rsid w:val="00BA157C"/>
    <w:rsid w:val="00BB73D2"/>
    <w:rsid w:val="00BF3F4C"/>
    <w:rsid w:val="00C018D1"/>
    <w:rsid w:val="00C14117"/>
    <w:rsid w:val="00C46765"/>
    <w:rsid w:val="00C50AA7"/>
    <w:rsid w:val="00C72479"/>
    <w:rsid w:val="00C729A2"/>
    <w:rsid w:val="00C8326F"/>
    <w:rsid w:val="00C96C58"/>
    <w:rsid w:val="00CA5F17"/>
    <w:rsid w:val="00CE08B1"/>
    <w:rsid w:val="00CF7CC2"/>
    <w:rsid w:val="00D02448"/>
    <w:rsid w:val="00D0776B"/>
    <w:rsid w:val="00D64AFD"/>
    <w:rsid w:val="00D80E8A"/>
    <w:rsid w:val="00D87DDF"/>
    <w:rsid w:val="00DF1542"/>
    <w:rsid w:val="00E36B03"/>
    <w:rsid w:val="00E76DBB"/>
    <w:rsid w:val="00EA22FA"/>
    <w:rsid w:val="00EA2969"/>
    <w:rsid w:val="00EA6441"/>
    <w:rsid w:val="00EB348A"/>
    <w:rsid w:val="00EC254C"/>
    <w:rsid w:val="00EC6C97"/>
    <w:rsid w:val="00ED20B1"/>
    <w:rsid w:val="00F04A83"/>
    <w:rsid w:val="00F1602F"/>
    <w:rsid w:val="00F205F0"/>
    <w:rsid w:val="00F24CDD"/>
    <w:rsid w:val="00F259E1"/>
    <w:rsid w:val="00F57BCC"/>
    <w:rsid w:val="00F6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DBB"/>
    <w:rPr>
      <w:lang w:val="en-ZW"/>
    </w:rPr>
  </w:style>
  <w:style w:type="paragraph" w:styleId="Footer">
    <w:name w:val="footer"/>
    <w:basedOn w:val="Normal"/>
    <w:link w:val="FooterChar"/>
    <w:uiPriority w:val="99"/>
    <w:unhideWhenUsed/>
    <w:rsid w:val="00E76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BB"/>
    <w:rPr>
      <w:lang w:val="en-ZW"/>
    </w:rPr>
  </w:style>
  <w:style w:type="paragraph" w:customStyle="1" w:styleId="ColorfulList-Accent11">
    <w:name w:val="Colorful List - Accent 11"/>
    <w:basedOn w:val="Normal"/>
    <w:uiPriority w:val="34"/>
    <w:qFormat/>
    <w:rsid w:val="00C50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DBB"/>
    <w:rPr>
      <w:lang w:val="en-ZW"/>
    </w:rPr>
  </w:style>
  <w:style w:type="paragraph" w:styleId="Footer">
    <w:name w:val="footer"/>
    <w:basedOn w:val="Normal"/>
    <w:link w:val="FooterChar"/>
    <w:uiPriority w:val="99"/>
    <w:unhideWhenUsed/>
    <w:rsid w:val="00E76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BB"/>
    <w:rPr>
      <w:lang w:val="en-ZW"/>
    </w:rPr>
  </w:style>
  <w:style w:type="paragraph" w:customStyle="1" w:styleId="ColorfulList-Accent11">
    <w:name w:val="Colorful List - Accent 11"/>
    <w:basedOn w:val="Normal"/>
    <w:uiPriority w:val="34"/>
    <w:qFormat/>
    <w:rsid w:val="00C50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2014-05-01T22:00:00+00:00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PDC_x0020_Document_x0020_Category xmlns="f1161f5b-24a3-4c2d-bc81-44cb9325e8ee">Project</PDC_x0020_Document_x0020_Category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>00075223</Project_x0020_Number>
    <Project_x0020_Manager xmlns="f1161f5b-24a3-4c2d-bc81-44cb9325e8ee" xsi:nil="true"/>
    <TaxCatchAll xmlns="1ed4137b-41b2-488b-8250-6d369ec27664">
      <Value>1511</Value>
      <Value>1109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00075223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MDV</TermName>
          <TermId xmlns="http://schemas.microsoft.com/office/infopath/2007/PartnerControls">b421d48e-8dae-4c45-88ca-3f43156ae665</TermId>
        </TermInfo>
      </Terms>
    </gc6531b704974d528487414686b72f6f>
    <_dlc_DocId xmlns="f1161f5b-24a3-4c2d-bc81-44cb9325e8ee">ATLASPDC-4-15721</_dlc_DocId>
    <_dlc_DocIdUrl xmlns="f1161f5b-24a3-4c2d-bc81-44cb9325e8ee">
      <Url>https://info.undp.org/docs/pdc/_layouts/DocIdRedir.aspx?ID=ATLASPDC-4-15721</Url>
      <Description>ATLASPDC-4-15721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4B25AD4-9F95-4E2B-B97E-D7540B05A3B7}"/>
</file>

<file path=customXml/itemProps2.xml><?xml version="1.0" encoding="utf-8"?>
<ds:datastoreItem xmlns:ds="http://schemas.openxmlformats.org/officeDocument/2006/customXml" ds:itemID="{0858A30D-BC94-40E2-8B68-56F4A6A33F77}"/>
</file>

<file path=customXml/itemProps3.xml><?xml version="1.0" encoding="utf-8"?>
<ds:datastoreItem xmlns:ds="http://schemas.openxmlformats.org/officeDocument/2006/customXml" ds:itemID="{89F1146E-D14E-4865-B288-776F2BD734A9}"/>
</file>

<file path=customXml/itemProps4.xml><?xml version="1.0" encoding="utf-8"?>
<ds:datastoreItem xmlns:ds="http://schemas.openxmlformats.org/officeDocument/2006/customXml" ds:itemID="{C0A51965-1A7D-4724-8CB5-60CA481F554E}"/>
</file>

<file path=customXml/itemProps5.xml><?xml version="1.0" encoding="utf-8"?>
<ds:datastoreItem xmlns:ds="http://schemas.openxmlformats.org/officeDocument/2006/customXml" ds:itemID="{FAD524FC-FB4A-4BC8-B18A-50B9A50E3DEE}"/>
</file>

<file path=customXml/itemProps6.xml><?xml version="1.0" encoding="utf-8"?>
<ds:datastoreItem xmlns:ds="http://schemas.openxmlformats.org/officeDocument/2006/customXml" ds:itemID="{789663C9-AB0A-48E4-99AC-B6A236AFB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project work plan</dc:title>
  <dc:subject/>
  <dc:creator>Tirivanhu.Muhwati</dc:creator>
  <cp:lastModifiedBy>Abdul Riza</cp:lastModifiedBy>
  <cp:revision>2</cp:revision>
  <dcterms:created xsi:type="dcterms:W3CDTF">2014-05-01T22:03:00Z</dcterms:created>
  <dcterms:modified xsi:type="dcterms:W3CDTF">2014-05-01T22:03:00Z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287;#Budget|fc549c7a-78dd-43bd-a1be-cfb989f8b34d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1511;#MDV|b421d48e-8dae-4c45-88ca-3f43156ae665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1109;#Budget|1c1fa43a-cb36-4844-8715-9a4cc93e1ac9</vt:lpwstr>
  </property>
  <property fmtid="{D5CDD505-2E9C-101B-9397-08002B2CF9AE}" pid="17" name="_dlc_DocIdItemGuid">
    <vt:lpwstr>5db147c3-035f-4261-a559-4595f271b9eb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