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C0" w:rsidRDefault="004878C0" w:rsidP="004878C0">
      <w:pPr>
        <w:pStyle w:val="Heading1"/>
        <w:numPr>
          <w:ilvl w:val="0"/>
          <w:numId w:val="0"/>
        </w:numPr>
      </w:pPr>
      <w:bookmarkStart w:id="0" w:name="_Toc404528201"/>
      <w:r>
        <w:t>Annex [#].  Social and Environmental Screening Template</w:t>
      </w:r>
      <w:bookmarkEnd w:id="0"/>
    </w:p>
    <w:p w:rsidR="004878C0" w:rsidRDefault="004878C0" w:rsidP="004878C0">
      <w:pPr>
        <w:rPr>
          <w:i/>
          <w:szCs w:val="20"/>
        </w:rPr>
      </w:pPr>
    </w:p>
    <w:p w:rsidR="004878C0" w:rsidRDefault="004878C0" w:rsidP="004878C0">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Please refer to the </w:t>
      </w:r>
      <w:hyperlink r:id="rId7" w:history="1">
        <w:r w:rsidRPr="008C711F">
          <w:rPr>
            <w:rStyle w:val="Hyperlink"/>
            <w:i/>
            <w:szCs w:val="20"/>
          </w:rPr>
          <w:t>Social and Environmental Screening Procedure</w:t>
        </w:r>
      </w:hyperlink>
      <w:r>
        <w:rPr>
          <w:i/>
          <w:szCs w:val="20"/>
        </w:rPr>
        <w:t xml:space="preserve"> and </w:t>
      </w:r>
      <w:hyperlink r:id="rId8" w:history="1">
        <w:r w:rsidRPr="00C01EFE">
          <w:rPr>
            <w:rStyle w:val="Hyperlink"/>
            <w:i/>
            <w:szCs w:val="20"/>
          </w:rPr>
          <w:t>Toolkit</w:t>
        </w:r>
      </w:hyperlink>
      <w:r>
        <w:rPr>
          <w:i/>
          <w:szCs w:val="20"/>
        </w:rPr>
        <w:t xml:space="preserve"> for guidance on how to answer the 6 questions.</w:t>
      </w:r>
    </w:p>
    <w:p w:rsidR="004878C0" w:rsidRPr="001A0CAF" w:rsidRDefault="004878C0" w:rsidP="004878C0">
      <w:pPr>
        <w:spacing w:before="200"/>
        <w:ind w:left="360"/>
        <w:rPr>
          <w:b/>
          <w:color w:val="5B9BD5" w:themeColor="accent1"/>
          <w:sz w:val="24"/>
        </w:rPr>
      </w:pPr>
      <w:r w:rsidRPr="001A0CAF">
        <w:rPr>
          <w:b/>
          <w:color w:val="5B9BD5" w:themeColor="accent1"/>
          <w:sz w:val="24"/>
        </w:rPr>
        <w:t>Project Information</w:t>
      </w:r>
    </w:p>
    <w:p w:rsidR="004878C0" w:rsidRDefault="004878C0" w:rsidP="004878C0"/>
    <w:tbl>
      <w:tblPr>
        <w:tblStyle w:val="TableGrid"/>
        <w:tblW w:w="13248" w:type="dxa"/>
        <w:tblLook w:val="04A0" w:firstRow="1" w:lastRow="0" w:firstColumn="1" w:lastColumn="0" w:noHBand="0" w:noVBand="1"/>
      </w:tblPr>
      <w:tblGrid>
        <w:gridCol w:w="3325"/>
        <w:gridCol w:w="9923"/>
      </w:tblGrid>
      <w:tr w:rsidR="004878C0" w:rsidRPr="00886352" w:rsidTr="000B1B70">
        <w:tc>
          <w:tcPr>
            <w:tcW w:w="3325" w:type="dxa"/>
            <w:shd w:val="clear" w:color="auto" w:fill="D5DCE4" w:themeFill="text2" w:themeFillTint="33"/>
            <w:vAlign w:val="center"/>
          </w:tcPr>
          <w:p w:rsidR="004878C0" w:rsidRPr="00414FBA" w:rsidRDefault="004878C0" w:rsidP="000B1B70">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D5DCE4" w:themeFill="text2" w:themeFillTint="33"/>
            <w:vAlign w:val="center"/>
          </w:tcPr>
          <w:p w:rsidR="004878C0" w:rsidRPr="00414FBA" w:rsidRDefault="004878C0" w:rsidP="000B1B70">
            <w:pPr>
              <w:rPr>
                <w:i/>
                <w:color w:val="000000" w:themeColor="text1"/>
                <w:szCs w:val="20"/>
              </w:rPr>
            </w:pPr>
          </w:p>
        </w:tc>
      </w:tr>
      <w:tr w:rsidR="004878C0" w:rsidRPr="00450804" w:rsidTr="000B1B70">
        <w:trPr>
          <w:trHeight w:val="288"/>
        </w:trPr>
        <w:tc>
          <w:tcPr>
            <w:tcW w:w="3325" w:type="dxa"/>
            <w:vAlign w:val="center"/>
          </w:tcPr>
          <w:p w:rsidR="004878C0" w:rsidRPr="00450804" w:rsidRDefault="004878C0" w:rsidP="004878C0">
            <w:pPr>
              <w:pStyle w:val="ListParagraph"/>
              <w:numPr>
                <w:ilvl w:val="0"/>
                <w:numId w:val="3"/>
              </w:numPr>
              <w:ind w:left="360"/>
              <w:rPr>
                <w:sz w:val="18"/>
                <w:szCs w:val="18"/>
              </w:rPr>
            </w:pPr>
            <w:r w:rsidRPr="00450804">
              <w:rPr>
                <w:sz w:val="18"/>
                <w:szCs w:val="18"/>
              </w:rPr>
              <w:t xml:space="preserve">Project </w:t>
            </w:r>
            <w:r>
              <w:rPr>
                <w:sz w:val="18"/>
                <w:szCs w:val="18"/>
              </w:rPr>
              <w:t>Title</w:t>
            </w:r>
          </w:p>
        </w:tc>
        <w:tc>
          <w:tcPr>
            <w:tcW w:w="9923" w:type="dxa"/>
            <w:vAlign w:val="center"/>
          </w:tcPr>
          <w:p w:rsidR="004878C0" w:rsidRPr="004878C0" w:rsidRDefault="004878C0" w:rsidP="000B1B70">
            <w:pPr>
              <w:rPr>
                <w:sz w:val="18"/>
                <w:szCs w:val="18"/>
                <w:highlight w:val="yellow"/>
              </w:rPr>
            </w:pPr>
            <w:r w:rsidRPr="004878C0">
              <w:rPr>
                <w:highlight w:val="yellow"/>
              </w:rPr>
              <w:t>Sustainable Environmental Management and Enhanced Resilience (SEMER) in Namibia</w:t>
            </w:r>
          </w:p>
        </w:tc>
      </w:tr>
      <w:tr w:rsidR="004878C0" w:rsidRPr="00450804" w:rsidTr="000B1B70">
        <w:trPr>
          <w:trHeight w:val="288"/>
        </w:trPr>
        <w:tc>
          <w:tcPr>
            <w:tcW w:w="3325" w:type="dxa"/>
            <w:vAlign w:val="center"/>
          </w:tcPr>
          <w:p w:rsidR="004878C0" w:rsidRPr="00450804" w:rsidRDefault="004878C0" w:rsidP="004878C0">
            <w:pPr>
              <w:pStyle w:val="ListParagraph"/>
              <w:numPr>
                <w:ilvl w:val="0"/>
                <w:numId w:val="3"/>
              </w:numPr>
              <w:ind w:left="360"/>
              <w:rPr>
                <w:sz w:val="18"/>
                <w:szCs w:val="18"/>
              </w:rPr>
            </w:pPr>
            <w:r w:rsidRPr="00450804">
              <w:rPr>
                <w:sz w:val="18"/>
                <w:szCs w:val="18"/>
              </w:rPr>
              <w:t>Project Number</w:t>
            </w:r>
          </w:p>
        </w:tc>
        <w:tc>
          <w:tcPr>
            <w:tcW w:w="9923" w:type="dxa"/>
            <w:vAlign w:val="center"/>
          </w:tcPr>
          <w:p w:rsidR="004878C0" w:rsidRPr="004878C0" w:rsidRDefault="004878C0" w:rsidP="000B1B70">
            <w:pPr>
              <w:rPr>
                <w:sz w:val="18"/>
                <w:szCs w:val="18"/>
                <w:highlight w:val="yellow"/>
              </w:rPr>
            </w:pPr>
            <w:r w:rsidRPr="004878C0">
              <w:rPr>
                <w:highlight w:val="yellow"/>
              </w:rPr>
              <w:t>00123453</w:t>
            </w:r>
          </w:p>
        </w:tc>
      </w:tr>
      <w:tr w:rsidR="004878C0" w:rsidRPr="00450804" w:rsidTr="000B1B70">
        <w:trPr>
          <w:trHeight w:val="288"/>
        </w:trPr>
        <w:tc>
          <w:tcPr>
            <w:tcW w:w="3325" w:type="dxa"/>
            <w:vAlign w:val="center"/>
          </w:tcPr>
          <w:p w:rsidR="004878C0" w:rsidRPr="00450804" w:rsidRDefault="004878C0" w:rsidP="004878C0">
            <w:pPr>
              <w:pStyle w:val="ListParagraph"/>
              <w:numPr>
                <w:ilvl w:val="0"/>
                <w:numId w:val="3"/>
              </w:numPr>
              <w:ind w:left="360"/>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rsidR="004878C0" w:rsidRPr="00450804" w:rsidRDefault="004878C0" w:rsidP="000B1B70">
            <w:pPr>
              <w:rPr>
                <w:sz w:val="18"/>
                <w:szCs w:val="18"/>
              </w:rPr>
            </w:pPr>
            <w:r>
              <w:rPr>
                <w:sz w:val="18"/>
                <w:szCs w:val="18"/>
              </w:rPr>
              <w:t>Namibia</w:t>
            </w:r>
          </w:p>
        </w:tc>
      </w:tr>
    </w:tbl>
    <w:p w:rsidR="004878C0" w:rsidRDefault="004878C0" w:rsidP="004878C0">
      <w:pPr>
        <w:tabs>
          <w:tab w:val="left" w:pos="360"/>
        </w:tabs>
        <w:rPr>
          <w:szCs w:val="20"/>
        </w:rPr>
      </w:pPr>
    </w:p>
    <w:p w:rsidR="004878C0" w:rsidRPr="008C711F" w:rsidRDefault="004878C0" w:rsidP="004878C0">
      <w:pPr>
        <w:spacing w:before="200"/>
        <w:ind w:left="360"/>
        <w:rPr>
          <w:b/>
          <w:color w:val="2E74B5" w:themeColor="accent1" w:themeShade="BF"/>
          <w:sz w:val="24"/>
        </w:rPr>
      </w:pPr>
      <w:r w:rsidRPr="008C711F">
        <w:rPr>
          <w:b/>
          <w:color w:val="2E74B5" w:themeColor="accent1" w:themeShade="BF"/>
          <w:sz w:val="24"/>
        </w:rPr>
        <w:t>Part A. Integrating Overarching Principles to Strengthen Social and Environmental Sustainability</w:t>
      </w:r>
    </w:p>
    <w:p w:rsidR="004878C0" w:rsidRPr="00372083" w:rsidRDefault="004878C0" w:rsidP="004878C0">
      <w:pPr>
        <w:rPr>
          <w:b/>
          <w:szCs w:val="20"/>
        </w:rPr>
      </w:pPr>
    </w:p>
    <w:tbl>
      <w:tblPr>
        <w:tblStyle w:val="TableGrid"/>
        <w:tblW w:w="13248" w:type="dxa"/>
        <w:tblLook w:val="04A0" w:firstRow="1" w:lastRow="0" w:firstColumn="1" w:lastColumn="0" w:noHBand="0" w:noVBand="1"/>
      </w:tblPr>
      <w:tblGrid>
        <w:gridCol w:w="13248"/>
      </w:tblGrid>
      <w:tr w:rsidR="004878C0" w:rsidRPr="000148C0" w:rsidTr="000B1B70">
        <w:trPr>
          <w:trHeight w:val="449"/>
        </w:trPr>
        <w:tc>
          <w:tcPr>
            <w:tcW w:w="13248" w:type="dxa"/>
            <w:shd w:val="clear" w:color="auto" w:fill="222A35" w:themeFill="text2" w:themeFillShade="80"/>
            <w:vAlign w:val="center"/>
          </w:tcPr>
          <w:p w:rsidR="004878C0" w:rsidRPr="000148C0" w:rsidRDefault="004878C0" w:rsidP="000B1B70">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4878C0" w:rsidRPr="00E46A63" w:rsidTr="000B1B70">
        <w:tc>
          <w:tcPr>
            <w:tcW w:w="13248" w:type="dxa"/>
            <w:shd w:val="clear" w:color="auto" w:fill="D5DCE4" w:themeFill="text2" w:themeFillTint="33"/>
          </w:tcPr>
          <w:p w:rsidR="004878C0" w:rsidRPr="00414FBA" w:rsidRDefault="004878C0" w:rsidP="000B1B70">
            <w:pPr>
              <w:tabs>
                <w:tab w:val="left" w:pos="432"/>
              </w:tabs>
              <w:spacing w:before="60" w:after="60"/>
              <w:rPr>
                <w:rFonts w:eastAsia="Times New Roman"/>
                <w:b/>
                <w:i/>
                <w:sz w:val="18"/>
                <w:szCs w:val="18"/>
              </w:rPr>
            </w:pPr>
            <w:r w:rsidRPr="00414FBA">
              <w:rPr>
                <w:rFonts w:eastAsia="Times New Roman"/>
                <w:b/>
                <w:i/>
                <w:sz w:val="18"/>
                <w:szCs w:val="18"/>
              </w:rPr>
              <w:t xml:space="preserve">Briefly describe in the space below how the Project mainstreams the human-rights based approach </w:t>
            </w:r>
          </w:p>
        </w:tc>
      </w:tr>
      <w:tr w:rsidR="004878C0" w:rsidRPr="00AC33A5" w:rsidTr="000B1B70">
        <w:tc>
          <w:tcPr>
            <w:tcW w:w="13248" w:type="dxa"/>
          </w:tcPr>
          <w:p w:rsidR="004878C0" w:rsidRPr="004878C0" w:rsidRDefault="004878C0" w:rsidP="000B1B70">
            <w:pPr>
              <w:keepNext/>
              <w:keepLines/>
              <w:tabs>
                <w:tab w:val="left" w:pos="432"/>
              </w:tabs>
              <w:spacing w:before="60" w:after="60"/>
              <w:jc w:val="both"/>
              <w:outlineLvl w:val="7"/>
              <w:rPr>
                <w:highlight w:val="yellow"/>
              </w:rPr>
            </w:pPr>
            <w:r w:rsidRPr="004878C0">
              <w:rPr>
                <w:highlight w:val="yellow"/>
              </w:rPr>
              <w:lastRenderedPageBreak/>
              <w:t xml:space="preserve">This project seeks to strengthen Namibia’s efforts to ensure sustainable environment and enhanced resilience. Contributing to this is the fact that the environment is currently faced by challenges associated with biodiversity conservation; including poaching, illegal wildlife trade and human-wildlife conflicts; land degradation, and the impacts of climate change. However, lack of awareness, absence of knowledge management and exchange, limited human resources and technical capacities hinder environmental management. To reverse this situation, the project will seek to place significant efforts in awareness raising, knowledge exchange, and in capacity building around wildlife crime, human wildlife conflicts, climate change related issues, and environmental protection at large, which includes prevention of negative environmental impacts. This will help to promote a sense of connection to the natural world among the </w:t>
            </w:r>
            <w:proofErr w:type="gramStart"/>
            <w:r w:rsidRPr="004878C0">
              <w:rPr>
                <w:highlight w:val="yellow"/>
              </w:rPr>
              <w:t>people, and</w:t>
            </w:r>
            <w:proofErr w:type="gramEnd"/>
            <w:r w:rsidRPr="004878C0">
              <w:rPr>
                <w:highlight w:val="yellow"/>
              </w:rPr>
              <w:t xml:space="preserve"> will encourage their interest in the conservation of natural resources, and in environmental management at large. In addition, knowledge exchange places people in a position to scale up solutions to specific issues. This is due to the fact that the </w:t>
            </w:r>
            <w:proofErr w:type="gramStart"/>
            <w:r w:rsidRPr="004878C0">
              <w:rPr>
                <w:highlight w:val="yellow"/>
              </w:rPr>
              <w:t>most latest</w:t>
            </w:r>
            <w:proofErr w:type="gramEnd"/>
            <w:r w:rsidRPr="004878C0">
              <w:rPr>
                <w:highlight w:val="yellow"/>
              </w:rPr>
              <w:t xml:space="preserve"> and relevant knowledge is shared through knowledge sharing and exchange, which provides necessary guidance towards addressing the issue at hand. Furthermore, knowledge sharing leads to action, and promotes synergies among institutions, such that people, teams and institutions get motivated to work together using systems and processes to reach the shared goal in the most efficient way. </w:t>
            </w:r>
          </w:p>
          <w:p w:rsidR="004878C0" w:rsidRPr="004878C0" w:rsidRDefault="004878C0" w:rsidP="000B1B70">
            <w:pPr>
              <w:jc w:val="both"/>
              <w:rPr>
                <w:highlight w:val="yellow"/>
              </w:rPr>
            </w:pPr>
          </w:p>
          <w:p w:rsidR="004878C0" w:rsidRPr="004878C0" w:rsidRDefault="004878C0" w:rsidP="000B1B70">
            <w:pPr>
              <w:jc w:val="both"/>
              <w:rPr>
                <w:highlight w:val="yellow"/>
              </w:rPr>
            </w:pPr>
            <w:r w:rsidRPr="004878C0">
              <w:rPr>
                <w:highlight w:val="yellow"/>
              </w:rPr>
              <w:t xml:space="preserve">In general, dealing with environmental challenges requires continual sharing of knowledge, given the fact that it allows people to learn and understand how to best achieve the target goal. This is </w:t>
            </w:r>
            <w:proofErr w:type="gramStart"/>
            <w:r w:rsidRPr="004878C0">
              <w:rPr>
                <w:highlight w:val="yellow"/>
              </w:rPr>
              <w:t>due to the fact that</w:t>
            </w:r>
            <w:proofErr w:type="gramEnd"/>
            <w:r w:rsidRPr="004878C0">
              <w:rPr>
                <w:highlight w:val="yellow"/>
              </w:rPr>
              <w:t xml:space="preserve"> through knowledge sharing or exchange, information, skills, experiences and expertise are shared within and across </w:t>
            </w:r>
            <w:proofErr w:type="spellStart"/>
            <w:r w:rsidRPr="004878C0">
              <w:rPr>
                <w:highlight w:val="yellow"/>
              </w:rPr>
              <w:t>organisations</w:t>
            </w:r>
            <w:proofErr w:type="spellEnd"/>
            <w:r w:rsidRPr="004878C0">
              <w:rPr>
                <w:highlight w:val="yellow"/>
              </w:rPr>
              <w:t xml:space="preserve"> and institutions. In the context of development, knowledge </w:t>
            </w:r>
            <w:proofErr w:type="gramStart"/>
            <w:r w:rsidRPr="004878C0">
              <w:rPr>
                <w:highlight w:val="yellow"/>
              </w:rPr>
              <w:t>sharing</w:t>
            </w:r>
            <w:proofErr w:type="gramEnd"/>
            <w:r w:rsidRPr="004878C0">
              <w:rPr>
                <w:highlight w:val="yellow"/>
              </w:rPr>
              <w:t xml:space="preserve"> and exchange is necessary between institutions or organization, such that those that have accumulated a wealth of knowledge and experience may benefit the ones with limited knowledge. While sharing knowledge is important, it is also important to utilize the acquired knowledge to become more effective when it comes to solving operational problems.</w:t>
            </w:r>
          </w:p>
          <w:p w:rsidR="004878C0" w:rsidRPr="004878C0" w:rsidRDefault="004878C0" w:rsidP="000B1B70">
            <w:pPr>
              <w:jc w:val="both"/>
              <w:rPr>
                <w:highlight w:val="yellow"/>
              </w:rPr>
            </w:pPr>
          </w:p>
          <w:p w:rsidR="004878C0" w:rsidRPr="008C711F" w:rsidRDefault="004878C0" w:rsidP="000B1B70">
            <w:pPr>
              <w:keepNext/>
              <w:keepLines/>
              <w:tabs>
                <w:tab w:val="left" w:pos="432"/>
              </w:tabs>
              <w:spacing w:before="60" w:after="60"/>
              <w:jc w:val="both"/>
              <w:outlineLvl w:val="7"/>
              <w:rPr>
                <w:sz w:val="18"/>
                <w:szCs w:val="18"/>
              </w:rPr>
            </w:pPr>
            <w:r w:rsidRPr="004878C0">
              <w:rPr>
                <w:highlight w:val="yellow"/>
              </w:rPr>
              <w:t xml:space="preserve">Furthermore, through building human capacities to address environmental issues, individuals will place their </w:t>
            </w:r>
            <w:proofErr w:type="spellStart"/>
            <w:r w:rsidRPr="004878C0">
              <w:rPr>
                <w:highlight w:val="yellow"/>
              </w:rPr>
              <w:t>organisations</w:t>
            </w:r>
            <w:proofErr w:type="spellEnd"/>
            <w:r w:rsidRPr="004878C0">
              <w:rPr>
                <w:highlight w:val="yellow"/>
              </w:rPr>
              <w:t xml:space="preserve"> and institutions in positions to better address the environmental issues at hand.</w:t>
            </w:r>
          </w:p>
        </w:tc>
      </w:tr>
      <w:tr w:rsidR="004878C0" w:rsidRPr="003843AE" w:rsidTr="000B1B70">
        <w:trPr>
          <w:trHeight w:val="296"/>
        </w:trPr>
        <w:tc>
          <w:tcPr>
            <w:tcW w:w="13248" w:type="dxa"/>
            <w:shd w:val="clear" w:color="auto" w:fill="D5DCE4" w:themeFill="text2" w:themeFillTint="33"/>
          </w:tcPr>
          <w:p w:rsidR="004878C0" w:rsidRPr="00414FBA" w:rsidRDefault="004878C0" w:rsidP="000B1B70">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878C0" w:rsidRPr="00AC33A5" w:rsidTr="000B1B70">
        <w:tc>
          <w:tcPr>
            <w:tcW w:w="13248" w:type="dxa"/>
          </w:tcPr>
          <w:p w:rsidR="004878C0" w:rsidRPr="00F81F5B" w:rsidRDefault="004878C0" w:rsidP="000B1B70">
            <w:pPr>
              <w:tabs>
                <w:tab w:val="left" w:pos="432"/>
              </w:tabs>
              <w:spacing w:before="60" w:after="60"/>
              <w:rPr>
                <w:rFonts w:eastAsia="Times New Roman"/>
                <w:sz w:val="18"/>
                <w:szCs w:val="18"/>
              </w:rPr>
            </w:pPr>
            <w:r w:rsidRPr="004878C0">
              <w:rPr>
                <w:rFonts w:eastAsia="Times New Roman"/>
                <w:sz w:val="18"/>
                <w:szCs w:val="18"/>
                <w:highlight w:val="yellow"/>
              </w:rPr>
              <w:t>Gender aspects will be included during project implementation. Through the project, capacities for men and women to address environmental issues will be build, and their awareness levels for environmental issues will be elevated. Where possible, activities aiming to empower women will be implemented.</w:t>
            </w:r>
          </w:p>
        </w:tc>
      </w:tr>
      <w:tr w:rsidR="004878C0" w:rsidRPr="00CF674A" w:rsidTr="000B1B70">
        <w:trPr>
          <w:trHeight w:val="305"/>
        </w:trPr>
        <w:tc>
          <w:tcPr>
            <w:tcW w:w="13248" w:type="dxa"/>
            <w:shd w:val="clear" w:color="auto" w:fill="D5DCE4" w:themeFill="text2" w:themeFillTint="33"/>
          </w:tcPr>
          <w:p w:rsidR="004878C0" w:rsidRPr="00414FBA" w:rsidRDefault="004878C0" w:rsidP="000B1B70">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878C0" w:rsidRPr="00AC33A5" w:rsidTr="000B1B70">
        <w:tc>
          <w:tcPr>
            <w:tcW w:w="13248" w:type="dxa"/>
          </w:tcPr>
          <w:p w:rsidR="004878C0" w:rsidRPr="008C711F" w:rsidRDefault="004878C0" w:rsidP="000B1B70">
            <w:pPr>
              <w:tabs>
                <w:tab w:val="left" w:pos="432"/>
              </w:tabs>
              <w:spacing w:before="60" w:after="60"/>
              <w:rPr>
                <w:rFonts w:eastAsia="Times New Roman"/>
                <w:color w:val="595959" w:themeColor="text1" w:themeTint="A6"/>
                <w:sz w:val="18"/>
                <w:szCs w:val="18"/>
              </w:rPr>
            </w:pPr>
            <w:r w:rsidRPr="004878C0">
              <w:rPr>
                <w:rFonts w:eastAsia="Times New Roman"/>
                <w:sz w:val="18"/>
                <w:szCs w:val="18"/>
                <w:highlight w:val="yellow"/>
              </w:rPr>
              <w:t xml:space="preserve">To ensure environmental sustainability, the project will contribute to conservation efforts, with </w:t>
            </w:r>
            <w:proofErr w:type="gramStart"/>
            <w:r w:rsidRPr="004878C0">
              <w:rPr>
                <w:rFonts w:eastAsia="Times New Roman"/>
                <w:sz w:val="18"/>
                <w:szCs w:val="18"/>
                <w:highlight w:val="yellow"/>
              </w:rPr>
              <w:t>particular focus</w:t>
            </w:r>
            <w:proofErr w:type="gramEnd"/>
            <w:r w:rsidRPr="004878C0">
              <w:rPr>
                <w:rFonts w:eastAsia="Times New Roman"/>
                <w:sz w:val="18"/>
                <w:szCs w:val="18"/>
                <w:highlight w:val="yellow"/>
              </w:rPr>
              <w:t xml:space="preserve"> on wildlife crime and human wildlife conflicts. It will also make contribution to the review of the Nationally Determined Contributions (NDCs) to the global efforts to address climate change, for the purpose of reporting to the United Nations Framework Convention on Climate Change. </w:t>
            </w:r>
            <w:proofErr w:type="gramStart"/>
            <w:r w:rsidRPr="004878C0">
              <w:rPr>
                <w:rFonts w:eastAsia="Times New Roman"/>
                <w:sz w:val="18"/>
                <w:szCs w:val="18"/>
                <w:highlight w:val="yellow"/>
              </w:rPr>
              <w:t>Furthermore</w:t>
            </w:r>
            <w:proofErr w:type="gramEnd"/>
            <w:r w:rsidRPr="004878C0">
              <w:rPr>
                <w:rFonts w:eastAsia="Times New Roman"/>
                <w:sz w:val="18"/>
                <w:szCs w:val="18"/>
                <w:highlight w:val="yellow"/>
              </w:rPr>
              <w:t xml:space="preserve"> it will contribute to improved environmental governance. These will further be strengthened through increased awareness raising efforts, sound knowledge management, increased human resources and capacity building</w:t>
            </w:r>
            <w:r w:rsidRPr="004878C0">
              <w:rPr>
                <w:i/>
                <w:highlight w:val="yellow"/>
              </w:rPr>
              <w:t>.</w:t>
            </w:r>
          </w:p>
        </w:tc>
      </w:tr>
    </w:tbl>
    <w:p w:rsidR="004878C0" w:rsidRPr="00FC7D8A" w:rsidRDefault="004878C0" w:rsidP="004878C0">
      <w:pPr>
        <w:rPr>
          <w:b/>
          <w:szCs w:val="20"/>
        </w:rPr>
      </w:pPr>
    </w:p>
    <w:p w:rsidR="004878C0" w:rsidRPr="008C711F" w:rsidRDefault="004878C0" w:rsidP="004878C0">
      <w:pPr>
        <w:keepNext/>
        <w:spacing w:before="200"/>
        <w:ind w:left="360"/>
        <w:rPr>
          <w:b/>
          <w:color w:val="2E74B5" w:themeColor="accent1" w:themeShade="BF"/>
          <w:sz w:val="24"/>
        </w:rPr>
      </w:pPr>
      <w:r w:rsidRPr="008C711F">
        <w:rPr>
          <w:b/>
          <w:color w:val="2E74B5" w:themeColor="accent1" w:themeShade="BF"/>
          <w:sz w:val="24"/>
        </w:rPr>
        <w:lastRenderedPageBreak/>
        <w:t xml:space="preserve">Part B. Identifying and Managing Social and Environmental </w:t>
      </w:r>
      <w:r w:rsidRPr="008C711F">
        <w:rPr>
          <w:b/>
          <w:color w:val="2E74B5" w:themeColor="accent1" w:themeShade="BF"/>
          <w:sz w:val="24"/>
          <w:u w:val="single"/>
        </w:rPr>
        <w:t>Risks</w:t>
      </w:r>
    </w:p>
    <w:p w:rsidR="004878C0" w:rsidRPr="00FC7D8A" w:rsidRDefault="004878C0" w:rsidP="004878C0">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4878C0" w:rsidRPr="0019385F" w:rsidTr="000B1B70">
        <w:trPr>
          <w:trHeight w:val="1061"/>
        </w:trPr>
        <w:tc>
          <w:tcPr>
            <w:tcW w:w="3510" w:type="dxa"/>
            <w:shd w:val="clear" w:color="auto" w:fill="222A35" w:themeFill="text2" w:themeFillShade="80"/>
          </w:tcPr>
          <w:p w:rsidR="004878C0" w:rsidRDefault="004878C0" w:rsidP="000B1B70">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rsidR="004878C0" w:rsidRDefault="004878C0" w:rsidP="000B1B70">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rsidR="004878C0" w:rsidRDefault="004878C0" w:rsidP="000B1B70">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rsidR="004878C0" w:rsidRDefault="004878C0" w:rsidP="000B1B70">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222A35" w:themeFill="text2" w:themeFillShade="80"/>
          </w:tcPr>
          <w:p w:rsidR="004878C0" w:rsidRPr="0019385F" w:rsidRDefault="004878C0" w:rsidP="000B1B70">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4878C0" w:rsidTr="000B1B70">
        <w:tc>
          <w:tcPr>
            <w:tcW w:w="3510" w:type="dxa"/>
            <w:shd w:val="clear" w:color="auto" w:fill="D5DCE4" w:themeFill="text2" w:themeFillTint="33"/>
          </w:tcPr>
          <w:p w:rsidR="004878C0" w:rsidRPr="00414FBA" w:rsidRDefault="004878C0" w:rsidP="000B1B70">
            <w:pPr>
              <w:rPr>
                <w:b/>
                <w:i/>
                <w:sz w:val="18"/>
                <w:szCs w:val="18"/>
              </w:rPr>
            </w:pPr>
            <w:r w:rsidRPr="00414FBA">
              <w:rPr>
                <w:b/>
                <w:i/>
                <w:sz w:val="18"/>
                <w:szCs w:val="18"/>
              </w:rPr>
              <w:t>Risk Description</w:t>
            </w:r>
          </w:p>
        </w:tc>
        <w:tc>
          <w:tcPr>
            <w:tcW w:w="1080" w:type="dxa"/>
            <w:shd w:val="clear" w:color="auto" w:fill="D5DCE4" w:themeFill="text2" w:themeFillTint="33"/>
          </w:tcPr>
          <w:p w:rsidR="004878C0" w:rsidRPr="00414FBA" w:rsidRDefault="004878C0" w:rsidP="000B1B70">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D5DCE4" w:themeFill="text2" w:themeFillTint="33"/>
          </w:tcPr>
          <w:p w:rsidR="004878C0" w:rsidRPr="00414FBA" w:rsidRDefault="004878C0" w:rsidP="000B1B70">
            <w:pPr>
              <w:rPr>
                <w:b/>
                <w:i/>
                <w:sz w:val="18"/>
                <w:szCs w:val="18"/>
              </w:rPr>
            </w:pPr>
            <w:r w:rsidRPr="00414FBA">
              <w:rPr>
                <w:b/>
                <w:i/>
                <w:sz w:val="18"/>
                <w:szCs w:val="18"/>
              </w:rPr>
              <w:t>Significance</w:t>
            </w:r>
          </w:p>
          <w:p w:rsidR="004878C0" w:rsidRPr="00414FBA" w:rsidRDefault="004878C0" w:rsidP="000B1B70">
            <w:pPr>
              <w:rPr>
                <w:b/>
                <w:i/>
                <w:sz w:val="18"/>
                <w:szCs w:val="18"/>
              </w:rPr>
            </w:pPr>
            <w:r w:rsidRPr="00414FBA">
              <w:rPr>
                <w:b/>
                <w:i/>
                <w:sz w:val="18"/>
                <w:szCs w:val="18"/>
              </w:rPr>
              <w:t>(Low, Moderate, High)</w:t>
            </w:r>
          </w:p>
        </w:tc>
        <w:tc>
          <w:tcPr>
            <w:tcW w:w="2610" w:type="dxa"/>
            <w:gridSpan w:val="2"/>
            <w:shd w:val="clear" w:color="auto" w:fill="D5DCE4" w:themeFill="text2" w:themeFillTint="33"/>
          </w:tcPr>
          <w:p w:rsidR="004878C0" w:rsidRPr="00414FBA" w:rsidRDefault="004878C0" w:rsidP="000B1B70">
            <w:pPr>
              <w:rPr>
                <w:b/>
                <w:i/>
                <w:sz w:val="18"/>
                <w:szCs w:val="18"/>
              </w:rPr>
            </w:pPr>
            <w:r w:rsidRPr="00414FBA">
              <w:rPr>
                <w:b/>
                <w:i/>
                <w:sz w:val="18"/>
                <w:szCs w:val="18"/>
              </w:rPr>
              <w:t>Comments</w:t>
            </w:r>
          </w:p>
        </w:tc>
        <w:tc>
          <w:tcPr>
            <w:tcW w:w="4770" w:type="dxa"/>
            <w:gridSpan w:val="2"/>
            <w:shd w:val="clear" w:color="auto" w:fill="D5DCE4" w:themeFill="text2" w:themeFillTint="33"/>
          </w:tcPr>
          <w:p w:rsidR="004878C0" w:rsidRPr="00414FBA" w:rsidRDefault="004878C0" w:rsidP="000B1B70">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4878C0" w:rsidTr="000B1B70">
        <w:tc>
          <w:tcPr>
            <w:tcW w:w="3510" w:type="dxa"/>
            <w:vAlign w:val="center"/>
          </w:tcPr>
          <w:p w:rsidR="004878C0" w:rsidRPr="004878C0" w:rsidRDefault="004878C0" w:rsidP="000B1B70">
            <w:pPr>
              <w:rPr>
                <w:sz w:val="18"/>
                <w:szCs w:val="18"/>
                <w:highlight w:val="yellow"/>
              </w:rPr>
            </w:pPr>
            <w:r w:rsidRPr="004878C0">
              <w:rPr>
                <w:sz w:val="18"/>
                <w:szCs w:val="18"/>
                <w:highlight w:val="yellow"/>
              </w:rPr>
              <w:t>Risk 1: Poaching tactics are increasingly becoming sophisticated, and poachers might be using sophisticated methods compared to the ones normally used.</w:t>
            </w:r>
          </w:p>
          <w:p w:rsidR="004878C0" w:rsidRPr="004878C0" w:rsidRDefault="004878C0" w:rsidP="000B1B70">
            <w:pPr>
              <w:jc w:val="both"/>
              <w:rPr>
                <w:sz w:val="18"/>
                <w:szCs w:val="18"/>
                <w:highlight w:val="yellow"/>
              </w:rPr>
            </w:pP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I = 3</w:t>
            </w:r>
          </w:p>
          <w:p w:rsidR="004878C0" w:rsidRPr="004878C0" w:rsidRDefault="004878C0" w:rsidP="000B1B70">
            <w:pPr>
              <w:rPr>
                <w:rFonts w:cs="Minion Pro"/>
                <w:sz w:val="18"/>
                <w:szCs w:val="18"/>
                <w:highlight w:val="yellow"/>
              </w:rPr>
            </w:pPr>
            <w:r w:rsidRPr="004878C0">
              <w:rPr>
                <w:rFonts w:cs="Minion Pro"/>
                <w:sz w:val="18"/>
                <w:szCs w:val="18"/>
                <w:highlight w:val="yellow"/>
              </w:rPr>
              <w:t>P = 3</w:t>
            </w:r>
          </w:p>
        </w:tc>
        <w:tc>
          <w:tcPr>
            <w:tcW w:w="1170" w:type="dxa"/>
          </w:tcPr>
          <w:p w:rsidR="004878C0" w:rsidRPr="004878C0" w:rsidRDefault="004878C0" w:rsidP="000B1B70">
            <w:pPr>
              <w:rPr>
                <w:b/>
                <w:sz w:val="18"/>
                <w:szCs w:val="18"/>
                <w:highlight w:val="yellow"/>
              </w:rPr>
            </w:pPr>
            <w:r w:rsidRPr="004878C0">
              <w:rPr>
                <w:b/>
                <w:sz w:val="18"/>
                <w:szCs w:val="18"/>
                <w:highlight w:val="yellow"/>
              </w:rPr>
              <w:t>Moderate</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The project will seek to contribute to government’s effort to dealing with wildlife crime from a wider perspective</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 xml:space="preserve">There is a need to constantly and consistently engage with </w:t>
            </w:r>
            <w:proofErr w:type="spellStart"/>
            <w:r w:rsidRPr="004878C0">
              <w:rPr>
                <w:sz w:val="18"/>
                <w:szCs w:val="18"/>
                <w:highlight w:val="yellow"/>
              </w:rPr>
              <w:t>neighbouring</w:t>
            </w:r>
            <w:proofErr w:type="spellEnd"/>
            <w:r w:rsidRPr="004878C0">
              <w:rPr>
                <w:sz w:val="18"/>
                <w:szCs w:val="18"/>
                <w:highlight w:val="yellow"/>
              </w:rPr>
              <w:t xml:space="preserve"> and other countries and partners with technical expertise in dealing with poaching.</w:t>
            </w:r>
          </w:p>
        </w:tc>
      </w:tr>
      <w:tr w:rsidR="004878C0" w:rsidTr="000B1B70">
        <w:tc>
          <w:tcPr>
            <w:tcW w:w="3510" w:type="dxa"/>
            <w:vAlign w:val="center"/>
          </w:tcPr>
          <w:p w:rsidR="004878C0" w:rsidRPr="004878C0" w:rsidRDefault="004878C0" w:rsidP="000B1B70">
            <w:pPr>
              <w:rPr>
                <w:b/>
                <w:sz w:val="18"/>
                <w:szCs w:val="18"/>
                <w:highlight w:val="yellow"/>
              </w:rPr>
            </w:pPr>
            <w:r w:rsidRPr="004878C0">
              <w:rPr>
                <w:sz w:val="18"/>
                <w:szCs w:val="18"/>
                <w:highlight w:val="yellow"/>
              </w:rPr>
              <w:t xml:space="preserve">Risk 2: Wildlife crime and human-wildlife conflicts are unpredictable </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I = 2</w:t>
            </w:r>
          </w:p>
          <w:p w:rsidR="004878C0" w:rsidRPr="004878C0" w:rsidRDefault="004878C0" w:rsidP="000B1B70">
            <w:pPr>
              <w:rPr>
                <w:sz w:val="18"/>
                <w:szCs w:val="18"/>
                <w:highlight w:val="yellow"/>
              </w:rPr>
            </w:pPr>
            <w:r w:rsidRPr="004878C0">
              <w:rPr>
                <w:rFonts w:cs="Minion Pro"/>
                <w:sz w:val="18"/>
                <w:szCs w:val="18"/>
                <w:highlight w:val="yellow"/>
              </w:rPr>
              <w:t>P = 1</w:t>
            </w:r>
          </w:p>
        </w:tc>
        <w:tc>
          <w:tcPr>
            <w:tcW w:w="1170" w:type="dxa"/>
          </w:tcPr>
          <w:p w:rsidR="004878C0" w:rsidRPr="004878C0" w:rsidRDefault="004878C0" w:rsidP="000B1B70">
            <w:pPr>
              <w:rPr>
                <w:b/>
                <w:sz w:val="18"/>
                <w:szCs w:val="18"/>
                <w:highlight w:val="yellow"/>
              </w:rPr>
            </w:pPr>
            <w:r w:rsidRPr="004878C0">
              <w:rPr>
                <w:b/>
                <w:sz w:val="18"/>
                <w:szCs w:val="18"/>
                <w:highlight w:val="yellow"/>
              </w:rPr>
              <w:t>Moderate</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Addressing wildlife crime and human wildlife crime issues in all occasions will be made possible through increased awareness raising efforts and knowledge exchange</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Awareness on wildlife crime and on dealing with human-wildlife conflicts should be widely raised, especially in wildlife crime hotspots and surrounding areas, and in the areas where wildlife ranges overall communal areas. In addition, knowledge exchange activities will be organized with the relevant stakeholders, including the most vulnerable people.</w:t>
            </w:r>
          </w:p>
        </w:tc>
      </w:tr>
      <w:tr w:rsidR="004878C0" w:rsidTr="000B1B70">
        <w:tc>
          <w:tcPr>
            <w:tcW w:w="3510" w:type="dxa"/>
            <w:vAlign w:val="center"/>
          </w:tcPr>
          <w:p w:rsidR="004878C0" w:rsidRPr="004878C0" w:rsidRDefault="004878C0" w:rsidP="000B1B70">
            <w:pPr>
              <w:rPr>
                <w:b/>
                <w:sz w:val="18"/>
                <w:szCs w:val="18"/>
                <w:highlight w:val="yellow"/>
              </w:rPr>
            </w:pPr>
            <w:r w:rsidRPr="004878C0">
              <w:rPr>
                <w:sz w:val="18"/>
                <w:szCs w:val="18"/>
                <w:highlight w:val="yellow"/>
              </w:rPr>
              <w:t>Risk 3: Building technical capacities for dealing with environmental issues does not guarantee retention of human resources within the respective institutions</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I = 2</w:t>
            </w:r>
          </w:p>
          <w:p w:rsidR="004878C0" w:rsidRPr="004878C0" w:rsidRDefault="004878C0" w:rsidP="000B1B70">
            <w:pPr>
              <w:rPr>
                <w:sz w:val="18"/>
                <w:szCs w:val="18"/>
                <w:highlight w:val="yellow"/>
              </w:rPr>
            </w:pPr>
            <w:r w:rsidRPr="004878C0">
              <w:rPr>
                <w:rFonts w:cs="Minion Pro"/>
                <w:sz w:val="18"/>
                <w:szCs w:val="18"/>
                <w:highlight w:val="yellow"/>
              </w:rPr>
              <w:t>P = 1</w:t>
            </w:r>
          </w:p>
        </w:tc>
        <w:tc>
          <w:tcPr>
            <w:tcW w:w="1170" w:type="dxa"/>
          </w:tcPr>
          <w:p w:rsidR="004878C0" w:rsidRPr="004878C0" w:rsidRDefault="004878C0" w:rsidP="000B1B70">
            <w:pPr>
              <w:rPr>
                <w:b/>
                <w:sz w:val="18"/>
                <w:szCs w:val="18"/>
                <w:highlight w:val="yellow"/>
              </w:rPr>
            </w:pPr>
            <w:r w:rsidRPr="004878C0">
              <w:rPr>
                <w:b/>
                <w:sz w:val="18"/>
                <w:szCs w:val="18"/>
                <w:highlight w:val="yellow"/>
              </w:rPr>
              <w:t>Low</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The project will make efforts to contribute to capacity building for all relevant personnel, meaning that even if some of them leave their respective institutions, those remaining will still be in a good position to carry out the necessary activities.</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Capacity building activities to be organized will include training of all relevant personnel, including potential future trainers</w:t>
            </w:r>
          </w:p>
        </w:tc>
      </w:tr>
      <w:tr w:rsidR="004878C0" w:rsidTr="000B1B70">
        <w:tc>
          <w:tcPr>
            <w:tcW w:w="3510" w:type="dxa"/>
            <w:vAlign w:val="center"/>
          </w:tcPr>
          <w:p w:rsidR="004878C0" w:rsidRPr="004878C0" w:rsidRDefault="004878C0" w:rsidP="000B1B70">
            <w:pPr>
              <w:rPr>
                <w:b/>
                <w:sz w:val="18"/>
                <w:szCs w:val="18"/>
                <w:highlight w:val="yellow"/>
              </w:rPr>
            </w:pPr>
            <w:r w:rsidRPr="004878C0">
              <w:rPr>
                <w:sz w:val="18"/>
                <w:szCs w:val="18"/>
                <w:highlight w:val="yellow"/>
              </w:rPr>
              <w:t xml:space="preserve">Risk 4: If the conditions of the NDCs are not clearly defined, reviewing them may be a challenge </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I = 2</w:t>
            </w:r>
          </w:p>
          <w:p w:rsidR="004878C0" w:rsidRPr="004878C0" w:rsidRDefault="004878C0" w:rsidP="000B1B70">
            <w:pPr>
              <w:rPr>
                <w:sz w:val="18"/>
                <w:szCs w:val="18"/>
                <w:highlight w:val="yellow"/>
              </w:rPr>
            </w:pPr>
            <w:r w:rsidRPr="004878C0">
              <w:rPr>
                <w:rFonts w:cs="Minion Pro"/>
                <w:sz w:val="18"/>
                <w:szCs w:val="18"/>
                <w:highlight w:val="yellow"/>
              </w:rPr>
              <w:t>P = 2</w:t>
            </w:r>
          </w:p>
        </w:tc>
        <w:tc>
          <w:tcPr>
            <w:tcW w:w="1170" w:type="dxa"/>
          </w:tcPr>
          <w:p w:rsidR="004878C0" w:rsidRPr="004878C0" w:rsidRDefault="004878C0" w:rsidP="000B1B70">
            <w:pPr>
              <w:rPr>
                <w:b/>
                <w:sz w:val="18"/>
                <w:szCs w:val="18"/>
                <w:highlight w:val="yellow"/>
              </w:rPr>
            </w:pPr>
            <w:r w:rsidRPr="004878C0">
              <w:rPr>
                <w:b/>
                <w:sz w:val="18"/>
                <w:szCs w:val="18"/>
                <w:highlight w:val="yellow"/>
              </w:rPr>
              <w:t>Moderate</w:t>
            </w:r>
          </w:p>
        </w:tc>
        <w:tc>
          <w:tcPr>
            <w:tcW w:w="2610" w:type="dxa"/>
            <w:gridSpan w:val="2"/>
          </w:tcPr>
          <w:p w:rsidR="004878C0" w:rsidRPr="004878C0" w:rsidRDefault="004878C0" w:rsidP="000B1B70">
            <w:pPr>
              <w:rPr>
                <w:b/>
                <w:sz w:val="18"/>
                <w:szCs w:val="18"/>
                <w:highlight w:val="yellow"/>
              </w:rPr>
            </w:pPr>
            <w:r w:rsidRPr="004878C0">
              <w:rPr>
                <w:sz w:val="18"/>
                <w:szCs w:val="18"/>
                <w:highlight w:val="yellow"/>
              </w:rPr>
              <w:t>Priority will be placed in setting clear conditions of NDC implementation</w:t>
            </w:r>
            <w:r w:rsidRPr="004878C0">
              <w:rPr>
                <w:b/>
                <w:sz w:val="18"/>
                <w:szCs w:val="18"/>
                <w:highlight w:val="yellow"/>
              </w:rPr>
              <w:t>.</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The conditions of NDC implementation should be clearly set, and consultations with all relevant contributors to the NDC review should be nation wide</w:t>
            </w:r>
          </w:p>
        </w:tc>
      </w:tr>
      <w:tr w:rsidR="004878C0" w:rsidTr="000B1B70">
        <w:tc>
          <w:tcPr>
            <w:tcW w:w="3510" w:type="dxa"/>
            <w:vAlign w:val="center"/>
          </w:tcPr>
          <w:p w:rsidR="004878C0" w:rsidRPr="004878C0" w:rsidRDefault="004878C0" w:rsidP="000B1B70">
            <w:pPr>
              <w:rPr>
                <w:sz w:val="18"/>
                <w:szCs w:val="18"/>
                <w:highlight w:val="yellow"/>
              </w:rPr>
            </w:pPr>
            <w:r w:rsidRPr="004878C0">
              <w:rPr>
                <w:sz w:val="18"/>
                <w:szCs w:val="18"/>
                <w:highlight w:val="yellow"/>
              </w:rPr>
              <w:lastRenderedPageBreak/>
              <w:t>Risk 5: Despite the promotion of the use of renewable energy among undeserved communities, funds might not be available to provide them</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I = 1</w:t>
            </w:r>
          </w:p>
          <w:p w:rsidR="004878C0" w:rsidRPr="004878C0" w:rsidRDefault="004878C0" w:rsidP="000B1B70">
            <w:pPr>
              <w:rPr>
                <w:rFonts w:cs="Minion Pro"/>
                <w:sz w:val="18"/>
                <w:szCs w:val="18"/>
                <w:highlight w:val="yellow"/>
              </w:rPr>
            </w:pPr>
            <w:r w:rsidRPr="004878C0">
              <w:rPr>
                <w:rFonts w:cs="Minion Pro"/>
                <w:sz w:val="18"/>
                <w:szCs w:val="18"/>
                <w:highlight w:val="yellow"/>
              </w:rPr>
              <w:t>P = 2</w:t>
            </w:r>
          </w:p>
        </w:tc>
        <w:tc>
          <w:tcPr>
            <w:tcW w:w="1170" w:type="dxa"/>
          </w:tcPr>
          <w:p w:rsidR="004878C0" w:rsidRPr="004878C0" w:rsidRDefault="004878C0" w:rsidP="000B1B70">
            <w:pPr>
              <w:rPr>
                <w:b/>
                <w:sz w:val="18"/>
                <w:szCs w:val="18"/>
                <w:highlight w:val="yellow"/>
              </w:rPr>
            </w:pPr>
            <w:r w:rsidRPr="004878C0">
              <w:rPr>
                <w:b/>
                <w:sz w:val="18"/>
                <w:szCs w:val="18"/>
                <w:highlight w:val="yellow"/>
              </w:rPr>
              <w:t>Low</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 xml:space="preserve">The project will seek to develop partnerships with potential donors </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Institutions and organizations already dealing with renewable energy aspects to be encouraged to invest into the provision of efficient energy technologies to undeserved communities</w:t>
            </w:r>
          </w:p>
        </w:tc>
      </w:tr>
      <w:tr w:rsidR="004878C0" w:rsidTr="000B1B70">
        <w:tc>
          <w:tcPr>
            <w:tcW w:w="3510" w:type="dxa"/>
            <w:vAlign w:val="center"/>
          </w:tcPr>
          <w:p w:rsidR="004878C0" w:rsidRPr="004878C0" w:rsidRDefault="004878C0" w:rsidP="000B1B70">
            <w:pPr>
              <w:rPr>
                <w:sz w:val="18"/>
                <w:szCs w:val="18"/>
                <w:highlight w:val="yellow"/>
              </w:rPr>
            </w:pPr>
            <w:r w:rsidRPr="004878C0">
              <w:rPr>
                <w:sz w:val="18"/>
                <w:szCs w:val="18"/>
                <w:highlight w:val="yellow"/>
              </w:rPr>
              <w:t xml:space="preserve">Risk 6: Although there is a need to mainstream gender in the project activities, women empowerment on its own might not materialize, as both men and women are potential beneficiaries </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l = 1</w:t>
            </w:r>
          </w:p>
          <w:p w:rsidR="004878C0" w:rsidRPr="004878C0" w:rsidRDefault="004878C0" w:rsidP="000B1B70">
            <w:pPr>
              <w:rPr>
                <w:rFonts w:cs="Minion Pro"/>
                <w:sz w:val="18"/>
                <w:szCs w:val="18"/>
                <w:highlight w:val="yellow"/>
              </w:rPr>
            </w:pPr>
            <w:r w:rsidRPr="004878C0">
              <w:rPr>
                <w:rFonts w:cs="Minion Pro"/>
                <w:sz w:val="18"/>
                <w:szCs w:val="18"/>
                <w:highlight w:val="yellow"/>
              </w:rPr>
              <w:t>P = 2</w:t>
            </w:r>
          </w:p>
        </w:tc>
        <w:tc>
          <w:tcPr>
            <w:tcW w:w="1170" w:type="dxa"/>
          </w:tcPr>
          <w:p w:rsidR="004878C0" w:rsidRPr="004878C0" w:rsidRDefault="004878C0" w:rsidP="000B1B70">
            <w:pPr>
              <w:rPr>
                <w:b/>
                <w:sz w:val="18"/>
                <w:szCs w:val="18"/>
                <w:highlight w:val="yellow"/>
              </w:rPr>
            </w:pPr>
            <w:r w:rsidRPr="004878C0">
              <w:rPr>
                <w:b/>
                <w:sz w:val="18"/>
                <w:szCs w:val="18"/>
                <w:highlight w:val="yellow"/>
              </w:rPr>
              <w:t xml:space="preserve">Low </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The project will seek to promote gender mainstreaming on all aspects as much as possible, particularly through supporting other MET supported projects having similar goals, particularly those supporting women empower.</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 xml:space="preserve">Efforts will be made to mainstream gender on project activities, with </w:t>
            </w:r>
            <w:proofErr w:type="gramStart"/>
            <w:r w:rsidRPr="004878C0">
              <w:rPr>
                <w:sz w:val="18"/>
                <w:szCs w:val="18"/>
                <w:highlight w:val="yellow"/>
              </w:rPr>
              <w:t>particular focus</w:t>
            </w:r>
            <w:proofErr w:type="gramEnd"/>
            <w:r w:rsidRPr="004878C0">
              <w:rPr>
                <w:sz w:val="18"/>
                <w:szCs w:val="18"/>
                <w:highlight w:val="yellow"/>
              </w:rPr>
              <w:t xml:space="preserve"> on women empowerment.</w:t>
            </w:r>
          </w:p>
        </w:tc>
      </w:tr>
      <w:tr w:rsidR="004878C0" w:rsidTr="000B1B70">
        <w:tc>
          <w:tcPr>
            <w:tcW w:w="3510" w:type="dxa"/>
            <w:vAlign w:val="center"/>
          </w:tcPr>
          <w:p w:rsidR="004878C0" w:rsidRPr="004878C0" w:rsidRDefault="004878C0" w:rsidP="000B1B70">
            <w:pPr>
              <w:rPr>
                <w:sz w:val="18"/>
                <w:szCs w:val="18"/>
                <w:highlight w:val="yellow"/>
              </w:rPr>
            </w:pPr>
            <w:r w:rsidRPr="004878C0">
              <w:rPr>
                <w:sz w:val="18"/>
                <w:szCs w:val="18"/>
                <w:highlight w:val="yellow"/>
              </w:rPr>
              <w:t>Risk 7: Illegal small-scale mining activities is possible in the absence of closer monitoring of the mining sites.</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l = 3</w:t>
            </w:r>
          </w:p>
          <w:p w:rsidR="004878C0" w:rsidRPr="004878C0" w:rsidRDefault="004878C0" w:rsidP="000B1B70">
            <w:pPr>
              <w:rPr>
                <w:rFonts w:cs="Minion Pro"/>
                <w:sz w:val="18"/>
                <w:szCs w:val="18"/>
                <w:highlight w:val="yellow"/>
              </w:rPr>
            </w:pPr>
            <w:r w:rsidRPr="004878C0">
              <w:rPr>
                <w:rFonts w:cs="Minion Pro"/>
                <w:sz w:val="18"/>
                <w:szCs w:val="18"/>
                <w:highlight w:val="yellow"/>
              </w:rPr>
              <w:t>P = 3</w:t>
            </w:r>
          </w:p>
        </w:tc>
        <w:tc>
          <w:tcPr>
            <w:tcW w:w="1170" w:type="dxa"/>
          </w:tcPr>
          <w:p w:rsidR="004878C0" w:rsidRPr="004878C0" w:rsidRDefault="004878C0" w:rsidP="000B1B70">
            <w:pPr>
              <w:rPr>
                <w:b/>
                <w:sz w:val="18"/>
                <w:szCs w:val="18"/>
                <w:highlight w:val="yellow"/>
              </w:rPr>
            </w:pPr>
            <w:r w:rsidRPr="004878C0">
              <w:rPr>
                <w:b/>
                <w:sz w:val="18"/>
                <w:szCs w:val="18"/>
                <w:highlight w:val="yellow"/>
              </w:rPr>
              <w:t>Moderate</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The project should encourage regular monitoring visits to the mining hotspots by the Ministry of Mines and Energy (MME).</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 xml:space="preserve">The MME should include regular and </w:t>
            </w:r>
            <w:r w:rsidRPr="004878C0">
              <w:rPr>
                <w:i/>
                <w:sz w:val="18"/>
                <w:szCs w:val="18"/>
                <w:highlight w:val="yellow"/>
              </w:rPr>
              <w:t>ad hoc</w:t>
            </w:r>
            <w:r w:rsidRPr="004878C0">
              <w:rPr>
                <w:sz w:val="18"/>
                <w:szCs w:val="18"/>
                <w:highlight w:val="yellow"/>
              </w:rPr>
              <w:t xml:space="preserve"> mining inspection activities in its annual work plans.</w:t>
            </w:r>
          </w:p>
        </w:tc>
      </w:tr>
      <w:tr w:rsidR="004878C0" w:rsidTr="000B1B70">
        <w:tc>
          <w:tcPr>
            <w:tcW w:w="3510" w:type="dxa"/>
            <w:vAlign w:val="center"/>
          </w:tcPr>
          <w:p w:rsidR="004878C0" w:rsidRPr="004878C0" w:rsidRDefault="004878C0" w:rsidP="000B1B70">
            <w:pPr>
              <w:rPr>
                <w:sz w:val="18"/>
                <w:szCs w:val="18"/>
                <w:highlight w:val="yellow"/>
              </w:rPr>
            </w:pPr>
            <w:r w:rsidRPr="004878C0">
              <w:rPr>
                <w:sz w:val="18"/>
                <w:szCs w:val="18"/>
                <w:highlight w:val="yellow"/>
              </w:rPr>
              <w:t>Risk 8: Poor environmental and occupational health practices may lead to negative environmental and health impacts.</w:t>
            </w:r>
          </w:p>
        </w:tc>
        <w:tc>
          <w:tcPr>
            <w:tcW w:w="1080" w:type="dxa"/>
          </w:tcPr>
          <w:p w:rsidR="004878C0" w:rsidRPr="004878C0" w:rsidRDefault="004878C0" w:rsidP="000B1B70">
            <w:pPr>
              <w:rPr>
                <w:rFonts w:cs="Minion Pro"/>
                <w:sz w:val="18"/>
                <w:szCs w:val="18"/>
                <w:highlight w:val="yellow"/>
              </w:rPr>
            </w:pPr>
            <w:r w:rsidRPr="004878C0">
              <w:rPr>
                <w:rFonts w:cs="Minion Pro"/>
                <w:sz w:val="18"/>
                <w:szCs w:val="18"/>
                <w:highlight w:val="yellow"/>
              </w:rPr>
              <w:t>l = 4</w:t>
            </w:r>
          </w:p>
          <w:p w:rsidR="004878C0" w:rsidRPr="004878C0" w:rsidRDefault="004878C0" w:rsidP="000B1B70">
            <w:pPr>
              <w:rPr>
                <w:rFonts w:cs="Minion Pro"/>
                <w:sz w:val="18"/>
                <w:szCs w:val="18"/>
                <w:highlight w:val="yellow"/>
              </w:rPr>
            </w:pPr>
            <w:r w:rsidRPr="004878C0">
              <w:rPr>
                <w:rFonts w:cs="Minion Pro"/>
                <w:sz w:val="18"/>
                <w:szCs w:val="18"/>
                <w:highlight w:val="yellow"/>
              </w:rPr>
              <w:t>P = 3</w:t>
            </w:r>
          </w:p>
        </w:tc>
        <w:tc>
          <w:tcPr>
            <w:tcW w:w="1170" w:type="dxa"/>
          </w:tcPr>
          <w:p w:rsidR="004878C0" w:rsidRPr="004878C0" w:rsidRDefault="004878C0" w:rsidP="000B1B70">
            <w:pPr>
              <w:rPr>
                <w:b/>
                <w:sz w:val="18"/>
                <w:szCs w:val="18"/>
                <w:highlight w:val="yellow"/>
              </w:rPr>
            </w:pPr>
            <w:r w:rsidRPr="004878C0">
              <w:rPr>
                <w:b/>
                <w:sz w:val="18"/>
                <w:szCs w:val="18"/>
                <w:highlight w:val="yellow"/>
              </w:rPr>
              <w:t>High</w:t>
            </w:r>
          </w:p>
        </w:tc>
        <w:tc>
          <w:tcPr>
            <w:tcW w:w="2610" w:type="dxa"/>
            <w:gridSpan w:val="2"/>
          </w:tcPr>
          <w:p w:rsidR="004878C0" w:rsidRPr="004878C0" w:rsidRDefault="004878C0" w:rsidP="000B1B70">
            <w:pPr>
              <w:rPr>
                <w:sz w:val="18"/>
                <w:szCs w:val="18"/>
                <w:highlight w:val="yellow"/>
              </w:rPr>
            </w:pPr>
            <w:r w:rsidRPr="004878C0">
              <w:rPr>
                <w:sz w:val="18"/>
                <w:szCs w:val="18"/>
                <w:highlight w:val="yellow"/>
              </w:rPr>
              <w:t>Environmental Management Plans (EMPs) and health and safety guidelines for small-scale mining need to be in place.</w:t>
            </w:r>
          </w:p>
        </w:tc>
        <w:tc>
          <w:tcPr>
            <w:tcW w:w="4770" w:type="dxa"/>
            <w:gridSpan w:val="2"/>
          </w:tcPr>
          <w:p w:rsidR="004878C0" w:rsidRPr="004878C0" w:rsidRDefault="004878C0" w:rsidP="000B1B70">
            <w:pPr>
              <w:rPr>
                <w:sz w:val="18"/>
                <w:szCs w:val="18"/>
                <w:highlight w:val="yellow"/>
              </w:rPr>
            </w:pPr>
            <w:r w:rsidRPr="004878C0">
              <w:rPr>
                <w:sz w:val="18"/>
                <w:szCs w:val="18"/>
                <w:highlight w:val="yellow"/>
              </w:rPr>
              <w:t xml:space="preserve">Through the project, Environmental Impact Assessments (EIAs) for SSM hotspots will be conducted, after which EMPs will be developed. In addition, Environmental, Health and Safety guidelines for small scale miners will be developed through the project. Furthermore, small scale miners will be trained on implementation on EMPs and will be provided with the operational </w:t>
            </w:r>
            <w:proofErr w:type="spellStart"/>
            <w:proofErr w:type="gramStart"/>
            <w:r w:rsidRPr="004878C0">
              <w:rPr>
                <w:sz w:val="18"/>
                <w:szCs w:val="18"/>
                <w:highlight w:val="yellow"/>
              </w:rPr>
              <w:t>guidelines.z</w:t>
            </w:r>
            <w:proofErr w:type="spellEnd"/>
            <w:proofErr w:type="gramEnd"/>
          </w:p>
        </w:tc>
      </w:tr>
      <w:tr w:rsidR="004878C0" w:rsidTr="000B1B70">
        <w:trPr>
          <w:trHeight w:val="593"/>
        </w:trPr>
        <w:tc>
          <w:tcPr>
            <w:tcW w:w="3510" w:type="dxa"/>
            <w:vMerge w:val="restart"/>
          </w:tcPr>
          <w:p w:rsidR="004878C0" w:rsidRDefault="004878C0" w:rsidP="000B1B70">
            <w:pPr>
              <w:rPr>
                <w:b/>
                <w:szCs w:val="20"/>
              </w:rPr>
            </w:pPr>
          </w:p>
        </w:tc>
        <w:tc>
          <w:tcPr>
            <w:tcW w:w="9630" w:type="dxa"/>
            <w:gridSpan w:val="6"/>
            <w:shd w:val="clear" w:color="auto" w:fill="222A35" w:themeFill="text2" w:themeFillShade="80"/>
          </w:tcPr>
          <w:p w:rsidR="004878C0" w:rsidRPr="00372083" w:rsidRDefault="004878C0" w:rsidP="000B1B70">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4878C0" w:rsidTr="000B1B70">
        <w:tc>
          <w:tcPr>
            <w:tcW w:w="3510" w:type="dxa"/>
            <w:vMerge/>
          </w:tcPr>
          <w:p w:rsidR="004878C0" w:rsidRPr="00372083" w:rsidRDefault="004878C0" w:rsidP="000B1B70">
            <w:pPr>
              <w:rPr>
                <w:sz w:val="18"/>
                <w:szCs w:val="18"/>
                <w:u w:val="single"/>
              </w:rPr>
            </w:pPr>
          </w:p>
        </w:tc>
        <w:tc>
          <w:tcPr>
            <w:tcW w:w="4883" w:type="dxa"/>
            <w:gridSpan w:val="5"/>
          </w:tcPr>
          <w:p w:rsidR="004878C0" w:rsidRPr="00372083" w:rsidRDefault="004878C0" w:rsidP="000B1B70">
            <w:pPr>
              <w:jc w:val="center"/>
              <w:rPr>
                <w:b/>
                <w:sz w:val="18"/>
                <w:szCs w:val="18"/>
              </w:rPr>
            </w:pPr>
            <w:r>
              <w:rPr>
                <w:b/>
                <w:sz w:val="18"/>
                <w:szCs w:val="18"/>
              </w:rPr>
              <w:t xml:space="preserve">Select one (see </w:t>
            </w:r>
            <w:hyperlink r:id="rId9" w:history="1">
              <w:r w:rsidRPr="00AA456F">
                <w:rPr>
                  <w:rStyle w:val="Hyperlink"/>
                  <w:b/>
                  <w:sz w:val="18"/>
                  <w:szCs w:val="18"/>
                </w:rPr>
                <w:t>SESP</w:t>
              </w:r>
            </w:hyperlink>
            <w:r>
              <w:rPr>
                <w:b/>
                <w:sz w:val="18"/>
                <w:szCs w:val="18"/>
              </w:rPr>
              <w:t xml:space="preserve"> for guidance)</w:t>
            </w:r>
          </w:p>
        </w:tc>
        <w:tc>
          <w:tcPr>
            <w:tcW w:w="4747" w:type="dxa"/>
          </w:tcPr>
          <w:p w:rsidR="004878C0" w:rsidRPr="00372083" w:rsidRDefault="004878C0" w:rsidP="000B1B70">
            <w:pPr>
              <w:jc w:val="center"/>
              <w:rPr>
                <w:b/>
                <w:sz w:val="18"/>
                <w:szCs w:val="18"/>
              </w:rPr>
            </w:pPr>
            <w:r>
              <w:rPr>
                <w:b/>
                <w:sz w:val="18"/>
                <w:szCs w:val="18"/>
              </w:rPr>
              <w:t>Comments</w:t>
            </w:r>
          </w:p>
        </w:tc>
      </w:tr>
      <w:tr w:rsidR="004878C0" w:rsidTr="000B1B70">
        <w:trPr>
          <w:trHeight w:val="251"/>
        </w:trPr>
        <w:tc>
          <w:tcPr>
            <w:tcW w:w="3510" w:type="dxa"/>
            <w:vMerge/>
          </w:tcPr>
          <w:p w:rsidR="004878C0" w:rsidRDefault="004878C0" w:rsidP="000B1B70">
            <w:pPr>
              <w:rPr>
                <w:rFonts w:cs="Minion Pro"/>
                <w:sz w:val="18"/>
                <w:szCs w:val="18"/>
              </w:rPr>
            </w:pPr>
          </w:p>
        </w:tc>
        <w:tc>
          <w:tcPr>
            <w:tcW w:w="4343" w:type="dxa"/>
            <w:gridSpan w:val="3"/>
            <w:shd w:val="clear" w:color="auto" w:fill="auto"/>
          </w:tcPr>
          <w:p w:rsidR="004878C0" w:rsidRPr="00C055DB" w:rsidRDefault="004878C0" w:rsidP="000B1B70">
            <w:pPr>
              <w:jc w:val="right"/>
              <w:rPr>
                <w:rFonts w:cs="Minion Pro"/>
                <w:b/>
                <w:i/>
                <w:sz w:val="18"/>
                <w:szCs w:val="18"/>
              </w:rPr>
            </w:pPr>
            <w:r w:rsidRPr="00C055DB">
              <w:rPr>
                <w:rFonts w:cs="Minion Pro"/>
                <w:b/>
                <w:i/>
                <w:sz w:val="18"/>
                <w:szCs w:val="18"/>
              </w:rPr>
              <w:t>Low Risk</w:t>
            </w:r>
          </w:p>
        </w:tc>
        <w:tc>
          <w:tcPr>
            <w:tcW w:w="540" w:type="dxa"/>
            <w:gridSpan w:val="2"/>
          </w:tcPr>
          <w:p w:rsidR="004878C0" w:rsidRDefault="004878C0" w:rsidP="000B1B70">
            <w:pPr>
              <w:ind w:left="-2230" w:firstLine="2230"/>
              <w:rPr>
                <w:rFonts w:ascii="Segoe UI Symbol" w:hAnsi="Segoe UI Symbol" w:cs="Segoe UI Symbol"/>
                <w:b/>
                <w:szCs w:val="20"/>
              </w:rPr>
            </w:pPr>
            <w:r w:rsidRPr="00372083">
              <w:rPr>
                <w:rFonts w:ascii="Segoe UI Symbol" w:hAnsi="Segoe UI Symbol" w:cs="Segoe UI Symbol"/>
                <w:b/>
                <w:szCs w:val="20"/>
              </w:rPr>
              <w:t>☐</w:t>
            </w:r>
            <w:r>
              <w:rPr>
                <w:rFonts w:ascii="Segoe UI Symbol" w:hAnsi="Segoe UI Symbol" w:cs="Segoe UI Symbol"/>
                <w:b/>
                <w:szCs w:val="20"/>
              </w:rPr>
              <w:t xml:space="preserve"> </w:t>
            </w:r>
          </w:p>
          <w:p w:rsidR="004878C0" w:rsidRPr="00372083" w:rsidRDefault="004878C0" w:rsidP="000B1B70">
            <w:pPr>
              <w:ind w:left="-2230" w:firstLine="2230"/>
              <w:rPr>
                <w:b/>
                <w:sz w:val="18"/>
                <w:szCs w:val="18"/>
              </w:rPr>
            </w:pPr>
            <w:r w:rsidRPr="004878C0">
              <w:rPr>
                <w:rFonts w:ascii="Segoe UI Symbol" w:hAnsi="Segoe UI Symbol" w:cs="Segoe UI Symbol"/>
                <w:b/>
                <w:szCs w:val="20"/>
                <w:highlight w:val="yellow"/>
              </w:rPr>
              <w:t>✔</w:t>
            </w:r>
            <w:r>
              <w:rPr>
                <w:rFonts w:ascii="Segoe UI Symbol" w:hAnsi="Segoe UI Symbol" w:cs="Segoe UI Symbol"/>
                <w:b/>
                <w:szCs w:val="20"/>
              </w:rPr>
              <w:t xml:space="preserve"> ✔X</w:t>
            </w:r>
          </w:p>
        </w:tc>
        <w:tc>
          <w:tcPr>
            <w:tcW w:w="4747" w:type="dxa"/>
          </w:tcPr>
          <w:p w:rsidR="004878C0" w:rsidRPr="00372083" w:rsidRDefault="004878C0" w:rsidP="000B1B70">
            <w:pPr>
              <w:rPr>
                <w:b/>
                <w:sz w:val="18"/>
                <w:szCs w:val="18"/>
              </w:rPr>
            </w:pPr>
          </w:p>
        </w:tc>
      </w:tr>
      <w:tr w:rsidR="004878C0" w:rsidTr="000B1B70">
        <w:tc>
          <w:tcPr>
            <w:tcW w:w="3510" w:type="dxa"/>
            <w:vMerge/>
          </w:tcPr>
          <w:p w:rsidR="004878C0" w:rsidRDefault="004878C0" w:rsidP="000B1B70">
            <w:pPr>
              <w:rPr>
                <w:rFonts w:cs="Minion Pro"/>
                <w:sz w:val="18"/>
                <w:szCs w:val="18"/>
              </w:rPr>
            </w:pPr>
          </w:p>
        </w:tc>
        <w:tc>
          <w:tcPr>
            <w:tcW w:w="4343" w:type="dxa"/>
            <w:gridSpan w:val="3"/>
            <w:shd w:val="clear" w:color="auto" w:fill="auto"/>
          </w:tcPr>
          <w:p w:rsidR="004878C0" w:rsidRPr="00C055DB" w:rsidRDefault="004878C0" w:rsidP="000B1B70">
            <w:pPr>
              <w:jc w:val="right"/>
              <w:rPr>
                <w:rFonts w:cs="Minion Pro"/>
                <w:b/>
                <w:i/>
                <w:sz w:val="18"/>
                <w:szCs w:val="18"/>
              </w:rPr>
            </w:pPr>
            <w:r w:rsidRPr="00C055DB">
              <w:rPr>
                <w:rFonts w:cs="Minion Pro"/>
                <w:b/>
                <w:i/>
                <w:sz w:val="18"/>
                <w:szCs w:val="18"/>
              </w:rPr>
              <w:t>Moderate Risk</w:t>
            </w:r>
          </w:p>
        </w:tc>
        <w:tc>
          <w:tcPr>
            <w:tcW w:w="540" w:type="dxa"/>
            <w:gridSpan w:val="2"/>
          </w:tcPr>
          <w:p w:rsidR="004878C0" w:rsidRPr="00372083" w:rsidRDefault="004878C0" w:rsidP="000B1B70">
            <w:pPr>
              <w:ind w:left="-2230" w:firstLine="2230"/>
              <w:rPr>
                <w:b/>
                <w:sz w:val="18"/>
                <w:szCs w:val="18"/>
              </w:rPr>
            </w:pPr>
            <w:r w:rsidRPr="00372083">
              <w:rPr>
                <w:rFonts w:ascii="Segoe UI Symbol" w:hAnsi="Segoe UI Symbol" w:cs="Segoe UI Symbol"/>
                <w:b/>
                <w:szCs w:val="20"/>
              </w:rPr>
              <w:t>☐</w:t>
            </w:r>
          </w:p>
        </w:tc>
        <w:tc>
          <w:tcPr>
            <w:tcW w:w="4747" w:type="dxa"/>
          </w:tcPr>
          <w:p w:rsidR="004878C0" w:rsidRPr="00372083" w:rsidRDefault="004878C0" w:rsidP="000B1B70">
            <w:pPr>
              <w:rPr>
                <w:b/>
                <w:sz w:val="18"/>
                <w:szCs w:val="18"/>
              </w:rPr>
            </w:pPr>
          </w:p>
        </w:tc>
      </w:tr>
      <w:tr w:rsidR="004878C0" w:rsidTr="000B1B70">
        <w:tc>
          <w:tcPr>
            <w:tcW w:w="3510" w:type="dxa"/>
            <w:vMerge/>
          </w:tcPr>
          <w:p w:rsidR="004878C0" w:rsidRDefault="004878C0" w:rsidP="000B1B70">
            <w:pPr>
              <w:rPr>
                <w:rFonts w:cs="Minion Pro"/>
                <w:sz w:val="18"/>
                <w:szCs w:val="18"/>
              </w:rPr>
            </w:pPr>
          </w:p>
        </w:tc>
        <w:tc>
          <w:tcPr>
            <w:tcW w:w="4343" w:type="dxa"/>
            <w:gridSpan w:val="3"/>
            <w:shd w:val="clear" w:color="auto" w:fill="auto"/>
          </w:tcPr>
          <w:p w:rsidR="004878C0" w:rsidRPr="00C055DB" w:rsidRDefault="004878C0" w:rsidP="000B1B70">
            <w:pPr>
              <w:jc w:val="right"/>
              <w:rPr>
                <w:rFonts w:cs="Minion Pro"/>
                <w:b/>
                <w:i/>
                <w:sz w:val="18"/>
                <w:szCs w:val="18"/>
              </w:rPr>
            </w:pPr>
            <w:r w:rsidRPr="00C055DB">
              <w:rPr>
                <w:rFonts w:cs="Minion Pro"/>
                <w:b/>
                <w:i/>
                <w:sz w:val="18"/>
                <w:szCs w:val="18"/>
              </w:rPr>
              <w:t>High Risk</w:t>
            </w:r>
          </w:p>
        </w:tc>
        <w:tc>
          <w:tcPr>
            <w:tcW w:w="540" w:type="dxa"/>
            <w:gridSpan w:val="2"/>
          </w:tcPr>
          <w:p w:rsidR="004878C0" w:rsidRPr="00372083" w:rsidRDefault="004878C0" w:rsidP="000B1B70">
            <w:pPr>
              <w:ind w:left="-2230" w:firstLine="2230"/>
              <w:rPr>
                <w:b/>
                <w:sz w:val="18"/>
                <w:szCs w:val="18"/>
              </w:rPr>
            </w:pPr>
            <w:r w:rsidRPr="00372083">
              <w:rPr>
                <w:rFonts w:ascii="Segoe UI Symbol" w:hAnsi="Segoe UI Symbol" w:cs="Segoe UI Symbol"/>
                <w:b/>
                <w:szCs w:val="20"/>
              </w:rPr>
              <w:t>☐</w:t>
            </w:r>
          </w:p>
        </w:tc>
        <w:tc>
          <w:tcPr>
            <w:tcW w:w="4747" w:type="dxa"/>
          </w:tcPr>
          <w:p w:rsidR="004878C0" w:rsidRPr="00372083" w:rsidRDefault="004878C0" w:rsidP="000B1B70">
            <w:pPr>
              <w:rPr>
                <w:b/>
                <w:sz w:val="18"/>
                <w:szCs w:val="18"/>
              </w:rPr>
            </w:pPr>
          </w:p>
        </w:tc>
      </w:tr>
      <w:tr w:rsidR="004878C0" w:rsidRPr="00EA5477" w:rsidTr="000B1B70">
        <w:trPr>
          <w:trHeight w:val="782"/>
        </w:trPr>
        <w:tc>
          <w:tcPr>
            <w:tcW w:w="3510" w:type="dxa"/>
            <w:vMerge w:val="restart"/>
            <w:shd w:val="clear" w:color="auto" w:fill="FFFFFF" w:themeFill="background1"/>
          </w:tcPr>
          <w:p w:rsidR="004878C0" w:rsidRDefault="004878C0" w:rsidP="000B1B70">
            <w:pPr>
              <w:ind w:hanging="18"/>
              <w:rPr>
                <w:b/>
                <w:szCs w:val="20"/>
              </w:rPr>
            </w:pPr>
          </w:p>
        </w:tc>
        <w:tc>
          <w:tcPr>
            <w:tcW w:w="4883" w:type="dxa"/>
            <w:gridSpan w:val="5"/>
            <w:shd w:val="clear" w:color="auto" w:fill="222A35" w:themeFill="text2" w:themeFillShade="80"/>
            <w:vAlign w:val="center"/>
          </w:tcPr>
          <w:p w:rsidR="004878C0" w:rsidRPr="00EA5477" w:rsidRDefault="004878C0" w:rsidP="000B1B70">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222A35" w:themeFill="text2" w:themeFillShade="80"/>
            <w:vAlign w:val="center"/>
          </w:tcPr>
          <w:p w:rsidR="004878C0" w:rsidRPr="00EA5477" w:rsidRDefault="004878C0" w:rsidP="000B1B70">
            <w:pPr>
              <w:tabs>
                <w:tab w:val="left" w:pos="360"/>
              </w:tabs>
              <w:jc w:val="center"/>
              <w:rPr>
                <w:b/>
                <w:szCs w:val="20"/>
              </w:rPr>
            </w:pPr>
          </w:p>
        </w:tc>
      </w:tr>
      <w:tr w:rsidR="004878C0" w:rsidRPr="00EF0E8F" w:rsidTr="000B1B70">
        <w:trPr>
          <w:trHeight w:val="296"/>
        </w:trPr>
        <w:tc>
          <w:tcPr>
            <w:tcW w:w="3510" w:type="dxa"/>
            <w:vMerge/>
            <w:shd w:val="clear" w:color="auto" w:fill="FFFFFF" w:themeFill="background1"/>
          </w:tcPr>
          <w:p w:rsidR="004878C0" w:rsidRPr="00372083" w:rsidRDefault="004878C0" w:rsidP="000B1B70">
            <w:pPr>
              <w:rPr>
                <w:sz w:val="18"/>
                <w:szCs w:val="18"/>
                <w:u w:val="single"/>
              </w:rPr>
            </w:pPr>
          </w:p>
        </w:tc>
        <w:tc>
          <w:tcPr>
            <w:tcW w:w="4883" w:type="dxa"/>
            <w:gridSpan w:val="5"/>
          </w:tcPr>
          <w:p w:rsidR="004878C0" w:rsidRPr="00372083" w:rsidRDefault="004878C0" w:rsidP="000B1B70">
            <w:pPr>
              <w:tabs>
                <w:tab w:val="left" w:pos="360"/>
              </w:tabs>
              <w:jc w:val="center"/>
              <w:rPr>
                <w:rFonts w:ascii="Menlo Bold" w:hAnsi="Menlo Bold" w:cs="Menlo Bold"/>
                <w:b/>
                <w:szCs w:val="20"/>
              </w:rPr>
            </w:pPr>
            <w:r>
              <w:rPr>
                <w:sz w:val="18"/>
                <w:szCs w:val="18"/>
              </w:rPr>
              <w:t>Check all that apply</w:t>
            </w:r>
          </w:p>
        </w:tc>
        <w:tc>
          <w:tcPr>
            <w:tcW w:w="4747" w:type="dxa"/>
          </w:tcPr>
          <w:p w:rsidR="004878C0" w:rsidRPr="00772787" w:rsidRDefault="004878C0" w:rsidP="000B1B70">
            <w:pPr>
              <w:tabs>
                <w:tab w:val="left" w:pos="360"/>
              </w:tabs>
              <w:jc w:val="center"/>
              <w:rPr>
                <w:b/>
                <w:sz w:val="18"/>
                <w:szCs w:val="18"/>
              </w:rPr>
            </w:pPr>
            <w:r w:rsidRPr="00772787">
              <w:rPr>
                <w:b/>
                <w:sz w:val="18"/>
                <w:szCs w:val="18"/>
              </w:rPr>
              <w:t>Comments</w:t>
            </w: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rsidR="004878C0" w:rsidRPr="00EF0E8F" w:rsidRDefault="004878C0" w:rsidP="000B1B70">
            <w:pPr>
              <w:tabs>
                <w:tab w:val="left" w:pos="360"/>
              </w:tabs>
              <w:rPr>
                <w:sz w:val="18"/>
                <w:szCs w:val="18"/>
              </w:rPr>
            </w:pPr>
            <w:r w:rsidRPr="00372083">
              <w:rPr>
                <w:rFonts w:ascii="Segoe UI Symbol" w:hAnsi="Segoe UI Symbol" w:cs="Segoe UI Symbol"/>
                <w:b/>
                <w:szCs w:val="20"/>
              </w:rPr>
              <w:t>☐</w:t>
            </w: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bookmarkStart w:id="1" w:name="_GoBack"/>
            <w:r w:rsidRPr="004878C0">
              <w:rPr>
                <w:sz w:val="18"/>
                <w:szCs w:val="18"/>
                <w:highlight w:val="yellow"/>
              </w:rPr>
              <w:t>Address</w:t>
            </w:r>
            <w:r w:rsidR="006261B7">
              <w:rPr>
                <w:sz w:val="18"/>
                <w:szCs w:val="18"/>
                <w:highlight w:val="yellow"/>
              </w:rPr>
              <w:t>ing</w:t>
            </w:r>
            <w:r w:rsidRPr="004878C0">
              <w:rPr>
                <w:sz w:val="18"/>
                <w:szCs w:val="18"/>
                <w:highlight w:val="yellow"/>
              </w:rPr>
              <w:t xml:space="preserve"> the identified environmental issues will require human intervention.</w:t>
            </w:r>
            <w:bookmarkEnd w:id="1"/>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rsidR="004878C0" w:rsidRPr="00EF0E8F" w:rsidRDefault="004878C0" w:rsidP="000B1B70">
            <w:pPr>
              <w:tabs>
                <w:tab w:val="left" w:pos="360"/>
              </w:tabs>
              <w:rPr>
                <w:sz w:val="18"/>
                <w:szCs w:val="18"/>
              </w:rPr>
            </w:pPr>
            <w:r w:rsidRPr="00372083">
              <w:rPr>
                <w:rFonts w:ascii="Segoe UI Symbol" w:hAnsi="Segoe UI Symbol" w:cs="Segoe UI Symbol"/>
                <w:b/>
                <w:szCs w:val="20"/>
              </w:rPr>
              <w:t>☐</w:t>
            </w:r>
          </w:p>
        </w:tc>
        <w:tc>
          <w:tcPr>
            <w:tcW w:w="4747" w:type="dxa"/>
          </w:tcPr>
          <w:p w:rsidR="004878C0" w:rsidRPr="004878C0" w:rsidRDefault="004878C0" w:rsidP="000B1B70">
            <w:pPr>
              <w:tabs>
                <w:tab w:val="left" w:pos="360"/>
              </w:tabs>
              <w:rPr>
                <w:sz w:val="18"/>
                <w:szCs w:val="18"/>
                <w:highlight w:val="yellow"/>
              </w:rPr>
            </w:pP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r w:rsidRPr="004878C0">
              <w:rPr>
                <w:sz w:val="18"/>
                <w:szCs w:val="18"/>
                <w:highlight w:val="yellow"/>
              </w:rPr>
              <w:t xml:space="preserve">Addressing wildlife crime and human wildlife conflicts is a significant contribution to biodiversity conservation and natural resources management. </w:t>
            </w: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r w:rsidRPr="004878C0">
              <w:rPr>
                <w:sz w:val="18"/>
                <w:szCs w:val="18"/>
                <w:highlight w:val="yellow"/>
              </w:rPr>
              <w:t>The climate action required by the UNFCCC through climate promise is the review of the NDCs, which include both climate change mitigation and adaptation.</w:t>
            </w: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rsidR="004878C0" w:rsidRPr="004878C0" w:rsidRDefault="004878C0" w:rsidP="000B1B70">
            <w:pPr>
              <w:tabs>
                <w:tab w:val="left" w:pos="360"/>
              </w:tabs>
              <w:rPr>
                <w:rFonts w:ascii="Segoe UI Symbol" w:hAnsi="Segoe UI Symbol" w:cs="Segoe UI Symbol"/>
                <w:b/>
                <w:szCs w:val="20"/>
                <w:highlight w:val="yellow"/>
              </w:rPr>
            </w:pPr>
            <w:r w:rsidRPr="004878C0">
              <w:rPr>
                <w:rFonts w:ascii="Segoe UI Symbol" w:hAnsi="Segoe UI Symbol" w:cs="Segoe UI Symbol"/>
                <w:b/>
                <w:szCs w:val="20"/>
                <w:highlight w:val="yellow"/>
              </w:rPr>
              <w:t>☐</w:t>
            </w:r>
          </w:p>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r w:rsidRPr="004878C0">
              <w:rPr>
                <w:sz w:val="18"/>
                <w:szCs w:val="18"/>
                <w:highlight w:val="yellow"/>
              </w:rPr>
              <w:t>The health and safety for small scale miners operating in SSM hotspots will be prioritized.</w:t>
            </w: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p>
        </w:tc>
      </w:tr>
      <w:tr w:rsidR="004878C0" w:rsidRPr="00EF0E8F" w:rsidTr="000B1B70">
        <w:tc>
          <w:tcPr>
            <w:tcW w:w="3510" w:type="dxa"/>
            <w:vMerge/>
            <w:shd w:val="clear" w:color="auto" w:fill="FFFFFF" w:themeFill="background1"/>
          </w:tcPr>
          <w:p w:rsidR="004878C0" w:rsidRDefault="004878C0" w:rsidP="000B1B70">
            <w:pPr>
              <w:tabs>
                <w:tab w:val="left" w:pos="270"/>
              </w:tabs>
              <w:ind w:left="270" w:hanging="270"/>
              <w:rPr>
                <w:sz w:val="18"/>
                <w:szCs w:val="18"/>
              </w:rPr>
            </w:pPr>
          </w:p>
        </w:tc>
        <w:tc>
          <w:tcPr>
            <w:tcW w:w="4343" w:type="dxa"/>
            <w:gridSpan w:val="3"/>
            <w:shd w:val="clear" w:color="auto" w:fill="auto"/>
          </w:tcPr>
          <w:p w:rsidR="004878C0" w:rsidRPr="00C055DB" w:rsidRDefault="004878C0" w:rsidP="000B1B70">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rsidR="004878C0" w:rsidRPr="004878C0" w:rsidRDefault="004878C0" w:rsidP="000B1B70">
            <w:pPr>
              <w:tabs>
                <w:tab w:val="left" w:pos="360"/>
              </w:tabs>
              <w:rPr>
                <w:sz w:val="18"/>
                <w:szCs w:val="18"/>
                <w:highlight w:val="yellow"/>
              </w:rPr>
            </w:pPr>
            <w:r w:rsidRPr="004878C0">
              <w:rPr>
                <w:rFonts w:ascii="Segoe UI Symbol" w:hAnsi="Segoe UI Symbol" w:cs="Segoe UI Symbol"/>
                <w:b/>
                <w:szCs w:val="20"/>
                <w:highlight w:val="yellow"/>
              </w:rPr>
              <w:t>☐✔</w:t>
            </w:r>
          </w:p>
        </w:tc>
        <w:tc>
          <w:tcPr>
            <w:tcW w:w="4747" w:type="dxa"/>
          </w:tcPr>
          <w:p w:rsidR="004878C0" w:rsidRPr="004878C0" w:rsidRDefault="004878C0" w:rsidP="000B1B70">
            <w:pPr>
              <w:tabs>
                <w:tab w:val="left" w:pos="360"/>
              </w:tabs>
              <w:rPr>
                <w:sz w:val="18"/>
                <w:szCs w:val="18"/>
                <w:highlight w:val="yellow"/>
              </w:rPr>
            </w:pPr>
            <w:r w:rsidRPr="004878C0">
              <w:rPr>
                <w:sz w:val="18"/>
                <w:szCs w:val="18"/>
                <w:highlight w:val="yellow"/>
              </w:rPr>
              <w:t>The project will promote the use of renewable energy.</w:t>
            </w:r>
          </w:p>
        </w:tc>
      </w:tr>
    </w:tbl>
    <w:p w:rsidR="004878C0" w:rsidRDefault="004878C0" w:rsidP="004878C0">
      <w:pPr>
        <w:tabs>
          <w:tab w:val="left" w:pos="360"/>
        </w:tabs>
        <w:rPr>
          <w:b/>
          <w:i/>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Default="004878C0" w:rsidP="004878C0">
      <w:pPr>
        <w:tabs>
          <w:tab w:val="left" w:pos="360"/>
        </w:tabs>
        <w:rPr>
          <w:sz w:val="18"/>
          <w:szCs w:val="18"/>
        </w:rPr>
      </w:pPr>
    </w:p>
    <w:p w:rsidR="004878C0" w:rsidRPr="003843AE" w:rsidRDefault="004878C0" w:rsidP="004878C0">
      <w:pPr>
        <w:tabs>
          <w:tab w:val="left" w:pos="360"/>
        </w:tabs>
        <w:rPr>
          <w:sz w:val="18"/>
          <w:szCs w:val="18"/>
        </w:rPr>
      </w:pPr>
    </w:p>
    <w:p w:rsidR="004878C0" w:rsidRPr="001A0CAF" w:rsidRDefault="004878C0" w:rsidP="004878C0">
      <w:pPr>
        <w:spacing w:before="200"/>
        <w:ind w:left="360"/>
        <w:rPr>
          <w:b/>
          <w:color w:val="5B9BD5" w:themeColor="accent1"/>
          <w:sz w:val="24"/>
        </w:rPr>
      </w:pPr>
      <w:r w:rsidRPr="00BD03F6">
        <w:rPr>
          <w:b/>
          <w:color w:val="5B9BD5" w:themeColor="accent1"/>
          <w:sz w:val="24"/>
        </w:rPr>
        <w:t>Final Sign Off</w:t>
      </w:r>
      <w:r w:rsidRPr="001A0CAF">
        <w:rPr>
          <w:b/>
          <w:color w:val="5B9BD5" w:themeColor="accent1"/>
          <w:sz w:val="24"/>
        </w:rPr>
        <w:t xml:space="preserve"> </w:t>
      </w:r>
    </w:p>
    <w:p w:rsidR="004878C0" w:rsidRDefault="004878C0" w:rsidP="004878C0">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4878C0" w:rsidTr="000B1B70">
        <w:tc>
          <w:tcPr>
            <w:tcW w:w="2875" w:type="dxa"/>
            <w:shd w:val="clear" w:color="auto" w:fill="D5DCE4" w:themeFill="text2" w:themeFillTint="33"/>
          </w:tcPr>
          <w:p w:rsidR="004878C0" w:rsidRPr="00F84586" w:rsidRDefault="004878C0" w:rsidP="000B1B70">
            <w:pPr>
              <w:tabs>
                <w:tab w:val="left" w:pos="360"/>
                <w:tab w:val="left" w:pos="4320"/>
              </w:tabs>
              <w:rPr>
                <w:b/>
                <w:i/>
                <w:sz w:val="18"/>
                <w:szCs w:val="18"/>
              </w:rPr>
            </w:pPr>
            <w:r w:rsidRPr="00F84586">
              <w:rPr>
                <w:b/>
                <w:i/>
                <w:sz w:val="18"/>
                <w:szCs w:val="18"/>
              </w:rPr>
              <w:t>Signature</w:t>
            </w:r>
          </w:p>
        </w:tc>
        <w:tc>
          <w:tcPr>
            <w:tcW w:w="1350" w:type="dxa"/>
            <w:shd w:val="clear" w:color="auto" w:fill="D5DCE4" w:themeFill="text2" w:themeFillTint="33"/>
          </w:tcPr>
          <w:p w:rsidR="004878C0" w:rsidRPr="00F84586" w:rsidRDefault="004878C0" w:rsidP="000B1B70">
            <w:pPr>
              <w:tabs>
                <w:tab w:val="left" w:pos="360"/>
                <w:tab w:val="left" w:pos="4320"/>
              </w:tabs>
              <w:rPr>
                <w:b/>
                <w:i/>
                <w:sz w:val="18"/>
                <w:szCs w:val="18"/>
              </w:rPr>
            </w:pPr>
            <w:r w:rsidRPr="00F84586">
              <w:rPr>
                <w:b/>
                <w:i/>
                <w:sz w:val="18"/>
                <w:szCs w:val="18"/>
              </w:rPr>
              <w:t>Date</w:t>
            </w:r>
          </w:p>
        </w:tc>
        <w:tc>
          <w:tcPr>
            <w:tcW w:w="8725" w:type="dxa"/>
            <w:shd w:val="clear" w:color="auto" w:fill="D5DCE4" w:themeFill="text2" w:themeFillTint="33"/>
          </w:tcPr>
          <w:p w:rsidR="004878C0" w:rsidRPr="00F84586" w:rsidRDefault="004878C0" w:rsidP="000B1B70">
            <w:pPr>
              <w:tabs>
                <w:tab w:val="left" w:pos="360"/>
                <w:tab w:val="left" w:pos="4320"/>
              </w:tabs>
              <w:rPr>
                <w:b/>
                <w:i/>
                <w:sz w:val="18"/>
                <w:szCs w:val="18"/>
              </w:rPr>
            </w:pPr>
            <w:r w:rsidRPr="00F84586">
              <w:rPr>
                <w:b/>
                <w:i/>
                <w:sz w:val="18"/>
                <w:szCs w:val="18"/>
              </w:rPr>
              <w:t>Description</w:t>
            </w:r>
          </w:p>
        </w:tc>
      </w:tr>
      <w:tr w:rsidR="004878C0" w:rsidTr="000B1B70">
        <w:trPr>
          <w:trHeight w:val="629"/>
        </w:trPr>
        <w:tc>
          <w:tcPr>
            <w:tcW w:w="2875" w:type="dxa"/>
          </w:tcPr>
          <w:p w:rsidR="004878C0" w:rsidRPr="00BD03F6" w:rsidRDefault="004878C0" w:rsidP="000B1B70">
            <w:pPr>
              <w:tabs>
                <w:tab w:val="left" w:pos="360"/>
                <w:tab w:val="left" w:pos="4320"/>
              </w:tabs>
              <w:rPr>
                <w:szCs w:val="20"/>
              </w:rPr>
            </w:pPr>
            <w:r w:rsidRPr="00BD03F6">
              <w:rPr>
                <w:szCs w:val="20"/>
              </w:rPr>
              <w:t>QA Assessor</w:t>
            </w:r>
          </w:p>
        </w:tc>
        <w:tc>
          <w:tcPr>
            <w:tcW w:w="1350" w:type="dxa"/>
          </w:tcPr>
          <w:p w:rsidR="004878C0" w:rsidRPr="00BD03F6" w:rsidRDefault="004878C0" w:rsidP="000B1B70">
            <w:pPr>
              <w:tabs>
                <w:tab w:val="left" w:pos="360"/>
                <w:tab w:val="left" w:pos="4320"/>
              </w:tabs>
              <w:rPr>
                <w:szCs w:val="20"/>
              </w:rPr>
            </w:pPr>
            <w:r>
              <w:rPr>
                <w:szCs w:val="20"/>
              </w:rPr>
              <w:t>12 June 2020</w:t>
            </w:r>
          </w:p>
        </w:tc>
        <w:tc>
          <w:tcPr>
            <w:tcW w:w="8725" w:type="dxa"/>
          </w:tcPr>
          <w:p w:rsidR="004878C0" w:rsidRPr="00BD03F6" w:rsidRDefault="00A8299F" w:rsidP="000B1B70">
            <w:pPr>
              <w:pStyle w:val="SESPbodynumbered"/>
              <w:numPr>
                <w:ilvl w:val="0"/>
                <w:numId w:val="0"/>
              </w:numPr>
              <w:tabs>
                <w:tab w:val="clear" w:pos="360"/>
                <w:tab w:val="left" w:pos="720"/>
              </w:tabs>
              <w:spacing w:before="0" w:after="0"/>
            </w:pPr>
            <w:r>
              <w:t>Irish Goroh, Project Manager</w:t>
            </w:r>
          </w:p>
        </w:tc>
      </w:tr>
      <w:tr w:rsidR="004878C0" w:rsidTr="000B1B70">
        <w:tc>
          <w:tcPr>
            <w:tcW w:w="2875" w:type="dxa"/>
          </w:tcPr>
          <w:p w:rsidR="004878C0" w:rsidRPr="00BD03F6" w:rsidRDefault="004878C0" w:rsidP="000B1B70">
            <w:pPr>
              <w:tabs>
                <w:tab w:val="left" w:pos="360"/>
                <w:tab w:val="left" w:pos="4320"/>
              </w:tabs>
              <w:rPr>
                <w:szCs w:val="20"/>
              </w:rPr>
            </w:pPr>
            <w:r w:rsidRPr="00BD03F6">
              <w:rPr>
                <w:szCs w:val="20"/>
              </w:rPr>
              <w:t>QA Approver</w:t>
            </w:r>
          </w:p>
        </w:tc>
        <w:tc>
          <w:tcPr>
            <w:tcW w:w="1350" w:type="dxa"/>
          </w:tcPr>
          <w:p w:rsidR="004878C0" w:rsidRPr="00BD03F6" w:rsidRDefault="004878C0" w:rsidP="000B1B70">
            <w:pPr>
              <w:tabs>
                <w:tab w:val="left" w:pos="360"/>
                <w:tab w:val="left" w:pos="4320"/>
              </w:tabs>
              <w:rPr>
                <w:szCs w:val="20"/>
              </w:rPr>
            </w:pPr>
          </w:p>
        </w:tc>
        <w:tc>
          <w:tcPr>
            <w:tcW w:w="8725" w:type="dxa"/>
          </w:tcPr>
          <w:p w:rsidR="004878C0" w:rsidRPr="00BD03F6" w:rsidRDefault="004878C0" w:rsidP="000B1B70">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4878C0" w:rsidTr="000B1B70">
        <w:tc>
          <w:tcPr>
            <w:tcW w:w="2875" w:type="dxa"/>
          </w:tcPr>
          <w:p w:rsidR="004878C0" w:rsidRPr="00BD03F6" w:rsidRDefault="004878C0" w:rsidP="000B1B70">
            <w:pPr>
              <w:tabs>
                <w:tab w:val="left" w:pos="360"/>
                <w:tab w:val="left" w:pos="4320"/>
              </w:tabs>
              <w:rPr>
                <w:szCs w:val="20"/>
              </w:rPr>
            </w:pPr>
            <w:r w:rsidRPr="00BD03F6">
              <w:rPr>
                <w:szCs w:val="20"/>
              </w:rPr>
              <w:t>PAC Chair</w:t>
            </w:r>
          </w:p>
        </w:tc>
        <w:tc>
          <w:tcPr>
            <w:tcW w:w="1350" w:type="dxa"/>
          </w:tcPr>
          <w:p w:rsidR="004878C0" w:rsidRPr="00BD03F6" w:rsidRDefault="004878C0" w:rsidP="000B1B70">
            <w:pPr>
              <w:tabs>
                <w:tab w:val="left" w:pos="360"/>
                <w:tab w:val="left" w:pos="4320"/>
              </w:tabs>
              <w:rPr>
                <w:szCs w:val="20"/>
              </w:rPr>
            </w:pPr>
          </w:p>
        </w:tc>
        <w:tc>
          <w:tcPr>
            <w:tcW w:w="8725" w:type="dxa"/>
          </w:tcPr>
          <w:p w:rsidR="004878C0" w:rsidRPr="00BD03F6" w:rsidRDefault="004878C0" w:rsidP="000B1B70">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rsidR="004878C0" w:rsidRDefault="004878C0" w:rsidP="004878C0">
      <w:pPr>
        <w:sectPr w:rsidR="004878C0" w:rsidSect="00DD330A">
          <w:pgSz w:w="15840" w:h="12240" w:orient="landscape"/>
          <w:pgMar w:top="1440" w:right="1440" w:bottom="1440" w:left="1440" w:header="720" w:footer="720" w:gutter="0"/>
          <w:cols w:space="720"/>
          <w:titlePg/>
          <w:docGrid w:linePitch="360"/>
        </w:sectPr>
      </w:pPr>
    </w:p>
    <w:p w:rsidR="004878C0" w:rsidRPr="007B2FDA" w:rsidRDefault="004878C0" w:rsidP="004878C0">
      <w:pPr>
        <w:pStyle w:val="Heading3"/>
      </w:pPr>
      <w:bookmarkStart w:id="2" w:name="_Toc404528202"/>
      <w:r>
        <w:lastRenderedPageBreak/>
        <w:t xml:space="preserve">SESP Attachment 1. </w:t>
      </w:r>
      <w:r w:rsidRPr="003835FA">
        <w:t xml:space="preserve">Social and Environmental </w:t>
      </w:r>
      <w:r w:rsidRPr="0084274F">
        <w:t>Risk Screening Checklist</w:t>
      </w:r>
      <w:bookmarkEnd w:id="2"/>
    </w:p>
    <w:p w:rsidR="004878C0" w:rsidRDefault="004878C0" w:rsidP="004878C0"/>
    <w:p w:rsidR="004878C0" w:rsidRPr="009D2BD0" w:rsidRDefault="004878C0" w:rsidP="004878C0">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4878C0" w:rsidRPr="009D2BD0" w:rsidTr="000B1B70">
        <w:tc>
          <w:tcPr>
            <w:tcW w:w="8635" w:type="dxa"/>
            <w:tcBorders>
              <w:bottom w:val="single" w:sz="4" w:space="0" w:color="auto"/>
            </w:tcBorders>
            <w:shd w:val="clear" w:color="auto" w:fill="ACB9CA" w:themeFill="text2" w:themeFillTint="66"/>
          </w:tcPr>
          <w:p w:rsidR="004878C0" w:rsidRPr="009D2BD0" w:rsidRDefault="004878C0" w:rsidP="000B1B70">
            <w:pPr>
              <w:tabs>
                <w:tab w:val="left" w:pos="810"/>
              </w:tabs>
              <w:rPr>
                <w:rFonts w:eastAsia="Times New Roman"/>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3843AE">
              <w:rPr>
                <w:b/>
                <w:sz w:val="22"/>
                <w:szCs w:val="22"/>
                <w:u w:val="single"/>
              </w:rPr>
              <w:t>Risks</w:t>
            </w:r>
          </w:p>
        </w:tc>
        <w:tc>
          <w:tcPr>
            <w:tcW w:w="833" w:type="dxa"/>
            <w:tcBorders>
              <w:bottom w:val="single" w:sz="4" w:space="0" w:color="auto"/>
            </w:tcBorders>
            <w:shd w:val="clear" w:color="auto" w:fill="ACB9CA" w:themeFill="text2" w:themeFillTint="66"/>
          </w:tcPr>
          <w:p w:rsidR="004878C0" w:rsidRPr="009D2BD0" w:rsidRDefault="004878C0" w:rsidP="000B1B70">
            <w:pPr>
              <w:tabs>
                <w:tab w:val="left" w:pos="810"/>
              </w:tabs>
              <w:rPr>
                <w:rFonts w:eastAsia="Times New Roman"/>
                <w:sz w:val="22"/>
                <w:szCs w:val="22"/>
              </w:rPr>
            </w:pPr>
          </w:p>
        </w:tc>
      </w:tr>
      <w:tr w:rsidR="004878C0" w:rsidRPr="002E0918" w:rsidTr="000B1B70">
        <w:tc>
          <w:tcPr>
            <w:tcW w:w="8635" w:type="dxa"/>
            <w:tcBorders>
              <w:bottom w:val="single" w:sz="4" w:space="0" w:color="auto"/>
            </w:tcBorders>
            <w:shd w:val="clear" w:color="auto" w:fill="DEEAF6" w:themeFill="accent1" w:themeFillTint="33"/>
          </w:tcPr>
          <w:p w:rsidR="004878C0" w:rsidRPr="002E0918" w:rsidRDefault="004878C0" w:rsidP="000B1B70">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EEAF6" w:themeFill="accent1" w:themeFillTint="33"/>
          </w:tcPr>
          <w:p w:rsidR="004878C0" w:rsidRPr="002C0581" w:rsidRDefault="004878C0" w:rsidP="000B1B70">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Yes</w:t>
            </w:r>
          </w:p>
        </w:tc>
      </w:tr>
      <w:tr w:rsidR="004878C0" w:rsidRPr="002E0918" w:rsidTr="000B1B70">
        <w:tc>
          <w:tcPr>
            <w:tcW w:w="8635" w:type="dxa"/>
            <w:tcBorders>
              <w:bottom w:val="single" w:sz="4" w:space="0" w:color="auto"/>
            </w:tcBorders>
            <w:shd w:val="clear" w:color="auto" w:fill="auto"/>
          </w:tcPr>
          <w:p w:rsidR="004878C0" w:rsidRPr="002E0918" w:rsidRDefault="004878C0" w:rsidP="000B1B70">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Pr="002E0918" w:rsidRDefault="004878C0" w:rsidP="000B1B70">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Yes</w:t>
            </w:r>
          </w:p>
        </w:tc>
      </w:tr>
      <w:tr w:rsidR="004878C0" w:rsidRPr="002E0918" w:rsidTr="000B1B70">
        <w:tc>
          <w:tcPr>
            <w:tcW w:w="8635" w:type="dxa"/>
            <w:tcBorders>
              <w:bottom w:val="single" w:sz="4" w:space="0" w:color="auto"/>
            </w:tcBorders>
            <w:shd w:val="clear" w:color="auto" w:fill="auto"/>
          </w:tcPr>
          <w:p w:rsidR="004878C0" w:rsidRPr="002E0918" w:rsidRDefault="004878C0" w:rsidP="000B1B70">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Del="00074D34" w:rsidRDefault="004878C0" w:rsidP="000B1B70">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Yes</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DEEAF6" w:themeFill="accent1" w:themeFillTint="33"/>
          </w:tcPr>
          <w:p w:rsidR="004878C0" w:rsidRPr="008E105C" w:rsidRDefault="004878C0" w:rsidP="000B1B70">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EEAF6" w:themeFill="accent1" w:themeFillTint="33"/>
          </w:tcPr>
          <w:p w:rsidR="004878C0" w:rsidRPr="008E105C" w:rsidRDefault="004878C0" w:rsidP="000B1B70">
            <w:pPr>
              <w:tabs>
                <w:tab w:val="left" w:pos="810"/>
              </w:tabs>
              <w:spacing w:before="120" w:after="120"/>
              <w:rPr>
                <w:b/>
                <w:sz w:val="18"/>
                <w:szCs w:val="18"/>
              </w:rPr>
            </w:pPr>
          </w:p>
        </w:tc>
      </w:tr>
      <w:tr w:rsidR="004878C0" w:rsidRPr="002E0918" w:rsidTr="000B1B70">
        <w:tc>
          <w:tcPr>
            <w:tcW w:w="8635" w:type="dxa"/>
            <w:tcBorders>
              <w:bottom w:val="single" w:sz="4" w:space="0" w:color="auto"/>
            </w:tcBorders>
            <w:shd w:val="clear" w:color="auto" w:fill="auto"/>
          </w:tcPr>
          <w:p w:rsidR="004878C0" w:rsidRPr="00423014" w:rsidRDefault="004878C0" w:rsidP="000B1B70">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Pr="00F069F1" w:rsidRDefault="004878C0" w:rsidP="000B1B70">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rsidR="004878C0" w:rsidRPr="003843AE" w:rsidRDefault="004878C0" w:rsidP="000B1B70">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rsidR="004878C0" w:rsidRPr="004878C0" w:rsidRDefault="004878C0" w:rsidP="000B1B70">
            <w:pPr>
              <w:tabs>
                <w:tab w:val="left" w:pos="810"/>
              </w:tabs>
              <w:rPr>
                <w:sz w:val="18"/>
                <w:szCs w:val="18"/>
                <w:highlight w:val="yellow"/>
              </w:rPr>
            </w:pPr>
            <w:r w:rsidRPr="004878C0">
              <w:rPr>
                <w:sz w:val="18"/>
                <w:szCs w:val="18"/>
                <w:highlight w:val="yellow"/>
              </w:rPr>
              <w:t>No</w:t>
            </w:r>
          </w:p>
        </w:tc>
      </w:tr>
      <w:tr w:rsidR="004878C0" w:rsidRPr="002E0918" w:rsidTr="000B1B70">
        <w:tc>
          <w:tcPr>
            <w:tcW w:w="8635" w:type="dxa"/>
            <w:tcBorders>
              <w:bottom w:val="single" w:sz="4" w:space="0" w:color="auto"/>
            </w:tcBorders>
            <w:shd w:val="clear" w:color="auto" w:fill="DEEAF6" w:themeFill="accent1" w:themeFillTint="33"/>
          </w:tcPr>
          <w:p w:rsidR="004878C0" w:rsidRPr="002E0918" w:rsidRDefault="004878C0" w:rsidP="000B1B70">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EEAF6" w:themeFill="accent1" w:themeFillTint="33"/>
          </w:tcPr>
          <w:p w:rsidR="004878C0" w:rsidRPr="002E0918" w:rsidRDefault="004878C0" w:rsidP="000B1B70">
            <w:pPr>
              <w:tabs>
                <w:tab w:val="left" w:pos="810"/>
              </w:tabs>
              <w:rPr>
                <w:sz w:val="18"/>
                <w:szCs w:val="18"/>
              </w:rPr>
            </w:pPr>
          </w:p>
        </w:tc>
      </w:tr>
      <w:tr w:rsidR="004878C0" w:rsidRPr="002E0918" w:rsidTr="000B1B70">
        <w:tc>
          <w:tcPr>
            <w:tcW w:w="8635" w:type="dxa"/>
            <w:tcBorders>
              <w:bottom w:val="single" w:sz="4" w:space="0" w:color="auto"/>
            </w:tcBorders>
            <w:shd w:val="clear" w:color="auto" w:fill="auto"/>
          </w:tcPr>
          <w:p w:rsidR="004878C0" w:rsidRPr="002E0918" w:rsidRDefault="004878C0" w:rsidP="000B1B70">
            <w:pPr>
              <w:tabs>
                <w:tab w:val="left" w:pos="810"/>
              </w:tabs>
              <w:rPr>
                <w:rFonts w:eastAsia="Times New Roman"/>
                <w:b/>
                <w:sz w:val="18"/>
                <w:szCs w:val="18"/>
              </w:rPr>
            </w:pPr>
          </w:p>
        </w:tc>
        <w:tc>
          <w:tcPr>
            <w:tcW w:w="833" w:type="dxa"/>
            <w:tcBorders>
              <w:bottom w:val="single" w:sz="4" w:space="0" w:color="auto"/>
            </w:tcBorders>
            <w:shd w:val="clear" w:color="auto" w:fill="auto"/>
          </w:tcPr>
          <w:p w:rsidR="004878C0" w:rsidRPr="002E0918" w:rsidRDefault="004878C0" w:rsidP="000B1B70">
            <w:pPr>
              <w:tabs>
                <w:tab w:val="left" w:pos="810"/>
              </w:tabs>
              <w:rPr>
                <w:sz w:val="18"/>
                <w:szCs w:val="18"/>
              </w:rPr>
            </w:pPr>
          </w:p>
        </w:tc>
      </w:tr>
      <w:tr w:rsidR="004878C0" w:rsidRPr="00310835" w:rsidTr="000B1B70">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EEAF6" w:themeFill="accent1" w:themeFillTint="33"/>
          </w:tcPr>
          <w:p w:rsidR="004878C0" w:rsidRPr="00310835" w:rsidRDefault="004878C0" w:rsidP="000B1B70">
            <w:pPr>
              <w:rPr>
                <w:rFonts w:eastAsia="Times New Roman"/>
                <w:b/>
                <w:sz w:val="18"/>
                <w:szCs w:val="18"/>
              </w:rPr>
            </w:pPr>
          </w:p>
        </w:tc>
      </w:tr>
      <w:tr w:rsidR="004878C0" w:rsidRPr="00310835" w:rsidTr="000B1B70">
        <w:tc>
          <w:tcPr>
            <w:tcW w:w="8635" w:type="dxa"/>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lastRenderedPageBreak/>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rsidR="004878C0" w:rsidRPr="00310835" w:rsidRDefault="004878C0" w:rsidP="000B1B70">
            <w:pPr>
              <w:rPr>
                <w:rFonts w:eastAsia="Times New Roman"/>
                <w:sz w:val="18"/>
                <w:szCs w:val="18"/>
              </w:rPr>
            </w:pPr>
            <w:r w:rsidRPr="004878C0">
              <w:rPr>
                <w:rFonts w:eastAsia="Times New Roman"/>
                <w:sz w:val="18"/>
                <w:szCs w:val="18"/>
                <w:highlight w:val="yellow"/>
              </w:rPr>
              <w:lastRenderedPageBreak/>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rsidR="004878C0" w:rsidRPr="003843AE" w:rsidRDefault="004878C0" w:rsidP="000B1B70">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Default="004878C0" w:rsidP="000B1B70">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rsidR="004878C0" w:rsidRPr="003843AE" w:rsidRDefault="004878C0" w:rsidP="000B1B70">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530"/>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EEAF6" w:themeFill="accent1" w:themeFillTint="33"/>
          </w:tcPr>
          <w:p w:rsidR="004878C0" w:rsidRPr="00310835" w:rsidRDefault="004878C0" w:rsidP="000B1B70">
            <w:pPr>
              <w:tabs>
                <w:tab w:val="left" w:pos="585"/>
              </w:tabs>
              <w:spacing w:before="60" w:after="60"/>
              <w:ind w:left="567" w:hanging="567"/>
              <w:rPr>
                <w:rFonts w:eastAsia="Times New Roman"/>
                <w:sz w:val="18"/>
                <w:szCs w:val="18"/>
              </w:rPr>
            </w:pP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8E7703" w:rsidRDefault="004878C0" w:rsidP="000B1B70">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rsidR="004878C0" w:rsidRPr="00310835" w:rsidRDefault="004878C0" w:rsidP="000B1B70">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539"/>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EEAF6" w:themeFill="accent1" w:themeFillTint="33"/>
            <w:vAlign w:val="center"/>
          </w:tcPr>
          <w:p w:rsidR="004878C0" w:rsidRPr="00310835" w:rsidRDefault="004878C0" w:rsidP="000B1B70">
            <w:pPr>
              <w:tabs>
                <w:tab w:val="left" w:pos="585"/>
              </w:tabs>
              <w:spacing w:before="60" w:after="60"/>
              <w:ind w:left="567" w:hanging="567"/>
              <w:rPr>
                <w:rFonts w:eastAsia="Times New Roman"/>
                <w:sz w:val="18"/>
                <w:szCs w:val="18"/>
              </w:rPr>
            </w:pP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503"/>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EEAF6" w:themeFill="accent1" w:themeFillTint="33"/>
            <w:vAlign w:val="center"/>
          </w:tcPr>
          <w:p w:rsidR="004878C0" w:rsidRPr="00310835" w:rsidRDefault="004878C0" w:rsidP="000B1B70">
            <w:pPr>
              <w:tabs>
                <w:tab w:val="left" w:pos="585"/>
              </w:tabs>
              <w:spacing w:before="60" w:after="60"/>
              <w:ind w:left="567" w:hanging="567"/>
              <w:rPr>
                <w:rFonts w:eastAsia="Times New Roman"/>
                <w:sz w:val="18"/>
                <w:szCs w:val="18"/>
              </w:rPr>
            </w:pP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566"/>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EEAF6" w:themeFill="accent1" w:themeFillTint="33"/>
            <w:vAlign w:val="center"/>
          </w:tcPr>
          <w:p w:rsidR="004878C0" w:rsidRPr="00310835" w:rsidRDefault="004878C0" w:rsidP="000B1B70">
            <w:pPr>
              <w:tabs>
                <w:tab w:val="left" w:pos="585"/>
              </w:tabs>
              <w:spacing w:before="60" w:after="60"/>
              <w:ind w:left="567" w:hanging="567"/>
              <w:rPr>
                <w:rFonts w:eastAsia="Times New Roman"/>
                <w:sz w:val="18"/>
                <w:szCs w:val="18"/>
              </w:rPr>
            </w:pP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584"/>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EEAF6" w:themeFill="accent1" w:themeFillTint="33"/>
            <w:vAlign w:val="center"/>
          </w:tcPr>
          <w:p w:rsidR="004878C0" w:rsidRPr="00310835" w:rsidRDefault="004878C0" w:rsidP="000B1B70">
            <w:pPr>
              <w:tabs>
                <w:tab w:val="left" w:pos="585"/>
              </w:tabs>
              <w:spacing w:before="60" w:after="60"/>
              <w:ind w:left="567" w:hanging="567"/>
              <w:rPr>
                <w:rFonts w:eastAsia="Times New Roman"/>
                <w:sz w:val="18"/>
                <w:szCs w:val="18"/>
              </w:rPr>
            </w:pP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Yes</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Yes</w:t>
            </w:r>
          </w:p>
        </w:tc>
      </w:tr>
      <w:tr w:rsidR="004878C0" w:rsidRPr="00310835" w:rsidTr="000B1B70">
        <w:tc>
          <w:tcPr>
            <w:tcW w:w="8635" w:type="dxa"/>
            <w:tcBorders>
              <w:bottom w:val="single" w:sz="4" w:space="0" w:color="auto"/>
            </w:tcBorders>
            <w:shd w:val="clear" w:color="auto" w:fill="auto"/>
          </w:tcPr>
          <w:p w:rsidR="004878C0" w:rsidRDefault="004878C0" w:rsidP="000B1B70">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rsidR="004878C0" w:rsidRPr="00C01EFE" w:rsidRDefault="004878C0" w:rsidP="000B1B70">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Default="004878C0" w:rsidP="000B1B70">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Yes</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602"/>
        </w:trPr>
        <w:tc>
          <w:tcPr>
            <w:tcW w:w="8635" w:type="dxa"/>
            <w:tcBorders>
              <w:bottom w:val="single" w:sz="4" w:space="0" w:color="auto"/>
            </w:tcBorders>
            <w:shd w:val="clear" w:color="auto" w:fill="DEEAF6" w:themeFill="accent1" w:themeFillTint="33"/>
            <w:vAlign w:val="center"/>
          </w:tcPr>
          <w:p w:rsidR="004878C0" w:rsidRPr="00310835" w:rsidRDefault="004878C0" w:rsidP="000B1B70">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EEAF6" w:themeFill="accent1" w:themeFillTint="33"/>
            <w:vAlign w:val="center"/>
          </w:tcPr>
          <w:p w:rsidR="004878C0" w:rsidRPr="00310835" w:rsidRDefault="004878C0" w:rsidP="000B1B70">
            <w:pPr>
              <w:rPr>
                <w:rFonts w:eastAsia="Times New Roman"/>
                <w:b/>
                <w:i/>
                <w:sz w:val="18"/>
                <w:szCs w:val="18"/>
              </w:rPr>
            </w:pPr>
          </w:p>
        </w:tc>
      </w:tr>
      <w:tr w:rsidR="004878C0" w:rsidRPr="00310835" w:rsidTr="000B1B70">
        <w:tc>
          <w:tcPr>
            <w:tcW w:w="8635" w:type="dxa"/>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rPr>
          <w:trHeight w:val="402"/>
        </w:trPr>
        <w:tc>
          <w:tcPr>
            <w:tcW w:w="8635" w:type="dxa"/>
            <w:tcBorders>
              <w:bottom w:val="single" w:sz="4" w:space="0" w:color="auto"/>
            </w:tcBorders>
            <w:shd w:val="clear" w:color="auto" w:fill="auto"/>
          </w:tcPr>
          <w:p w:rsidR="004878C0"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rsidR="004878C0" w:rsidRPr="00310835" w:rsidRDefault="004878C0" w:rsidP="000B1B70">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rsidR="004878C0" w:rsidRPr="004878C0" w:rsidRDefault="004878C0" w:rsidP="000B1B70">
            <w:pPr>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r w:rsidR="004878C0" w:rsidRPr="00310835" w:rsidTr="000B1B70">
        <w:tc>
          <w:tcPr>
            <w:tcW w:w="8635" w:type="dxa"/>
            <w:tcBorders>
              <w:bottom w:val="single" w:sz="4" w:space="0" w:color="auto"/>
            </w:tcBorders>
            <w:shd w:val="clear" w:color="auto" w:fill="auto"/>
          </w:tcPr>
          <w:p w:rsidR="004878C0" w:rsidRPr="00310835" w:rsidRDefault="004878C0" w:rsidP="000B1B70">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rsidR="004878C0" w:rsidRPr="004878C0" w:rsidRDefault="004878C0" w:rsidP="000B1B70">
            <w:pPr>
              <w:tabs>
                <w:tab w:val="left" w:pos="585"/>
              </w:tabs>
              <w:spacing w:before="60" w:after="60"/>
              <w:ind w:left="567" w:hanging="567"/>
              <w:rPr>
                <w:rFonts w:eastAsia="Times New Roman"/>
                <w:sz w:val="18"/>
                <w:szCs w:val="18"/>
                <w:highlight w:val="yellow"/>
              </w:rPr>
            </w:pPr>
            <w:r w:rsidRPr="004878C0">
              <w:rPr>
                <w:rFonts w:eastAsia="Times New Roman"/>
                <w:sz w:val="18"/>
                <w:szCs w:val="18"/>
                <w:highlight w:val="yellow"/>
              </w:rPr>
              <w:t>No</w:t>
            </w:r>
          </w:p>
        </w:tc>
      </w:tr>
    </w:tbl>
    <w:p w:rsidR="004878C0" w:rsidRPr="009C0657" w:rsidRDefault="004878C0" w:rsidP="004878C0">
      <w:pPr>
        <w:pStyle w:val="Heading1"/>
        <w:numPr>
          <w:ilvl w:val="0"/>
          <w:numId w:val="0"/>
        </w:numPr>
        <w:rPr>
          <w:szCs w:val="20"/>
        </w:rPr>
      </w:pPr>
    </w:p>
    <w:p w:rsidR="009A7A0E" w:rsidRDefault="00BB696B"/>
    <w:sectPr w:rsidR="009A7A0E" w:rsidSect="00242A8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6B" w:rsidRDefault="00BB696B" w:rsidP="004878C0">
      <w:r>
        <w:separator/>
      </w:r>
    </w:p>
  </w:endnote>
  <w:endnote w:type="continuationSeparator" w:id="0">
    <w:p w:rsidR="00BB696B" w:rsidRDefault="00BB696B" w:rsidP="004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E41E95"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593" w:rsidRDefault="00BB696B"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E41E95"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DBF">
      <w:rPr>
        <w:rStyle w:val="PageNumber"/>
        <w:noProof/>
      </w:rPr>
      <w:t>9</w:t>
    </w:r>
    <w:r>
      <w:rPr>
        <w:rStyle w:val="PageNumber"/>
      </w:rPr>
      <w:fldChar w:fldCharType="end"/>
    </w:r>
  </w:p>
  <w:p w:rsidR="00683593" w:rsidRDefault="00BB696B"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6B" w:rsidRDefault="00BB696B" w:rsidP="004878C0">
      <w:r>
        <w:separator/>
      </w:r>
    </w:p>
  </w:footnote>
  <w:footnote w:type="continuationSeparator" w:id="0">
    <w:p w:rsidR="00BB696B" w:rsidRDefault="00BB696B" w:rsidP="004878C0">
      <w:r>
        <w:continuationSeparator/>
      </w:r>
    </w:p>
  </w:footnote>
  <w:footnote w:id="1">
    <w:p w:rsidR="004878C0" w:rsidRDefault="004878C0" w:rsidP="004878C0">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rsidR="004878C0" w:rsidRPr="000319DF" w:rsidRDefault="004878C0" w:rsidP="004878C0">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rsidR="004878C0" w:rsidRDefault="004878C0" w:rsidP="004878C0">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C0"/>
    <w:rsid w:val="002A0DBF"/>
    <w:rsid w:val="004878C0"/>
    <w:rsid w:val="006261B7"/>
    <w:rsid w:val="008860C7"/>
    <w:rsid w:val="008F0F62"/>
    <w:rsid w:val="009F525E"/>
    <w:rsid w:val="00A16474"/>
    <w:rsid w:val="00A8299F"/>
    <w:rsid w:val="00BB696B"/>
    <w:rsid w:val="00E41E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CDFA"/>
  <w15:chartTrackingRefBased/>
  <w15:docId w15:val="{FD8DEA2A-EDD1-4B1A-AE36-14A726C9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C0"/>
    <w:pPr>
      <w:spacing w:after="0" w:line="240" w:lineRule="auto"/>
    </w:pPr>
    <w:rPr>
      <w:rFonts w:asciiTheme="majorHAnsi" w:eastAsiaTheme="minorEastAsia" w:hAnsiTheme="majorHAnsi"/>
      <w:sz w:val="20"/>
      <w:szCs w:val="24"/>
      <w:lang w:val="en-US" w:eastAsia="ja-JP"/>
    </w:rPr>
  </w:style>
  <w:style w:type="paragraph" w:styleId="Heading1">
    <w:name w:val="heading 1"/>
    <w:basedOn w:val="Normal"/>
    <w:next w:val="Normal"/>
    <w:link w:val="Heading1Char"/>
    <w:uiPriority w:val="9"/>
    <w:qFormat/>
    <w:rsid w:val="004878C0"/>
    <w:pPr>
      <w:keepNext/>
      <w:keepLines/>
      <w:numPr>
        <w:numId w:val="2"/>
      </w:numPr>
      <w:spacing w:before="480"/>
      <w:outlineLvl w:val="0"/>
    </w:pPr>
    <w:rPr>
      <w:rFonts w:eastAsiaTheme="majorEastAsia" w:cstheme="majorBidi"/>
      <w:b/>
      <w:bCs/>
      <w:color w:val="2C6EAB" w:themeColor="accent1" w:themeShade="B5"/>
      <w:sz w:val="32"/>
      <w:szCs w:val="32"/>
    </w:rPr>
  </w:style>
  <w:style w:type="paragraph" w:styleId="Heading3">
    <w:name w:val="heading 3"/>
    <w:basedOn w:val="Normal"/>
    <w:next w:val="Normal"/>
    <w:link w:val="Heading3Char"/>
    <w:uiPriority w:val="9"/>
    <w:unhideWhenUsed/>
    <w:qFormat/>
    <w:rsid w:val="004878C0"/>
    <w:pPr>
      <w:keepNext/>
      <w:keepLines/>
      <w:spacing w:before="200"/>
      <w:ind w:left="360"/>
      <w:outlineLvl w:val="2"/>
    </w:pPr>
    <w:rPr>
      <w:rFonts w:eastAsiaTheme="majorEastAsia" w:cstheme="majorBidi"/>
      <w:b/>
      <w:bCs/>
      <w:color w:val="5B9BD5" w:themeColor="accent1"/>
      <w:szCs w:val="20"/>
    </w:rPr>
  </w:style>
  <w:style w:type="paragraph" w:styleId="Heading4">
    <w:name w:val="heading 4"/>
    <w:basedOn w:val="Normal"/>
    <w:next w:val="Normal"/>
    <w:link w:val="Heading4Char"/>
    <w:uiPriority w:val="9"/>
    <w:qFormat/>
    <w:rsid w:val="004878C0"/>
    <w:pPr>
      <w:keepNext/>
      <w:keepLines/>
      <w:numPr>
        <w:ilvl w:val="3"/>
        <w:numId w:val="2"/>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4878C0"/>
    <w:pPr>
      <w:keepNext/>
      <w:keepLines/>
      <w:numPr>
        <w:ilvl w:val="4"/>
        <w:numId w:val="2"/>
      </w:numPr>
      <w:spacing w:before="20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4878C0"/>
    <w:pPr>
      <w:keepNext/>
      <w:keepLines/>
      <w:numPr>
        <w:ilvl w:val="5"/>
        <w:numId w:val="2"/>
      </w:numPr>
      <w:spacing w:before="200"/>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unhideWhenUsed/>
    <w:qFormat/>
    <w:rsid w:val="004878C0"/>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878C0"/>
    <w:pPr>
      <w:keepNext/>
      <w:keepLines/>
      <w:numPr>
        <w:ilvl w:val="7"/>
        <w:numId w:val="2"/>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4878C0"/>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C0"/>
    <w:rPr>
      <w:rFonts w:asciiTheme="majorHAnsi" w:eastAsiaTheme="majorEastAsia" w:hAnsiTheme="majorHAnsi" w:cstheme="majorBidi"/>
      <w:b/>
      <w:bCs/>
      <w:color w:val="2C6EAB" w:themeColor="accent1" w:themeShade="B5"/>
      <w:sz w:val="32"/>
      <w:szCs w:val="32"/>
      <w:lang w:val="en-US" w:eastAsia="ja-JP"/>
    </w:rPr>
  </w:style>
  <w:style w:type="character" w:customStyle="1" w:styleId="Heading3Char">
    <w:name w:val="Heading 3 Char"/>
    <w:basedOn w:val="DefaultParagraphFont"/>
    <w:link w:val="Heading3"/>
    <w:uiPriority w:val="9"/>
    <w:rsid w:val="004878C0"/>
    <w:rPr>
      <w:rFonts w:asciiTheme="majorHAnsi" w:eastAsiaTheme="majorEastAsia" w:hAnsiTheme="majorHAnsi" w:cstheme="majorBidi"/>
      <w:b/>
      <w:bCs/>
      <w:color w:val="5B9BD5" w:themeColor="accent1"/>
      <w:sz w:val="20"/>
      <w:szCs w:val="20"/>
      <w:lang w:val="en-US" w:eastAsia="ja-JP"/>
    </w:rPr>
  </w:style>
  <w:style w:type="character" w:customStyle="1" w:styleId="Heading4Char">
    <w:name w:val="Heading 4 Char"/>
    <w:basedOn w:val="DefaultParagraphFont"/>
    <w:link w:val="Heading4"/>
    <w:uiPriority w:val="9"/>
    <w:rsid w:val="004878C0"/>
    <w:rPr>
      <w:rFonts w:ascii="Calibri" w:eastAsia="MS Gothic" w:hAnsi="Calibri" w:cs="Times New Roman"/>
      <w:b/>
      <w:bCs/>
      <w:iCs/>
      <w:color w:val="4F81BD"/>
      <w:szCs w:val="24"/>
      <w:lang w:val="en-US" w:eastAsia="ja-JP"/>
    </w:rPr>
  </w:style>
  <w:style w:type="character" w:customStyle="1" w:styleId="Heading5Char">
    <w:name w:val="Heading 5 Char"/>
    <w:basedOn w:val="DefaultParagraphFont"/>
    <w:link w:val="Heading5"/>
    <w:uiPriority w:val="9"/>
    <w:semiHidden/>
    <w:rsid w:val="004878C0"/>
    <w:rPr>
      <w:rFonts w:asciiTheme="majorHAnsi" w:eastAsiaTheme="majorEastAsia" w:hAnsiTheme="majorHAnsi" w:cstheme="majorBidi"/>
      <w:color w:val="1F4D78" w:themeColor="accent1" w:themeShade="7F"/>
      <w:sz w:val="20"/>
      <w:szCs w:val="24"/>
      <w:lang w:val="en-US" w:eastAsia="ja-JP"/>
    </w:rPr>
  </w:style>
  <w:style w:type="character" w:customStyle="1" w:styleId="Heading6Char">
    <w:name w:val="Heading 6 Char"/>
    <w:basedOn w:val="DefaultParagraphFont"/>
    <w:link w:val="Heading6"/>
    <w:uiPriority w:val="9"/>
    <w:semiHidden/>
    <w:rsid w:val="004878C0"/>
    <w:rPr>
      <w:rFonts w:asciiTheme="majorHAnsi" w:eastAsiaTheme="majorEastAsia" w:hAnsiTheme="majorHAnsi" w:cstheme="majorBidi"/>
      <w:i/>
      <w:iCs/>
      <w:color w:val="1F4D78" w:themeColor="accent1" w:themeShade="7F"/>
      <w:sz w:val="20"/>
      <w:szCs w:val="24"/>
      <w:lang w:val="en-US" w:eastAsia="ja-JP"/>
    </w:rPr>
  </w:style>
  <w:style w:type="character" w:customStyle="1" w:styleId="Heading7Char">
    <w:name w:val="Heading 7 Char"/>
    <w:basedOn w:val="DefaultParagraphFont"/>
    <w:link w:val="Heading7"/>
    <w:uiPriority w:val="9"/>
    <w:rsid w:val="004878C0"/>
    <w:rPr>
      <w:rFonts w:asciiTheme="majorHAnsi" w:eastAsiaTheme="majorEastAsia" w:hAnsiTheme="majorHAnsi" w:cstheme="majorBidi"/>
      <w:i/>
      <w:iCs/>
      <w:color w:val="404040" w:themeColor="text1" w:themeTint="BF"/>
      <w:sz w:val="20"/>
      <w:szCs w:val="24"/>
      <w:lang w:val="en-US" w:eastAsia="ja-JP"/>
    </w:rPr>
  </w:style>
  <w:style w:type="character" w:customStyle="1" w:styleId="Heading8Char">
    <w:name w:val="Heading 8 Char"/>
    <w:basedOn w:val="DefaultParagraphFont"/>
    <w:link w:val="Heading8"/>
    <w:uiPriority w:val="9"/>
    <w:semiHidden/>
    <w:rsid w:val="004878C0"/>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4878C0"/>
    <w:rPr>
      <w:rFonts w:asciiTheme="majorHAnsi" w:eastAsiaTheme="majorEastAsia" w:hAnsiTheme="majorHAnsi" w:cstheme="majorBidi"/>
      <w:i/>
      <w:iCs/>
      <w:color w:val="404040" w:themeColor="text1" w:themeTint="BF"/>
      <w:sz w:val="20"/>
      <w:szCs w:val="20"/>
      <w:lang w:val="en-US" w:eastAsia="ja-JP"/>
    </w:rPr>
  </w:style>
  <w:style w:type="paragraph" w:styleId="ListParagraph">
    <w:name w:val="List Paragraph"/>
    <w:basedOn w:val="Normal"/>
    <w:qFormat/>
    <w:rsid w:val="004878C0"/>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4878C0"/>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4878C0"/>
    <w:rPr>
      <w:rFonts w:ascii="Calibri" w:eastAsia="MS Mincho" w:hAnsi="Calibri" w:cs="Times New Roman"/>
      <w:sz w:val="18"/>
      <w:szCs w:val="24"/>
      <w:lang w:val="en-US" w:eastAsia="ja-JP"/>
    </w:rPr>
  </w:style>
  <w:style w:type="character" w:styleId="FootnoteReference">
    <w:name w:val="footnote reference"/>
    <w:aliases w:val="16 Point,Superscript 6 Point"/>
    <w:unhideWhenUsed/>
    <w:rsid w:val="004878C0"/>
    <w:rPr>
      <w:rFonts w:ascii="Calibri" w:hAnsi="Calibri"/>
      <w:sz w:val="18"/>
      <w:vertAlign w:val="superscript"/>
    </w:rPr>
  </w:style>
  <w:style w:type="character" w:styleId="Hyperlink">
    <w:name w:val="Hyperlink"/>
    <w:uiPriority w:val="99"/>
    <w:unhideWhenUsed/>
    <w:rsid w:val="004878C0"/>
    <w:rPr>
      <w:color w:val="0000FF"/>
      <w:u w:val="single"/>
    </w:rPr>
  </w:style>
  <w:style w:type="table" w:styleId="TableGrid">
    <w:name w:val="Table Grid"/>
    <w:basedOn w:val="TableNormal"/>
    <w:uiPriority w:val="59"/>
    <w:rsid w:val="004878C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Normal"/>
    <w:qFormat/>
    <w:rsid w:val="004878C0"/>
    <w:pPr>
      <w:numPr>
        <w:numId w:val="1"/>
      </w:numPr>
      <w:tabs>
        <w:tab w:val="left" w:pos="360"/>
      </w:tabs>
      <w:spacing w:before="120" w:after="120" w:line="264" w:lineRule="auto"/>
    </w:pPr>
    <w:rPr>
      <w:rFonts w:ascii="Calibri" w:eastAsia="MS Mincho" w:hAnsi="Calibri" w:cs="Times New Roman"/>
      <w:szCs w:val="20"/>
    </w:rPr>
  </w:style>
  <w:style w:type="paragraph" w:styleId="Footer">
    <w:name w:val="footer"/>
    <w:basedOn w:val="Normal"/>
    <w:link w:val="FooterChar"/>
    <w:uiPriority w:val="99"/>
    <w:unhideWhenUsed/>
    <w:rsid w:val="004878C0"/>
    <w:pPr>
      <w:tabs>
        <w:tab w:val="center" w:pos="4320"/>
        <w:tab w:val="right" w:pos="8640"/>
      </w:tabs>
    </w:pPr>
  </w:style>
  <w:style w:type="character" w:customStyle="1" w:styleId="FooterChar">
    <w:name w:val="Footer Char"/>
    <w:basedOn w:val="DefaultParagraphFont"/>
    <w:link w:val="Footer"/>
    <w:uiPriority w:val="99"/>
    <w:rsid w:val="004878C0"/>
    <w:rPr>
      <w:rFonts w:asciiTheme="majorHAnsi" w:eastAsiaTheme="minorEastAsia" w:hAnsiTheme="majorHAnsi"/>
      <w:sz w:val="20"/>
      <w:szCs w:val="24"/>
      <w:lang w:val="en-US" w:eastAsia="ja-JP"/>
    </w:rPr>
  </w:style>
  <w:style w:type="character" w:styleId="PageNumber">
    <w:name w:val="page number"/>
    <w:basedOn w:val="DefaultParagraphFont"/>
    <w:uiPriority w:val="99"/>
    <w:semiHidden/>
    <w:unhideWhenUsed/>
    <w:rsid w:val="0048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ATLASPDC-4-156328</_dlc_DocId>
    <_dlc_DocIdUrl xmlns="f1161f5b-24a3-4c2d-bc81-44cb9325e8ee">
      <Url>https://info.undp.org/docs/pdc/_layouts/DocIdRedir.aspx?ID=ATLASPDC-4-156328</Url>
      <Description>ATLASPDC-4-156328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D9EA1A-4717-4A59-B409-E6AAEBC48D49}"/>
</file>

<file path=customXml/itemProps2.xml><?xml version="1.0" encoding="utf-8"?>
<ds:datastoreItem xmlns:ds="http://schemas.openxmlformats.org/officeDocument/2006/customXml" ds:itemID="{ECE393FE-1A41-402A-937B-748B6E973E55}"/>
</file>

<file path=customXml/itemProps3.xml><?xml version="1.0" encoding="utf-8"?>
<ds:datastoreItem xmlns:ds="http://schemas.openxmlformats.org/officeDocument/2006/customXml" ds:itemID="{8E010E36-1DD2-42FE-8A2F-1A1BA551E663}"/>
</file>

<file path=customXml/itemProps4.xml><?xml version="1.0" encoding="utf-8"?>
<ds:datastoreItem xmlns:ds="http://schemas.openxmlformats.org/officeDocument/2006/customXml" ds:itemID="{9AA854FC-3783-4C5D-8EB6-2BBA0679CF1A}"/>
</file>

<file path=docProps/app.xml><?xml version="1.0" encoding="utf-8"?>
<Properties xmlns="http://schemas.openxmlformats.org/officeDocument/2006/extended-properties" xmlns:vt="http://schemas.openxmlformats.org/officeDocument/2006/docPropsVTypes">
  <Template>Normal</Template>
  <TotalTime>6</TotalTime>
  <Pages>9</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Raili Hasheela</dc:creator>
  <cp:keywords/>
  <dc:description/>
  <cp:lastModifiedBy>Maano Shimanda</cp:lastModifiedBy>
  <cp:revision>3</cp:revision>
  <dcterms:created xsi:type="dcterms:W3CDTF">2020-08-25T07:12:00Z</dcterms:created>
  <dcterms:modified xsi:type="dcterms:W3CDTF">2020-11-03T09:29:00Z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(SES)|7a9dffd9-0b1f-4966-9938-9886c04c9893;#1552;#NAM|c25d75bf-6998-42d7-a2ea-f5ed1b3ef599;#1;#English|7f98b732-4b5b-4b70-ba90-a0eff09b5d2d;#763;#Draft|121d40a5-e62e-4d42-82e4-d6d12003de0a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NAM|c25d75bf-6998-42d7-a2ea-f5ed1b3ef599</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1552;#NAM|c25d75bf-6998-42d7-a2ea-f5ed1b3ef599</vt:lpwstr>
  </property>
  <property fmtid="{D5CDD505-2E9C-101B-9397-08002B2CF9AE}" pid="14" name="_dlc_DocIdItemGuid">
    <vt:lpwstr>82dda1cd-3880-4bd7-93c8-c1322f1cbe8b</vt:lpwstr>
  </property>
  <property fmtid="{D5CDD505-2E9C-101B-9397-08002B2CF9AE}" pid="15" name="Atlas Document Type">
    <vt:lpwstr>1189;#Social and Environmental Standards (SES)|7a9dffd9-0b1f-4966-9938-9886c04c9893</vt:lpwstr>
  </property>
  <property fmtid="{D5CDD505-2E9C-101B-9397-08002B2CF9AE}" pid="16" name="UndpProjectNo">
    <vt:lpwstr>123453</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