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6D2D0906" w:rsidR="00DD330A" w:rsidRPr="0071043E" w:rsidRDefault="005D1AFE" w:rsidP="0084274F">
            <w:pPr>
              <w:rPr>
                <w:sz w:val="18"/>
                <w:szCs w:val="18"/>
              </w:rPr>
            </w:pPr>
            <w:r w:rsidRPr="0071043E">
              <w:rPr>
                <w:sz w:val="18"/>
                <w:szCs w:val="18"/>
              </w:rPr>
              <w:t>Integrated approach to proactive management of human-wildlife conflict and wildlife crime in hotspot landscapes in Namibia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619F9602" w:rsidR="00DD330A" w:rsidRPr="00450804" w:rsidRDefault="005D1AFE" w:rsidP="0084274F">
            <w:pPr>
              <w:rPr>
                <w:sz w:val="18"/>
                <w:szCs w:val="18"/>
              </w:rPr>
            </w:pPr>
            <w:r>
              <w:rPr>
                <w:sz w:val="18"/>
                <w:szCs w:val="18"/>
              </w:rPr>
              <w:t>PIMS 6303</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2F2357A3" w:rsidR="00DD330A" w:rsidRPr="00450804" w:rsidRDefault="005D1AFE" w:rsidP="0084274F">
            <w:pPr>
              <w:rPr>
                <w:sz w:val="18"/>
                <w:szCs w:val="18"/>
              </w:rPr>
            </w:pPr>
            <w:r>
              <w:rPr>
                <w:sz w:val="18"/>
                <w:szCs w:val="18"/>
              </w:rPr>
              <w:t>Namibia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4ECB9CB" w14:textId="18F5F41B" w:rsidR="009508DB" w:rsidRDefault="009508DB" w:rsidP="00C944BC">
            <w:pPr>
              <w:keepNext/>
              <w:keepLines/>
              <w:tabs>
                <w:tab w:val="left" w:pos="432"/>
              </w:tabs>
              <w:spacing w:before="60" w:after="60"/>
              <w:outlineLvl w:val="7"/>
              <w:rPr>
                <w:sz w:val="18"/>
                <w:szCs w:val="18"/>
              </w:rPr>
            </w:pPr>
            <w:r>
              <w:rPr>
                <w:sz w:val="18"/>
                <w:szCs w:val="18"/>
              </w:rPr>
              <w:t xml:space="preserve">One of the core outcomes of this project is to reduce the incidence of human wildlife conflict, which causes economic displacement, loss of property, and sometimes injury and loss of life for rural communities living adjacent to protected areas and in community conservancies. By seeking to strengthen institutional capacity for mitigating, managing and avoiding such conflicts through a range of measures that enable effective implementation of the country’s Revised National Policy Human Wildlife Conflict </w:t>
            </w:r>
            <w:r w:rsidR="00842346">
              <w:rPr>
                <w:sz w:val="18"/>
                <w:szCs w:val="18"/>
              </w:rPr>
              <w:t xml:space="preserve">Management, 2018 – 2027 </w:t>
            </w:r>
            <w:r>
              <w:rPr>
                <w:sz w:val="18"/>
                <w:szCs w:val="18"/>
              </w:rPr>
              <w:t xml:space="preserve">(April 2018). This policy recognizes the rights of the Namibian people to </w:t>
            </w:r>
            <w:r w:rsidR="00842346">
              <w:rPr>
                <w:sz w:val="18"/>
                <w:szCs w:val="18"/>
              </w:rPr>
              <w:t>live ‘free from fear’, and ‘free from want,’ which are among the core principles of the UN Charter on Human Rights. The project seeks to do this by promoting integrated, proactive and socially-inclusive approaches to addressing the interlinked issues of human-wildlife conflict and wildlife crime, in which stakeholders from across</w:t>
            </w:r>
            <w:r w:rsidR="00C944BC">
              <w:rPr>
                <w:sz w:val="18"/>
                <w:szCs w:val="18"/>
              </w:rPr>
              <w:t xml:space="preserve"> the socio-economic spectrum to participate in planning, decision-making and knowledge exchange. Engagement processes will build on existing institutional frameworks that have legitimacy and credibility and that take local customary norms into due consideration. The project will establish a multi-stakeholder HWC-WC knowledge platform through which stakeholders can engage in local-level monitoring and evaluation, awareness raising and lesson sharing at local, regional and global levels</w:t>
            </w:r>
            <w:r w:rsidR="00F505A5">
              <w:rPr>
                <w:sz w:val="18"/>
                <w:szCs w:val="18"/>
              </w:rPr>
              <w:t xml:space="preserve"> – this will ensure that communities living in conservancies and in lands </w:t>
            </w:r>
            <w:proofErr w:type="spellStart"/>
            <w:r w:rsidR="00F505A5">
              <w:rPr>
                <w:sz w:val="18"/>
                <w:szCs w:val="18"/>
              </w:rPr>
              <w:t>neighbouring</w:t>
            </w:r>
            <w:proofErr w:type="spellEnd"/>
            <w:r w:rsidR="00F505A5">
              <w:rPr>
                <w:sz w:val="18"/>
                <w:szCs w:val="18"/>
              </w:rPr>
              <w:t xml:space="preserve"> protected areas (who are among some of the most marginalized in Namibia)are given a voice</w:t>
            </w:r>
            <w:r w:rsidR="00C944BC">
              <w:rPr>
                <w:sz w:val="18"/>
                <w:szCs w:val="18"/>
              </w:rPr>
              <w:t>.</w:t>
            </w:r>
            <w:r w:rsidR="00F505A5">
              <w:rPr>
                <w:sz w:val="18"/>
                <w:szCs w:val="18"/>
              </w:rPr>
              <w:t xml:space="preserve"> During the project development phase, a comprehensive stakeholder engagement plan will be developed to ensure that there is meaningful participation and inclusion of all stakeholders.</w:t>
            </w:r>
          </w:p>
          <w:p w14:paraId="68A09ACD" w14:textId="77777777" w:rsidR="00C944BC" w:rsidRDefault="00C944BC" w:rsidP="00C944BC">
            <w:pPr>
              <w:keepNext/>
              <w:keepLines/>
              <w:tabs>
                <w:tab w:val="left" w:pos="432"/>
              </w:tabs>
              <w:spacing w:before="60" w:after="60"/>
              <w:outlineLvl w:val="7"/>
              <w:rPr>
                <w:sz w:val="18"/>
                <w:szCs w:val="18"/>
              </w:rPr>
            </w:pPr>
          </w:p>
          <w:p w14:paraId="1889EE94" w14:textId="65F3731B" w:rsidR="00C944BC" w:rsidRPr="008C711F" w:rsidRDefault="00C944BC" w:rsidP="00F505A5">
            <w:pPr>
              <w:keepNext/>
              <w:keepLines/>
              <w:tabs>
                <w:tab w:val="left" w:pos="432"/>
              </w:tabs>
              <w:spacing w:before="60" w:after="60"/>
              <w:outlineLvl w:val="7"/>
              <w:rPr>
                <w:sz w:val="18"/>
                <w:szCs w:val="18"/>
              </w:rPr>
            </w:pPr>
            <w:r>
              <w:rPr>
                <w:sz w:val="18"/>
                <w:szCs w:val="18"/>
              </w:rPr>
              <w:t>The human rights approach will also be mainstreamed through efforts to build a diversified and vibrant wildlife-based economy, th</w:t>
            </w:r>
            <w:r w:rsidR="00F505A5">
              <w:rPr>
                <w:sz w:val="18"/>
                <w:szCs w:val="18"/>
              </w:rPr>
              <w:t>ro</w:t>
            </w:r>
            <w:r>
              <w:rPr>
                <w:sz w:val="18"/>
                <w:szCs w:val="18"/>
              </w:rPr>
              <w:t>ugh which communities wi</w:t>
            </w:r>
            <w:r w:rsidR="00F505A5">
              <w:rPr>
                <w:sz w:val="18"/>
                <w:szCs w:val="18"/>
              </w:rPr>
              <w:t>l</w:t>
            </w:r>
            <w:r>
              <w:rPr>
                <w:sz w:val="18"/>
                <w:szCs w:val="18"/>
              </w:rPr>
              <w:t xml:space="preserve">l be empowered to </w:t>
            </w:r>
            <w:r w:rsidR="00F505A5">
              <w:rPr>
                <w:sz w:val="18"/>
                <w:szCs w:val="18"/>
              </w:rPr>
              <w:t xml:space="preserve">engage in innovative business partnerships that deliver adequate benefits to offset the costs of living with wildlife. The project will catalyze the development of wildlife-based tourism and ancillary businesses and other job opportunities created through landscape restoration activities, and engagement as natural resource monitors.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49B924C7" w:rsidR="00414FBA" w:rsidRPr="00F8440A" w:rsidRDefault="00F8440A" w:rsidP="00F8440A">
            <w:pPr>
              <w:tabs>
                <w:tab w:val="left" w:pos="432"/>
              </w:tabs>
              <w:spacing w:before="60" w:after="60"/>
              <w:rPr>
                <w:rFonts w:eastAsia="Times New Roman"/>
                <w:color w:val="595959" w:themeColor="text1" w:themeTint="A6"/>
                <w:szCs w:val="20"/>
              </w:rPr>
            </w:pPr>
            <w:r w:rsidRPr="00F8440A">
              <w:rPr>
                <w:rFonts w:eastAsia="Times New Roman"/>
                <w:szCs w:val="20"/>
              </w:rPr>
              <w:lastRenderedPageBreak/>
              <w:t xml:space="preserve">The project places great emphasis on ensuring adequate and equitable representation of women, who are critical agents of change in efforts to address HWC and wildlife crime, given the customary roles they play in natural resource management, agricultural production and other engendered roles that place them at high risk of coming into conflict with wild animals. Women often also bear the brunt of social ramifications and economic displacement that comes from community involvement in wildlife crime.  </w:t>
            </w:r>
            <w:r w:rsidRPr="00F8440A">
              <w:rPr>
                <w:szCs w:val="20"/>
              </w:rPr>
              <w:t>To ensure that the project design and activities fully incorporate and reflect the views and needs of women, and provide opportunities for women and girls to benefit from their involvement, a gender analysis will be undertaken by a gender specialist during the PPG phase. A comprehensive Gender Action Plan will be submitted at the time of CEO endorsement, and gender-disaggregated targets and indicators will be included within the project results framework under the wildlife-economy and knowledge-sharing components, with dedicated budget allocated to ensure that they are monitored</w:t>
            </w:r>
            <w:r w:rsidR="006D0D77">
              <w:rPr>
                <w:szCs w:val="20"/>
              </w:rPr>
              <w:t>.</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76FEBF94" w:rsidR="00414FBA" w:rsidRPr="008C711F" w:rsidRDefault="006D0D77" w:rsidP="00A05589">
            <w:pPr>
              <w:tabs>
                <w:tab w:val="left" w:pos="432"/>
              </w:tabs>
              <w:spacing w:before="60" w:after="60"/>
              <w:rPr>
                <w:rFonts w:eastAsia="Times New Roman"/>
                <w:color w:val="595959" w:themeColor="text1" w:themeTint="A6"/>
                <w:sz w:val="18"/>
                <w:szCs w:val="18"/>
              </w:rPr>
            </w:pPr>
            <w:r w:rsidRPr="00A05589">
              <w:rPr>
                <w:rFonts w:eastAsia="Times New Roman"/>
                <w:sz w:val="18"/>
                <w:szCs w:val="18"/>
              </w:rPr>
              <w:t>The overriding objective of the project is to ensure that Namibia’s critical wildlife populations – especially threatened and competitive-edge species (such as desert-adapted black rhinoceros) - and their habitats are adequately protected and managed</w:t>
            </w:r>
            <w:r w:rsidR="00A05589" w:rsidRPr="00A05589">
              <w:rPr>
                <w:rFonts w:eastAsia="Times New Roman"/>
                <w:sz w:val="18"/>
                <w:szCs w:val="18"/>
              </w:rPr>
              <w:t xml:space="preserve"> both now and in the future</w:t>
            </w:r>
            <w:r w:rsidRPr="00A05589">
              <w:rPr>
                <w:rFonts w:eastAsia="Times New Roman"/>
                <w:sz w:val="18"/>
                <w:szCs w:val="18"/>
              </w:rPr>
              <w:t xml:space="preserve">, and are able to generate benefits for the people of the country through well-informed, </w:t>
            </w:r>
            <w:r w:rsidR="00A05589" w:rsidRPr="00A05589">
              <w:rPr>
                <w:rFonts w:eastAsia="Times New Roman"/>
                <w:sz w:val="18"/>
                <w:szCs w:val="18"/>
              </w:rPr>
              <w:t xml:space="preserve">environmentally </w:t>
            </w:r>
            <w:r w:rsidRPr="00A05589">
              <w:rPr>
                <w:rFonts w:eastAsia="Times New Roman"/>
                <w:sz w:val="18"/>
                <w:szCs w:val="18"/>
              </w:rPr>
              <w:t>sustainable use.  The project will contribute to reducing the threats to these natural resources by enabling the development and implementation of science-based, species-specific management plans that will enable strategic, adaptive management of these populations.</w:t>
            </w:r>
            <w:r w:rsidR="00A05589" w:rsidRPr="00A05589">
              <w:rPr>
                <w:rFonts w:eastAsia="Times New Roman"/>
                <w:sz w:val="18"/>
                <w:szCs w:val="18"/>
              </w:rPr>
              <w:t xml:space="preserve"> </w:t>
            </w:r>
            <w:r w:rsidRPr="00A05589">
              <w:rPr>
                <w:rFonts w:eastAsia="Times New Roman"/>
                <w:sz w:val="18"/>
                <w:szCs w:val="18"/>
              </w:rPr>
              <w:t xml:space="preserve">A key component of </w:t>
            </w:r>
            <w:r w:rsidR="00A05589" w:rsidRPr="00A05589">
              <w:rPr>
                <w:rFonts w:eastAsia="Times New Roman"/>
                <w:sz w:val="18"/>
                <w:szCs w:val="18"/>
              </w:rPr>
              <w:t xml:space="preserve">implementing these plans will be ensuring that their effectiveness is monitored. </w:t>
            </w:r>
            <w:r w:rsidRPr="00A05589">
              <w:rPr>
                <w:rFonts w:eastAsia="Times New Roman"/>
                <w:sz w:val="18"/>
                <w:szCs w:val="18"/>
              </w:rPr>
              <w:t xml:space="preserve"> Environmental sustainability will </w:t>
            </w:r>
            <w:r w:rsidR="00A05589" w:rsidRPr="00A05589">
              <w:rPr>
                <w:rFonts w:eastAsia="Times New Roman"/>
                <w:sz w:val="18"/>
                <w:szCs w:val="18"/>
              </w:rPr>
              <w:t xml:space="preserve">also </w:t>
            </w:r>
            <w:r w:rsidRPr="00A05589">
              <w:rPr>
                <w:rFonts w:eastAsia="Times New Roman"/>
                <w:sz w:val="18"/>
                <w:szCs w:val="18"/>
              </w:rPr>
              <w:t>be mainstreamed through the development of biodiversity-compatible alternative</w:t>
            </w:r>
            <w:r w:rsidR="00A05589" w:rsidRPr="00A05589">
              <w:rPr>
                <w:rFonts w:eastAsia="Times New Roman"/>
                <w:sz w:val="18"/>
                <w:szCs w:val="18"/>
              </w:rPr>
              <w:t xml:space="preserve"> land -</w:t>
            </w:r>
            <w:r w:rsidRPr="00A05589">
              <w:rPr>
                <w:rFonts w:eastAsia="Times New Roman"/>
                <w:sz w:val="18"/>
                <w:szCs w:val="18"/>
              </w:rPr>
              <w:t>uses and livelihood opportunities linked to biodiver</w:t>
            </w:r>
            <w:r w:rsidR="00A05589" w:rsidRPr="00A05589">
              <w:rPr>
                <w:rFonts w:eastAsia="Times New Roman"/>
                <w:sz w:val="18"/>
                <w:szCs w:val="18"/>
              </w:rPr>
              <w:t xml:space="preserve">sity-based value chains, and the development of best-practices for predator-friendly farming. To ensure that all possible risks to environmental sustainability are identified and addressed, the project will undertake an Environmental and Social Impact Assessment and develop an Environmental and Social Management Framework during the PPG phase.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7E45AC" w14:paraId="0B0DBCA1" w14:textId="77777777" w:rsidTr="00A601CC">
        <w:tc>
          <w:tcPr>
            <w:tcW w:w="3510" w:type="dxa"/>
          </w:tcPr>
          <w:p w14:paraId="42D9C635" w14:textId="77777777" w:rsidR="007E45AC" w:rsidRPr="002902C5" w:rsidRDefault="007E45AC" w:rsidP="0030730E">
            <w:pPr>
              <w:spacing w:before="120"/>
              <w:rPr>
                <w:rFonts w:ascii="Calibri" w:eastAsia="Times New Roman" w:hAnsi="Calibri" w:cs="Times New Roman"/>
                <w:sz w:val="18"/>
                <w:szCs w:val="18"/>
              </w:rPr>
            </w:pPr>
            <w:r w:rsidRPr="002902C5">
              <w:rPr>
                <w:rFonts w:ascii="Calibri" w:eastAsia="Times New Roman" w:hAnsi="Calibri" w:cs="Times New Roman"/>
                <w:sz w:val="18"/>
                <w:szCs w:val="18"/>
              </w:rPr>
              <w:t xml:space="preserve">Risk 1: Indigenous peoples including vulnerable groups might not be involved in </w:t>
            </w:r>
            <w:r w:rsidRPr="002902C5">
              <w:rPr>
                <w:rFonts w:ascii="Calibri" w:eastAsia="Times New Roman" w:hAnsi="Calibri" w:cs="Times New Roman"/>
                <w:sz w:val="18"/>
                <w:szCs w:val="18"/>
              </w:rPr>
              <w:lastRenderedPageBreak/>
              <w:t>project design and therefore not engaged in, supportive of, or benefitting from project activities. FPIC has not yet been applied.</w:t>
            </w:r>
          </w:p>
          <w:p w14:paraId="5C2A8FF4" w14:textId="491229DB" w:rsidR="007E45AC" w:rsidRPr="009B4F2C" w:rsidRDefault="007E45AC" w:rsidP="0071043E">
            <w:pPr>
              <w:spacing w:before="120"/>
              <w:rPr>
                <w:sz w:val="18"/>
                <w:szCs w:val="18"/>
              </w:rPr>
            </w:pPr>
            <w:r w:rsidRPr="002902C5">
              <w:rPr>
                <w:rFonts w:ascii="Calibri" w:eastAsia="Times New Roman" w:hAnsi="Calibri" w:cs="Times New Roman"/>
                <w:sz w:val="18"/>
                <w:szCs w:val="18"/>
              </w:rPr>
              <w:t>(Principle 1: q4, q6; Standard 6: 6.1,</w:t>
            </w:r>
            <w:r>
              <w:rPr>
                <w:rFonts w:ascii="Calibri" w:eastAsia="Times New Roman" w:hAnsi="Calibri" w:cs="Times New Roman"/>
                <w:sz w:val="18"/>
                <w:szCs w:val="18"/>
              </w:rPr>
              <w:t xml:space="preserve"> 6.2, 6.3,</w:t>
            </w:r>
            <w:r w:rsidRPr="002902C5">
              <w:rPr>
                <w:rFonts w:ascii="Calibri" w:eastAsia="Times New Roman" w:hAnsi="Calibri" w:cs="Times New Roman"/>
                <w:sz w:val="18"/>
                <w:szCs w:val="18"/>
              </w:rPr>
              <w:t xml:space="preserve"> 6.4,</w:t>
            </w:r>
            <w:r>
              <w:rPr>
                <w:rFonts w:ascii="Calibri" w:eastAsia="Times New Roman" w:hAnsi="Calibri" w:cs="Times New Roman"/>
                <w:sz w:val="18"/>
                <w:szCs w:val="18"/>
              </w:rPr>
              <w:t xml:space="preserve"> 6.5, 6.6,</w:t>
            </w:r>
            <w:r w:rsidRPr="002902C5">
              <w:rPr>
                <w:rFonts w:ascii="Calibri" w:eastAsia="Times New Roman" w:hAnsi="Calibri" w:cs="Times New Roman"/>
                <w:sz w:val="18"/>
                <w:szCs w:val="18"/>
              </w:rPr>
              <w:t xml:space="preserve"> 6.</w:t>
            </w:r>
            <w:r>
              <w:rPr>
                <w:rFonts w:ascii="Calibri" w:eastAsia="Times New Roman" w:hAnsi="Calibri" w:cs="Times New Roman"/>
                <w:sz w:val="18"/>
                <w:szCs w:val="18"/>
              </w:rPr>
              <w:t>9</w:t>
            </w:r>
            <w:r w:rsidRPr="002902C5">
              <w:rPr>
                <w:rFonts w:ascii="Calibri" w:eastAsia="Times New Roman" w:hAnsi="Calibri" w:cs="Times New Roman"/>
                <w:sz w:val="18"/>
                <w:szCs w:val="18"/>
              </w:rPr>
              <w:t>)</w:t>
            </w:r>
          </w:p>
        </w:tc>
        <w:tc>
          <w:tcPr>
            <w:tcW w:w="1080" w:type="dxa"/>
          </w:tcPr>
          <w:p w14:paraId="4BB50A64" w14:textId="069D3714" w:rsidR="007E45AC" w:rsidRPr="00C86F7C" w:rsidRDefault="007E45AC" w:rsidP="0030730E">
            <w:pPr>
              <w:rPr>
                <w:rFonts w:cs="Minion Pro"/>
                <w:sz w:val="18"/>
                <w:szCs w:val="18"/>
              </w:rPr>
            </w:pPr>
            <w:r>
              <w:rPr>
                <w:rFonts w:cs="Minion Pro"/>
                <w:sz w:val="18"/>
                <w:szCs w:val="18"/>
              </w:rPr>
              <w:lastRenderedPageBreak/>
              <w:t>I = 4</w:t>
            </w:r>
            <w:r>
              <w:rPr>
                <w:rFonts w:cs="Minion Pro"/>
                <w:sz w:val="18"/>
                <w:szCs w:val="18"/>
              </w:rPr>
              <w:br/>
              <w:t>P = 3</w:t>
            </w:r>
          </w:p>
        </w:tc>
        <w:tc>
          <w:tcPr>
            <w:tcW w:w="1170" w:type="dxa"/>
          </w:tcPr>
          <w:p w14:paraId="7B5C7252" w14:textId="11620EF8" w:rsidR="007E45AC" w:rsidRPr="00372083" w:rsidRDefault="007E45AC" w:rsidP="0030730E">
            <w:pPr>
              <w:spacing w:before="120"/>
              <w:rPr>
                <w:b/>
                <w:sz w:val="18"/>
                <w:szCs w:val="18"/>
              </w:rPr>
            </w:pPr>
            <w:r>
              <w:rPr>
                <w:b/>
                <w:sz w:val="18"/>
                <w:szCs w:val="18"/>
              </w:rPr>
              <w:t>High</w:t>
            </w:r>
          </w:p>
        </w:tc>
        <w:tc>
          <w:tcPr>
            <w:tcW w:w="2610" w:type="dxa"/>
            <w:gridSpan w:val="2"/>
          </w:tcPr>
          <w:p w14:paraId="249AA562" w14:textId="77777777" w:rsidR="007E45AC" w:rsidRPr="00372083" w:rsidRDefault="007E45AC" w:rsidP="0030730E">
            <w:pPr>
              <w:rPr>
                <w:b/>
                <w:sz w:val="18"/>
                <w:szCs w:val="18"/>
              </w:rPr>
            </w:pPr>
          </w:p>
        </w:tc>
        <w:tc>
          <w:tcPr>
            <w:tcW w:w="4770" w:type="dxa"/>
            <w:gridSpan w:val="2"/>
            <w:vMerge w:val="restart"/>
          </w:tcPr>
          <w:p w14:paraId="097B1326" w14:textId="630924C3" w:rsidR="007E45AC" w:rsidRDefault="007E45AC" w:rsidP="007E45AC">
            <w:pPr>
              <w:rPr>
                <w:sz w:val="18"/>
                <w:szCs w:val="18"/>
              </w:rPr>
            </w:pPr>
            <w:r w:rsidRPr="007E45AC">
              <w:rPr>
                <w:sz w:val="18"/>
                <w:szCs w:val="18"/>
              </w:rPr>
              <w:t xml:space="preserve">As the project is High risk with potential downstream (Outcomes </w:t>
            </w:r>
            <w:r>
              <w:rPr>
                <w:sz w:val="18"/>
                <w:szCs w:val="18"/>
              </w:rPr>
              <w:t>2 and 3</w:t>
            </w:r>
            <w:r w:rsidRPr="007E45AC">
              <w:rPr>
                <w:sz w:val="18"/>
                <w:szCs w:val="18"/>
              </w:rPr>
              <w:t xml:space="preserve">) and upstream impacts (Outcome </w:t>
            </w:r>
            <w:r>
              <w:rPr>
                <w:sz w:val="18"/>
                <w:szCs w:val="18"/>
              </w:rPr>
              <w:t>1</w:t>
            </w:r>
            <w:r w:rsidRPr="007E45AC">
              <w:rPr>
                <w:sz w:val="18"/>
                <w:szCs w:val="18"/>
              </w:rPr>
              <w:t xml:space="preserve">), an </w:t>
            </w:r>
            <w:r w:rsidRPr="007E45AC">
              <w:rPr>
                <w:sz w:val="18"/>
                <w:szCs w:val="18"/>
              </w:rPr>
              <w:lastRenderedPageBreak/>
              <w:t>ESIA is required for the field-level activ</w:t>
            </w:r>
            <w:r w:rsidR="007C1C10">
              <w:rPr>
                <w:sz w:val="18"/>
                <w:szCs w:val="18"/>
              </w:rPr>
              <w:t>i</w:t>
            </w:r>
            <w:r w:rsidRPr="007E45AC">
              <w:rPr>
                <w:sz w:val="18"/>
                <w:szCs w:val="18"/>
              </w:rPr>
              <w:t xml:space="preserve">ties and an SESA is required for the policy-level activities. </w:t>
            </w:r>
          </w:p>
          <w:p w14:paraId="270B7C3A" w14:textId="77777777" w:rsidR="007E45AC" w:rsidRDefault="007E45AC" w:rsidP="007E45AC">
            <w:pPr>
              <w:rPr>
                <w:sz w:val="18"/>
                <w:szCs w:val="18"/>
              </w:rPr>
            </w:pPr>
          </w:p>
          <w:p w14:paraId="7D407C9E" w14:textId="519A49BB" w:rsidR="007E45AC" w:rsidRPr="007E45AC" w:rsidRDefault="007E45AC" w:rsidP="007E45AC">
            <w:pPr>
              <w:rPr>
                <w:sz w:val="18"/>
                <w:szCs w:val="18"/>
              </w:rPr>
            </w:pPr>
            <w:r w:rsidRPr="007E45AC">
              <w:rPr>
                <w:sz w:val="18"/>
                <w:szCs w:val="18"/>
              </w:rPr>
              <w:t xml:space="preserve">The ESIA will inform the development of the required ESMP, and the SESA will be the means through which that particular Outcome is delivered (with a policy-level ESMF as the output during implementation, as needed). </w:t>
            </w:r>
          </w:p>
          <w:p w14:paraId="2DF9A838" w14:textId="77777777" w:rsidR="007E45AC" w:rsidRPr="007E45AC" w:rsidRDefault="007E45AC" w:rsidP="007E45AC">
            <w:pPr>
              <w:rPr>
                <w:sz w:val="18"/>
                <w:szCs w:val="18"/>
              </w:rPr>
            </w:pPr>
          </w:p>
          <w:p w14:paraId="5DB738B2" w14:textId="36382B10" w:rsidR="007E45AC" w:rsidRPr="007E45AC" w:rsidRDefault="007E45AC" w:rsidP="007E45AC">
            <w:pPr>
              <w:rPr>
                <w:sz w:val="18"/>
                <w:szCs w:val="18"/>
              </w:rPr>
            </w:pPr>
            <w:r w:rsidRPr="007E45AC">
              <w:rPr>
                <w:sz w:val="18"/>
                <w:szCs w:val="18"/>
              </w:rPr>
              <w:t xml:space="preserve">During the PPG, this screening (SESP) will be revised based on further assessments and on information/details gathered in the course of the development of the project. Based on that updated screening, an ESMF will be written to ensure the preparation of the ESIA and ESMP during the project’s implementation.  </w:t>
            </w:r>
          </w:p>
          <w:p w14:paraId="5906E206" w14:textId="77777777" w:rsidR="007E45AC" w:rsidRPr="007E45AC" w:rsidRDefault="007E45AC" w:rsidP="007E45AC">
            <w:pPr>
              <w:rPr>
                <w:sz w:val="18"/>
                <w:szCs w:val="18"/>
              </w:rPr>
            </w:pPr>
          </w:p>
          <w:p w14:paraId="7819E674" w14:textId="77777777" w:rsidR="007E45AC" w:rsidRPr="007E45AC" w:rsidRDefault="007E45AC" w:rsidP="007E45AC">
            <w:pPr>
              <w:rPr>
                <w:sz w:val="18"/>
                <w:szCs w:val="18"/>
              </w:rPr>
            </w:pPr>
            <w:r w:rsidRPr="007E45AC">
              <w:rPr>
                <w:sz w:val="18"/>
                <w:szCs w:val="18"/>
              </w:rPr>
              <w:t xml:space="preserve">If FPIC is determined to be a requirement, then consultations will be carried out with the objective of achieving initial consent from the specific rights-holders, as appropriate and in line with Standard 6 requirements. FPIC would then be continued during project implementation, following the measures summarized in the ESMF and in the Indigenous Peoples Plan that is prepared as part of the subsequent ESMP. </w:t>
            </w:r>
          </w:p>
          <w:p w14:paraId="14AAEE06" w14:textId="77777777" w:rsidR="007E45AC" w:rsidRPr="007E45AC" w:rsidRDefault="007E45AC" w:rsidP="007E45AC">
            <w:pPr>
              <w:rPr>
                <w:sz w:val="18"/>
                <w:szCs w:val="18"/>
              </w:rPr>
            </w:pPr>
          </w:p>
          <w:p w14:paraId="7C7A15A5" w14:textId="77777777" w:rsidR="007E45AC" w:rsidRPr="007E45AC" w:rsidRDefault="007E45AC" w:rsidP="007E45AC">
            <w:pPr>
              <w:rPr>
                <w:sz w:val="18"/>
                <w:szCs w:val="18"/>
              </w:rPr>
            </w:pPr>
            <w:r w:rsidRPr="007E45AC">
              <w:rPr>
                <w:sz w:val="18"/>
                <w:szCs w:val="18"/>
              </w:rPr>
              <w:t xml:space="preserve">At a minimum the following will be prepared during the PPG to meet SES requirements revealed in this pre-screening: </w:t>
            </w:r>
          </w:p>
          <w:p w14:paraId="729D675B" w14:textId="6AB39820" w:rsidR="007E45AC" w:rsidRPr="007E45AC" w:rsidRDefault="007E45AC" w:rsidP="007E45AC">
            <w:pPr>
              <w:pStyle w:val="ListParagraph"/>
              <w:numPr>
                <w:ilvl w:val="0"/>
                <w:numId w:val="23"/>
              </w:numPr>
              <w:ind w:left="610" w:hanging="250"/>
              <w:rPr>
                <w:sz w:val="18"/>
                <w:szCs w:val="18"/>
              </w:rPr>
            </w:pPr>
            <w:r w:rsidRPr="007E45AC">
              <w:rPr>
                <w:sz w:val="18"/>
                <w:szCs w:val="18"/>
              </w:rPr>
              <w:t>ESMF</w:t>
            </w:r>
          </w:p>
          <w:p w14:paraId="1B92F72F" w14:textId="76887550" w:rsidR="007E45AC" w:rsidRPr="007E45AC" w:rsidRDefault="007E45AC" w:rsidP="007E45AC">
            <w:pPr>
              <w:pStyle w:val="ListParagraph"/>
              <w:numPr>
                <w:ilvl w:val="0"/>
                <w:numId w:val="23"/>
              </w:numPr>
              <w:ind w:left="610" w:hanging="250"/>
              <w:rPr>
                <w:sz w:val="18"/>
                <w:szCs w:val="18"/>
              </w:rPr>
            </w:pPr>
            <w:r w:rsidRPr="007E45AC">
              <w:rPr>
                <w:sz w:val="18"/>
                <w:szCs w:val="18"/>
              </w:rPr>
              <w:t>Stakeholder analysis and comprehensive Stakeholder Engagement Plan</w:t>
            </w:r>
          </w:p>
          <w:p w14:paraId="702199EB" w14:textId="0DEF71CD" w:rsidR="007E45AC" w:rsidRPr="007E45AC" w:rsidRDefault="007E45AC" w:rsidP="007E45AC">
            <w:pPr>
              <w:pStyle w:val="ListParagraph"/>
              <w:numPr>
                <w:ilvl w:val="0"/>
                <w:numId w:val="23"/>
              </w:numPr>
              <w:ind w:left="610" w:hanging="250"/>
              <w:rPr>
                <w:sz w:val="18"/>
                <w:szCs w:val="18"/>
              </w:rPr>
            </w:pPr>
            <w:r w:rsidRPr="007E45AC">
              <w:rPr>
                <w:sz w:val="18"/>
                <w:szCs w:val="18"/>
              </w:rPr>
              <w:t>Gender analysis and Gender Action Plan</w:t>
            </w:r>
          </w:p>
          <w:p w14:paraId="5BC7622A" w14:textId="36D8CAEC" w:rsidR="007E45AC" w:rsidRPr="007E45AC" w:rsidRDefault="007E45AC" w:rsidP="007E45AC">
            <w:pPr>
              <w:pStyle w:val="ListParagraph"/>
              <w:numPr>
                <w:ilvl w:val="0"/>
                <w:numId w:val="23"/>
              </w:numPr>
              <w:ind w:left="610" w:hanging="250"/>
              <w:rPr>
                <w:b/>
                <w:sz w:val="18"/>
                <w:szCs w:val="18"/>
              </w:rPr>
            </w:pPr>
            <w:r w:rsidRPr="007E45AC">
              <w:rPr>
                <w:sz w:val="18"/>
                <w:szCs w:val="18"/>
              </w:rPr>
              <w:t>Initial FPIC consultations, if needed</w:t>
            </w:r>
          </w:p>
        </w:tc>
      </w:tr>
      <w:tr w:rsidR="007E45AC" w14:paraId="112CD22E" w14:textId="77777777" w:rsidTr="002A2BCE">
        <w:tc>
          <w:tcPr>
            <w:tcW w:w="3510" w:type="dxa"/>
            <w:vAlign w:val="center"/>
          </w:tcPr>
          <w:p w14:paraId="562344F6"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lastRenderedPageBreak/>
              <w:t>Risk 2: Local governments and community associations might not have the capacity to implement project activities successfully.</w:t>
            </w:r>
          </w:p>
          <w:p w14:paraId="2219825C" w14:textId="77777777" w:rsidR="007E45AC" w:rsidRPr="002902C5" w:rsidRDefault="007E45AC" w:rsidP="0030730E">
            <w:pPr>
              <w:rPr>
                <w:rFonts w:ascii="Calibri" w:eastAsia="MS Mincho" w:hAnsi="Calibri" w:cs="Times New Roman"/>
                <w:b/>
                <w:sz w:val="18"/>
                <w:szCs w:val="18"/>
              </w:rPr>
            </w:pPr>
          </w:p>
          <w:p w14:paraId="290A1806" w14:textId="47AAD9F7" w:rsidR="007E45AC" w:rsidRPr="005B1FEC" w:rsidRDefault="007E45AC" w:rsidP="0030730E">
            <w:pPr>
              <w:rPr>
                <w:sz w:val="18"/>
                <w:szCs w:val="18"/>
              </w:rPr>
            </w:pPr>
            <w:r w:rsidRPr="002902C5">
              <w:rPr>
                <w:rFonts w:ascii="Calibri" w:eastAsia="MS Mincho" w:hAnsi="Calibri" w:cs="Times New Roman"/>
                <w:sz w:val="18"/>
                <w:szCs w:val="18"/>
              </w:rPr>
              <w:t>(Principle 1: q5)</w:t>
            </w:r>
          </w:p>
        </w:tc>
        <w:tc>
          <w:tcPr>
            <w:tcW w:w="1080" w:type="dxa"/>
          </w:tcPr>
          <w:p w14:paraId="0348661D" w14:textId="6A9F2D86" w:rsidR="007E45AC" w:rsidRPr="00C86F7C" w:rsidRDefault="007E45AC" w:rsidP="0030730E">
            <w:pPr>
              <w:rPr>
                <w:rFonts w:cs="Minion Pro"/>
                <w:sz w:val="18"/>
                <w:szCs w:val="18"/>
              </w:rPr>
            </w:pPr>
            <w:r w:rsidRPr="00C86F7C">
              <w:rPr>
                <w:rFonts w:cs="Minion Pro"/>
                <w:sz w:val="18"/>
                <w:szCs w:val="18"/>
              </w:rPr>
              <w:t xml:space="preserve">I = </w:t>
            </w:r>
            <w:r>
              <w:rPr>
                <w:rFonts w:cs="Minion Pro"/>
                <w:sz w:val="18"/>
                <w:szCs w:val="18"/>
              </w:rPr>
              <w:t>3</w:t>
            </w:r>
          </w:p>
          <w:p w14:paraId="0B822867" w14:textId="26CB91A5" w:rsidR="007E45AC" w:rsidRPr="00C86F7C" w:rsidRDefault="007E45AC" w:rsidP="0030730E">
            <w:pPr>
              <w:rPr>
                <w:sz w:val="18"/>
                <w:szCs w:val="18"/>
              </w:rPr>
            </w:pPr>
            <w:r w:rsidRPr="00C86F7C">
              <w:rPr>
                <w:rFonts w:cs="Minion Pro"/>
                <w:sz w:val="18"/>
                <w:szCs w:val="18"/>
              </w:rPr>
              <w:t xml:space="preserve">P = </w:t>
            </w:r>
            <w:r>
              <w:rPr>
                <w:rFonts w:cs="Minion Pro"/>
                <w:sz w:val="18"/>
                <w:szCs w:val="18"/>
              </w:rPr>
              <w:t>3</w:t>
            </w:r>
          </w:p>
        </w:tc>
        <w:tc>
          <w:tcPr>
            <w:tcW w:w="1170" w:type="dxa"/>
          </w:tcPr>
          <w:p w14:paraId="1B549DF0" w14:textId="2320903E" w:rsidR="007E45AC" w:rsidRPr="00372083" w:rsidRDefault="007E45AC" w:rsidP="0030730E">
            <w:pPr>
              <w:rPr>
                <w:b/>
                <w:sz w:val="18"/>
                <w:szCs w:val="18"/>
              </w:rPr>
            </w:pPr>
            <w:r>
              <w:rPr>
                <w:b/>
                <w:sz w:val="18"/>
                <w:szCs w:val="18"/>
              </w:rPr>
              <w:t>Moderate</w:t>
            </w:r>
          </w:p>
        </w:tc>
        <w:tc>
          <w:tcPr>
            <w:tcW w:w="2610" w:type="dxa"/>
            <w:gridSpan w:val="2"/>
          </w:tcPr>
          <w:p w14:paraId="183BB23C" w14:textId="77777777" w:rsidR="007E45AC" w:rsidRPr="00372083" w:rsidRDefault="007E45AC" w:rsidP="0030730E">
            <w:pPr>
              <w:rPr>
                <w:b/>
                <w:sz w:val="18"/>
                <w:szCs w:val="18"/>
              </w:rPr>
            </w:pPr>
          </w:p>
        </w:tc>
        <w:tc>
          <w:tcPr>
            <w:tcW w:w="4770" w:type="dxa"/>
            <w:gridSpan w:val="2"/>
            <w:vMerge/>
          </w:tcPr>
          <w:p w14:paraId="453158EA" w14:textId="77777777" w:rsidR="007E45AC" w:rsidRPr="00372083" w:rsidRDefault="007E45AC" w:rsidP="0030730E">
            <w:pPr>
              <w:rPr>
                <w:b/>
                <w:sz w:val="18"/>
                <w:szCs w:val="18"/>
              </w:rPr>
            </w:pPr>
          </w:p>
        </w:tc>
      </w:tr>
      <w:tr w:rsidR="007E45AC" w14:paraId="112B2C44" w14:textId="77777777" w:rsidTr="002E4A8B">
        <w:tc>
          <w:tcPr>
            <w:tcW w:w="3510" w:type="dxa"/>
          </w:tcPr>
          <w:p w14:paraId="30398A4B"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Risk 3: Poorly-informed or executed project activities could damage critical habitats and change landscape suitability for threatened wild cat species.</w:t>
            </w:r>
          </w:p>
          <w:p w14:paraId="2A7B1CFD" w14:textId="77777777" w:rsidR="007E45AC" w:rsidRPr="002902C5" w:rsidRDefault="007E45AC" w:rsidP="0030730E">
            <w:pPr>
              <w:rPr>
                <w:rFonts w:ascii="Calibri" w:eastAsia="MS Mincho" w:hAnsi="Calibri" w:cs="Times New Roman"/>
                <w:sz w:val="18"/>
                <w:szCs w:val="18"/>
              </w:rPr>
            </w:pPr>
          </w:p>
          <w:p w14:paraId="7F87DD50" w14:textId="5013EEA9" w:rsidR="007E45AC" w:rsidRPr="00372083" w:rsidRDefault="007E45AC" w:rsidP="0030730E">
            <w:pPr>
              <w:rPr>
                <w:b/>
                <w:sz w:val="18"/>
                <w:szCs w:val="18"/>
              </w:rPr>
            </w:pPr>
            <w:r w:rsidRPr="002902C5">
              <w:rPr>
                <w:rFonts w:ascii="Calibri" w:eastAsia="MS Mincho" w:hAnsi="Calibri" w:cs="Times New Roman"/>
                <w:sz w:val="18"/>
                <w:szCs w:val="18"/>
              </w:rPr>
              <w:t xml:space="preserve">(Principle 1: q5; Standard 1: </w:t>
            </w:r>
            <w:r>
              <w:rPr>
                <w:rFonts w:ascii="Calibri" w:hAnsi="Calibri" w:cs="Times New Roman"/>
                <w:sz w:val="18"/>
                <w:szCs w:val="18"/>
              </w:rPr>
              <w:t xml:space="preserve">1.1, </w:t>
            </w:r>
            <w:r w:rsidRPr="002902C5">
              <w:rPr>
                <w:rFonts w:ascii="Calibri" w:eastAsia="MS Mincho" w:hAnsi="Calibri" w:cs="Times New Roman"/>
                <w:sz w:val="18"/>
                <w:szCs w:val="18"/>
              </w:rPr>
              <w:t>1.2,</w:t>
            </w:r>
            <w:r>
              <w:rPr>
                <w:rFonts w:ascii="Calibri" w:hAnsi="Calibri" w:cs="Times New Roman"/>
                <w:sz w:val="18"/>
                <w:szCs w:val="18"/>
              </w:rPr>
              <w:t xml:space="preserve"> 1.3,</w:t>
            </w:r>
            <w:r w:rsidRPr="002902C5">
              <w:rPr>
                <w:rFonts w:ascii="Calibri" w:eastAsia="MS Mincho" w:hAnsi="Calibri" w:cs="Times New Roman"/>
                <w:sz w:val="18"/>
                <w:szCs w:val="18"/>
              </w:rPr>
              <w:t xml:space="preserve"> 1.4)</w:t>
            </w:r>
          </w:p>
        </w:tc>
        <w:tc>
          <w:tcPr>
            <w:tcW w:w="1080" w:type="dxa"/>
          </w:tcPr>
          <w:p w14:paraId="1A424585" w14:textId="0B46D416" w:rsidR="007E45AC" w:rsidRPr="00C86F7C" w:rsidRDefault="007E45AC" w:rsidP="0030730E">
            <w:pPr>
              <w:rPr>
                <w:rFonts w:cs="Minion Pro"/>
                <w:sz w:val="18"/>
                <w:szCs w:val="18"/>
              </w:rPr>
            </w:pPr>
            <w:r w:rsidRPr="00C86F7C">
              <w:rPr>
                <w:rFonts w:cs="Minion Pro"/>
                <w:sz w:val="18"/>
                <w:szCs w:val="18"/>
              </w:rPr>
              <w:t xml:space="preserve">I = </w:t>
            </w:r>
            <w:r>
              <w:rPr>
                <w:rFonts w:cs="Minion Pro"/>
                <w:sz w:val="18"/>
                <w:szCs w:val="18"/>
              </w:rPr>
              <w:t>4</w:t>
            </w:r>
          </w:p>
          <w:p w14:paraId="7B71B1BD" w14:textId="3743123B" w:rsidR="007E45AC" w:rsidRPr="00C86F7C" w:rsidRDefault="007E45AC" w:rsidP="0030730E">
            <w:pPr>
              <w:rPr>
                <w:sz w:val="18"/>
                <w:szCs w:val="18"/>
              </w:rPr>
            </w:pPr>
            <w:r w:rsidRPr="00C86F7C">
              <w:rPr>
                <w:rFonts w:cs="Minion Pro"/>
                <w:sz w:val="18"/>
                <w:szCs w:val="18"/>
              </w:rPr>
              <w:t xml:space="preserve">P = </w:t>
            </w:r>
            <w:r>
              <w:rPr>
                <w:rFonts w:cs="Minion Pro"/>
                <w:sz w:val="18"/>
                <w:szCs w:val="18"/>
              </w:rPr>
              <w:t>2</w:t>
            </w:r>
          </w:p>
        </w:tc>
        <w:tc>
          <w:tcPr>
            <w:tcW w:w="1170" w:type="dxa"/>
          </w:tcPr>
          <w:p w14:paraId="53BCA93A" w14:textId="3EBF26DB" w:rsidR="007E45AC" w:rsidRPr="00372083" w:rsidRDefault="007E45AC" w:rsidP="0030730E">
            <w:pPr>
              <w:rPr>
                <w:b/>
                <w:sz w:val="18"/>
                <w:szCs w:val="18"/>
              </w:rPr>
            </w:pPr>
            <w:r>
              <w:rPr>
                <w:b/>
                <w:sz w:val="18"/>
                <w:szCs w:val="18"/>
              </w:rPr>
              <w:t>Moderate</w:t>
            </w:r>
          </w:p>
        </w:tc>
        <w:tc>
          <w:tcPr>
            <w:tcW w:w="2610" w:type="dxa"/>
            <w:gridSpan w:val="2"/>
          </w:tcPr>
          <w:p w14:paraId="07B502CC" w14:textId="5A8F1032" w:rsidR="007E45AC" w:rsidRPr="005B1FEC" w:rsidRDefault="007E45AC" w:rsidP="0030730E">
            <w:pPr>
              <w:rPr>
                <w:sz w:val="18"/>
                <w:szCs w:val="18"/>
              </w:rPr>
            </w:pPr>
          </w:p>
        </w:tc>
        <w:tc>
          <w:tcPr>
            <w:tcW w:w="4770" w:type="dxa"/>
            <w:gridSpan w:val="2"/>
            <w:vMerge/>
          </w:tcPr>
          <w:p w14:paraId="4638EEBA" w14:textId="77777777" w:rsidR="007E45AC" w:rsidRPr="00372083" w:rsidRDefault="007E45AC" w:rsidP="0030730E">
            <w:pPr>
              <w:rPr>
                <w:b/>
                <w:sz w:val="18"/>
                <w:szCs w:val="18"/>
              </w:rPr>
            </w:pPr>
          </w:p>
        </w:tc>
      </w:tr>
      <w:tr w:rsidR="007E45AC" w14:paraId="3B5E75F6" w14:textId="77777777" w:rsidTr="002A2BCE">
        <w:tc>
          <w:tcPr>
            <w:tcW w:w="3510" w:type="dxa"/>
            <w:vAlign w:val="center"/>
          </w:tcPr>
          <w:p w14:paraId="27B7BC4D" w14:textId="70D44AA4"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Risk 4:</w:t>
            </w:r>
            <w:r w:rsidRPr="002902C5">
              <w:rPr>
                <w:rFonts w:ascii="Calibri" w:eastAsia="MS Mincho" w:hAnsi="Calibri" w:cs="Times New Roman"/>
              </w:rPr>
              <w:t xml:space="preserve"> </w:t>
            </w:r>
            <w:r w:rsidRPr="002902C5">
              <w:rPr>
                <w:rFonts w:ascii="Calibri" w:eastAsia="MS Mincho" w:hAnsi="Calibri" w:cs="Times New Roman"/>
                <w:sz w:val="18"/>
                <w:szCs w:val="18"/>
              </w:rPr>
              <w:t>Unintended negative consequences, social and/or environmental, from policy changes (up</w:t>
            </w:r>
            <w:r w:rsidR="007C1C10">
              <w:rPr>
                <w:rFonts w:ascii="Calibri" w:eastAsia="MS Mincho" w:hAnsi="Calibri" w:cs="Times New Roman"/>
                <w:sz w:val="18"/>
                <w:szCs w:val="18"/>
              </w:rPr>
              <w:t>s</w:t>
            </w:r>
            <w:r w:rsidRPr="002902C5">
              <w:rPr>
                <w:rFonts w:ascii="Calibri" w:eastAsia="MS Mincho" w:hAnsi="Calibri" w:cs="Times New Roman"/>
                <w:sz w:val="18"/>
                <w:szCs w:val="18"/>
              </w:rPr>
              <w:t>tream impacts)</w:t>
            </w:r>
            <w:r>
              <w:rPr>
                <w:rFonts w:ascii="Calibri" w:hAnsi="Calibri" w:cs="Times New Roman"/>
                <w:sz w:val="18"/>
                <w:szCs w:val="18"/>
              </w:rPr>
              <w:t>.</w:t>
            </w:r>
            <w:r w:rsidRPr="002902C5">
              <w:rPr>
                <w:rFonts w:ascii="Calibri" w:eastAsia="MS Mincho" w:hAnsi="Calibri" w:cs="Times New Roman"/>
                <w:sz w:val="18"/>
                <w:szCs w:val="18"/>
              </w:rPr>
              <w:t xml:space="preserve"> </w:t>
            </w:r>
          </w:p>
          <w:p w14:paraId="4EBF8B2C" w14:textId="77777777" w:rsidR="007E45AC" w:rsidRPr="002902C5" w:rsidRDefault="007E45AC" w:rsidP="0030730E">
            <w:pPr>
              <w:rPr>
                <w:rFonts w:ascii="Calibri" w:eastAsia="MS Mincho" w:hAnsi="Calibri" w:cs="Times New Roman"/>
                <w:sz w:val="18"/>
                <w:szCs w:val="18"/>
              </w:rPr>
            </w:pPr>
          </w:p>
          <w:p w14:paraId="71BB9A27" w14:textId="1FDBD365" w:rsidR="007E45AC" w:rsidRDefault="007E45AC" w:rsidP="0071043E">
            <w:pPr>
              <w:rPr>
                <w:sz w:val="18"/>
                <w:szCs w:val="18"/>
              </w:rPr>
            </w:pPr>
            <w:r w:rsidRPr="002902C5">
              <w:rPr>
                <w:rFonts w:ascii="Calibri" w:eastAsia="MS Mincho" w:hAnsi="Calibri" w:cs="Times New Roman"/>
                <w:sz w:val="18"/>
                <w:szCs w:val="18"/>
              </w:rPr>
              <w:t>(Standard 1: 1.11)</w:t>
            </w:r>
          </w:p>
        </w:tc>
        <w:tc>
          <w:tcPr>
            <w:tcW w:w="1080" w:type="dxa"/>
          </w:tcPr>
          <w:p w14:paraId="32C6B484" w14:textId="77777777" w:rsidR="007E45AC" w:rsidRDefault="007E45AC" w:rsidP="0030730E">
            <w:pPr>
              <w:rPr>
                <w:rFonts w:cs="Minion Pro"/>
                <w:sz w:val="18"/>
                <w:szCs w:val="18"/>
              </w:rPr>
            </w:pPr>
            <w:r>
              <w:rPr>
                <w:rFonts w:cs="Minion Pro"/>
                <w:sz w:val="18"/>
                <w:szCs w:val="18"/>
              </w:rPr>
              <w:t>I = 4</w:t>
            </w:r>
          </w:p>
          <w:p w14:paraId="4515CD5E" w14:textId="0C0801F9" w:rsidR="007E45AC" w:rsidRPr="00C86F7C" w:rsidRDefault="007E45AC" w:rsidP="0030730E">
            <w:pPr>
              <w:rPr>
                <w:rFonts w:cs="Minion Pro"/>
                <w:sz w:val="18"/>
                <w:szCs w:val="18"/>
              </w:rPr>
            </w:pPr>
            <w:r>
              <w:rPr>
                <w:rFonts w:cs="Minion Pro"/>
                <w:sz w:val="18"/>
                <w:szCs w:val="18"/>
              </w:rPr>
              <w:t>P = 3</w:t>
            </w:r>
          </w:p>
        </w:tc>
        <w:tc>
          <w:tcPr>
            <w:tcW w:w="1170" w:type="dxa"/>
          </w:tcPr>
          <w:p w14:paraId="70746B15" w14:textId="2A407504" w:rsidR="007E45AC" w:rsidRDefault="007E45AC" w:rsidP="0030730E">
            <w:pPr>
              <w:rPr>
                <w:b/>
                <w:sz w:val="18"/>
                <w:szCs w:val="18"/>
              </w:rPr>
            </w:pPr>
            <w:r>
              <w:rPr>
                <w:b/>
                <w:sz w:val="18"/>
                <w:szCs w:val="18"/>
              </w:rPr>
              <w:t>High</w:t>
            </w:r>
          </w:p>
        </w:tc>
        <w:tc>
          <w:tcPr>
            <w:tcW w:w="2610" w:type="dxa"/>
            <w:gridSpan w:val="2"/>
          </w:tcPr>
          <w:p w14:paraId="3D3CFFF6" w14:textId="77777777" w:rsidR="007E45AC" w:rsidRPr="00372083" w:rsidRDefault="007E45AC" w:rsidP="0030730E">
            <w:pPr>
              <w:rPr>
                <w:b/>
                <w:sz w:val="18"/>
                <w:szCs w:val="18"/>
              </w:rPr>
            </w:pPr>
          </w:p>
        </w:tc>
        <w:tc>
          <w:tcPr>
            <w:tcW w:w="4770" w:type="dxa"/>
            <w:gridSpan w:val="2"/>
            <w:vMerge/>
          </w:tcPr>
          <w:p w14:paraId="6834599B" w14:textId="4DEDE8D4" w:rsidR="007E45AC" w:rsidRPr="00372083" w:rsidRDefault="007E45AC" w:rsidP="0030730E">
            <w:pPr>
              <w:rPr>
                <w:b/>
                <w:sz w:val="18"/>
                <w:szCs w:val="18"/>
              </w:rPr>
            </w:pPr>
          </w:p>
        </w:tc>
      </w:tr>
      <w:tr w:rsidR="007E45AC" w14:paraId="4B0A1953" w14:textId="77777777" w:rsidTr="002A2BCE">
        <w:tc>
          <w:tcPr>
            <w:tcW w:w="3510" w:type="dxa"/>
            <w:vAlign w:val="center"/>
          </w:tcPr>
          <w:p w14:paraId="43542412"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 xml:space="preserve">Risk 5: Project activities and approaches might not fully incorporate or reflect views of women and girls, and ensure equitable opportunities for their involvement and benefit. </w:t>
            </w:r>
          </w:p>
          <w:p w14:paraId="0DF8AB79" w14:textId="77777777" w:rsidR="007E45AC" w:rsidRPr="002902C5" w:rsidRDefault="007E45AC" w:rsidP="0030730E">
            <w:pPr>
              <w:rPr>
                <w:rFonts w:ascii="Calibri" w:eastAsia="MS Mincho" w:hAnsi="Calibri" w:cs="Times New Roman"/>
                <w:sz w:val="18"/>
                <w:szCs w:val="18"/>
              </w:rPr>
            </w:pPr>
          </w:p>
          <w:p w14:paraId="404DE640" w14:textId="17D6E7C6" w:rsidR="007E45AC" w:rsidRPr="00372083" w:rsidRDefault="007E45AC" w:rsidP="0030730E">
            <w:pPr>
              <w:rPr>
                <w:b/>
                <w:sz w:val="18"/>
                <w:szCs w:val="18"/>
              </w:rPr>
            </w:pPr>
            <w:r w:rsidRPr="002902C5">
              <w:rPr>
                <w:rFonts w:ascii="Calibri" w:eastAsia="MS Mincho" w:hAnsi="Calibri" w:cs="Times New Roman"/>
                <w:sz w:val="18"/>
                <w:szCs w:val="18"/>
              </w:rPr>
              <w:t>(Principle 2: q2, q4)</w:t>
            </w:r>
          </w:p>
        </w:tc>
        <w:tc>
          <w:tcPr>
            <w:tcW w:w="1080" w:type="dxa"/>
          </w:tcPr>
          <w:p w14:paraId="0786EBE9" w14:textId="5B20C8EE" w:rsidR="007E45AC" w:rsidRPr="00C86F7C" w:rsidRDefault="007E45AC" w:rsidP="0030730E">
            <w:pPr>
              <w:rPr>
                <w:rFonts w:cs="Minion Pro"/>
                <w:sz w:val="18"/>
                <w:szCs w:val="18"/>
              </w:rPr>
            </w:pPr>
            <w:r w:rsidRPr="00C86F7C">
              <w:rPr>
                <w:rFonts w:cs="Minion Pro"/>
                <w:sz w:val="18"/>
                <w:szCs w:val="18"/>
              </w:rPr>
              <w:t xml:space="preserve">I = </w:t>
            </w:r>
            <w:r>
              <w:rPr>
                <w:rFonts w:cs="Minion Pro"/>
                <w:sz w:val="18"/>
                <w:szCs w:val="18"/>
              </w:rPr>
              <w:t>3</w:t>
            </w:r>
          </w:p>
          <w:p w14:paraId="5E150822" w14:textId="13C94086" w:rsidR="007E45AC" w:rsidRPr="00C86F7C" w:rsidRDefault="007E45AC" w:rsidP="0030730E">
            <w:pPr>
              <w:rPr>
                <w:sz w:val="18"/>
                <w:szCs w:val="18"/>
              </w:rPr>
            </w:pPr>
            <w:r w:rsidRPr="00C86F7C">
              <w:rPr>
                <w:rFonts w:cs="Minion Pro"/>
                <w:sz w:val="18"/>
                <w:szCs w:val="18"/>
              </w:rPr>
              <w:t xml:space="preserve">P = </w:t>
            </w:r>
            <w:r>
              <w:rPr>
                <w:rFonts w:cs="Minion Pro"/>
                <w:sz w:val="18"/>
                <w:szCs w:val="18"/>
              </w:rPr>
              <w:t>2</w:t>
            </w:r>
          </w:p>
        </w:tc>
        <w:tc>
          <w:tcPr>
            <w:tcW w:w="1170" w:type="dxa"/>
          </w:tcPr>
          <w:p w14:paraId="67E5ECEC" w14:textId="797E78D7" w:rsidR="007E45AC" w:rsidRPr="00372083" w:rsidRDefault="007E45AC" w:rsidP="0030730E">
            <w:pPr>
              <w:rPr>
                <w:b/>
                <w:sz w:val="18"/>
                <w:szCs w:val="18"/>
              </w:rPr>
            </w:pPr>
            <w:r>
              <w:rPr>
                <w:b/>
                <w:sz w:val="18"/>
                <w:szCs w:val="18"/>
              </w:rPr>
              <w:t>Moderate</w:t>
            </w:r>
          </w:p>
        </w:tc>
        <w:tc>
          <w:tcPr>
            <w:tcW w:w="2610" w:type="dxa"/>
            <w:gridSpan w:val="2"/>
          </w:tcPr>
          <w:p w14:paraId="7ABEFB23" w14:textId="77777777" w:rsidR="007E45AC" w:rsidRPr="00372083" w:rsidRDefault="007E45AC" w:rsidP="0030730E">
            <w:pPr>
              <w:rPr>
                <w:b/>
                <w:sz w:val="18"/>
                <w:szCs w:val="18"/>
              </w:rPr>
            </w:pPr>
          </w:p>
        </w:tc>
        <w:tc>
          <w:tcPr>
            <w:tcW w:w="4770" w:type="dxa"/>
            <w:gridSpan w:val="2"/>
            <w:vMerge/>
          </w:tcPr>
          <w:p w14:paraId="0BB57304" w14:textId="77777777" w:rsidR="007E45AC" w:rsidRPr="00372083" w:rsidRDefault="007E45AC" w:rsidP="0030730E">
            <w:pPr>
              <w:rPr>
                <w:b/>
                <w:sz w:val="18"/>
                <w:szCs w:val="18"/>
              </w:rPr>
            </w:pPr>
          </w:p>
        </w:tc>
      </w:tr>
      <w:tr w:rsidR="007E45AC" w14:paraId="1258FA9F" w14:textId="77777777" w:rsidTr="002A2BCE">
        <w:tc>
          <w:tcPr>
            <w:tcW w:w="3510" w:type="dxa"/>
            <w:vAlign w:val="center"/>
          </w:tcPr>
          <w:p w14:paraId="7D658380"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Risk 6: Anti-poaching patrols could pose safety risks to local communities if they are not properly trained, managed or overseen.</w:t>
            </w:r>
          </w:p>
          <w:p w14:paraId="3A72C780" w14:textId="77777777" w:rsidR="007E45AC" w:rsidRPr="002902C5" w:rsidRDefault="007E45AC" w:rsidP="0030730E">
            <w:pPr>
              <w:rPr>
                <w:rFonts w:ascii="Calibri" w:eastAsia="MS Mincho" w:hAnsi="Calibri" w:cs="Times New Roman"/>
                <w:sz w:val="18"/>
                <w:szCs w:val="18"/>
              </w:rPr>
            </w:pPr>
          </w:p>
          <w:p w14:paraId="24B47A10" w14:textId="605C5908" w:rsidR="007E45AC" w:rsidRDefault="007E45AC" w:rsidP="0030730E">
            <w:pPr>
              <w:rPr>
                <w:sz w:val="18"/>
                <w:szCs w:val="18"/>
              </w:rPr>
            </w:pPr>
            <w:r w:rsidRPr="002902C5">
              <w:rPr>
                <w:rFonts w:ascii="Calibri" w:eastAsia="MS Mincho" w:hAnsi="Calibri" w:cs="Times New Roman"/>
                <w:sz w:val="18"/>
                <w:szCs w:val="18"/>
              </w:rPr>
              <w:t>(Principle 1, q8; Standard 3: 3.1</w:t>
            </w:r>
            <w:r>
              <w:rPr>
                <w:rFonts w:ascii="Calibri" w:hAnsi="Calibri" w:cs="Times New Roman"/>
                <w:sz w:val="18"/>
                <w:szCs w:val="18"/>
              </w:rPr>
              <w:t>, 3.9</w:t>
            </w:r>
            <w:r w:rsidRPr="002902C5">
              <w:rPr>
                <w:rFonts w:ascii="Calibri" w:eastAsia="MS Mincho" w:hAnsi="Calibri" w:cs="Times New Roman"/>
                <w:sz w:val="18"/>
                <w:szCs w:val="18"/>
              </w:rPr>
              <w:t>)</w:t>
            </w:r>
          </w:p>
        </w:tc>
        <w:tc>
          <w:tcPr>
            <w:tcW w:w="1080" w:type="dxa"/>
          </w:tcPr>
          <w:p w14:paraId="5B08871A" w14:textId="77777777" w:rsidR="007E45AC" w:rsidRDefault="007E45AC" w:rsidP="0030730E">
            <w:pPr>
              <w:rPr>
                <w:rFonts w:cs="Minion Pro"/>
                <w:sz w:val="18"/>
                <w:szCs w:val="18"/>
              </w:rPr>
            </w:pPr>
            <w:r>
              <w:rPr>
                <w:rFonts w:cs="Minion Pro"/>
                <w:sz w:val="18"/>
                <w:szCs w:val="18"/>
              </w:rPr>
              <w:t>I = 4</w:t>
            </w:r>
          </w:p>
          <w:p w14:paraId="3ABB842A" w14:textId="11AAC09B" w:rsidR="007E45AC" w:rsidRDefault="007E45AC" w:rsidP="0030730E">
            <w:pPr>
              <w:rPr>
                <w:rFonts w:cs="Minion Pro"/>
                <w:sz w:val="18"/>
                <w:szCs w:val="18"/>
              </w:rPr>
            </w:pPr>
            <w:r>
              <w:rPr>
                <w:rFonts w:cs="Minion Pro"/>
                <w:sz w:val="18"/>
                <w:szCs w:val="18"/>
              </w:rPr>
              <w:t>P = 3</w:t>
            </w:r>
          </w:p>
        </w:tc>
        <w:tc>
          <w:tcPr>
            <w:tcW w:w="1170" w:type="dxa"/>
          </w:tcPr>
          <w:p w14:paraId="46CA1C9E" w14:textId="6AA7C6E8" w:rsidR="007E45AC" w:rsidRDefault="007E45AC" w:rsidP="0030730E">
            <w:pPr>
              <w:rPr>
                <w:b/>
                <w:sz w:val="18"/>
                <w:szCs w:val="18"/>
              </w:rPr>
            </w:pPr>
            <w:r>
              <w:rPr>
                <w:b/>
                <w:sz w:val="18"/>
                <w:szCs w:val="18"/>
              </w:rPr>
              <w:t>High</w:t>
            </w:r>
          </w:p>
        </w:tc>
        <w:tc>
          <w:tcPr>
            <w:tcW w:w="2610" w:type="dxa"/>
            <w:gridSpan w:val="2"/>
          </w:tcPr>
          <w:p w14:paraId="52B8BFAD" w14:textId="77777777" w:rsidR="007E45AC" w:rsidRPr="00372083" w:rsidRDefault="007E45AC" w:rsidP="0030730E">
            <w:pPr>
              <w:rPr>
                <w:b/>
                <w:sz w:val="18"/>
                <w:szCs w:val="18"/>
              </w:rPr>
            </w:pPr>
          </w:p>
        </w:tc>
        <w:tc>
          <w:tcPr>
            <w:tcW w:w="4770" w:type="dxa"/>
            <w:gridSpan w:val="2"/>
            <w:vMerge/>
          </w:tcPr>
          <w:p w14:paraId="149E275E" w14:textId="77777777" w:rsidR="007E45AC" w:rsidRPr="00372083" w:rsidRDefault="007E45AC" w:rsidP="0030730E">
            <w:pPr>
              <w:rPr>
                <w:b/>
                <w:sz w:val="18"/>
                <w:szCs w:val="18"/>
              </w:rPr>
            </w:pPr>
          </w:p>
        </w:tc>
      </w:tr>
      <w:tr w:rsidR="007E45AC" w14:paraId="3C0841A2" w14:textId="77777777" w:rsidTr="002A2BCE">
        <w:tc>
          <w:tcPr>
            <w:tcW w:w="3510" w:type="dxa"/>
            <w:vAlign w:val="center"/>
          </w:tcPr>
          <w:p w14:paraId="45A9A6DF"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 xml:space="preserve">Risk 7: Anti-poaching patrols could face safety risks during encounters with poachers. </w:t>
            </w:r>
          </w:p>
          <w:p w14:paraId="1873A3B6" w14:textId="77777777" w:rsidR="007E45AC" w:rsidRPr="002902C5" w:rsidRDefault="007E45AC" w:rsidP="0030730E">
            <w:pPr>
              <w:rPr>
                <w:rFonts w:ascii="Calibri" w:eastAsia="MS Mincho" w:hAnsi="Calibri" w:cs="Times New Roman"/>
                <w:sz w:val="18"/>
                <w:szCs w:val="18"/>
              </w:rPr>
            </w:pPr>
          </w:p>
          <w:p w14:paraId="6F64FD8B" w14:textId="275C49C5" w:rsidR="007E45AC" w:rsidRDefault="007E45AC" w:rsidP="0030730E">
            <w:pPr>
              <w:rPr>
                <w:sz w:val="18"/>
                <w:szCs w:val="18"/>
              </w:rPr>
            </w:pPr>
            <w:r w:rsidRPr="002902C5">
              <w:rPr>
                <w:rFonts w:ascii="Calibri" w:eastAsia="MS Mincho" w:hAnsi="Calibri" w:cs="Times New Roman"/>
                <w:sz w:val="18"/>
                <w:szCs w:val="18"/>
              </w:rPr>
              <w:t>(Principle 1, q8; Standard 3, 3.1)</w:t>
            </w:r>
          </w:p>
        </w:tc>
        <w:tc>
          <w:tcPr>
            <w:tcW w:w="1080" w:type="dxa"/>
          </w:tcPr>
          <w:p w14:paraId="71275C9B" w14:textId="77777777" w:rsidR="007E45AC" w:rsidRDefault="007E45AC" w:rsidP="0030730E">
            <w:pPr>
              <w:rPr>
                <w:rFonts w:cs="Minion Pro"/>
                <w:sz w:val="18"/>
                <w:szCs w:val="18"/>
              </w:rPr>
            </w:pPr>
            <w:r>
              <w:rPr>
                <w:rFonts w:cs="Minion Pro"/>
                <w:sz w:val="18"/>
                <w:szCs w:val="18"/>
              </w:rPr>
              <w:t>I = 4</w:t>
            </w:r>
          </w:p>
          <w:p w14:paraId="105FA068" w14:textId="57099533" w:rsidR="007E45AC" w:rsidRDefault="007E45AC" w:rsidP="0030730E">
            <w:pPr>
              <w:rPr>
                <w:rFonts w:cs="Minion Pro"/>
                <w:sz w:val="18"/>
                <w:szCs w:val="18"/>
              </w:rPr>
            </w:pPr>
            <w:r>
              <w:rPr>
                <w:rFonts w:cs="Minion Pro"/>
                <w:sz w:val="18"/>
                <w:szCs w:val="18"/>
              </w:rPr>
              <w:t>P = 4</w:t>
            </w:r>
          </w:p>
        </w:tc>
        <w:tc>
          <w:tcPr>
            <w:tcW w:w="1170" w:type="dxa"/>
          </w:tcPr>
          <w:p w14:paraId="3F996044" w14:textId="47942CC9" w:rsidR="007E45AC" w:rsidRDefault="007E45AC" w:rsidP="0030730E">
            <w:pPr>
              <w:rPr>
                <w:b/>
                <w:sz w:val="18"/>
                <w:szCs w:val="18"/>
              </w:rPr>
            </w:pPr>
            <w:r>
              <w:rPr>
                <w:b/>
                <w:sz w:val="18"/>
                <w:szCs w:val="18"/>
              </w:rPr>
              <w:t>High</w:t>
            </w:r>
          </w:p>
        </w:tc>
        <w:tc>
          <w:tcPr>
            <w:tcW w:w="2610" w:type="dxa"/>
            <w:gridSpan w:val="2"/>
          </w:tcPr>
          <w:p w14:paraId="7A0EEA2A" w14:textId="77777777" w:rsidR="007E45AC" w:rsidRPr="00372083" w:rsidRDefault="007E45AC" w:rsidP="0030730E">
            <w:pPr>
              <w:rPr>
                <w:b/>
                <w:sz w:val="18"/>
                <w:szCs w:val="18"/>
              </w:rPr>
            </w:pPr>
          </w:p>
        </w:tc>
        <w:tc>
          <w:tcPr>
            <w:tcW w:w="4770" w:type="dxa"/>
            <w:gridSpan w:val="2"/>
            <w:vMerge/>
          </w:tcPr>
          <w:p w14:paraId="293A48D1" w14:textId="77777777" w:rsidR="007E45AC" w:rsidRPr="00372083" w:rsidRDefault="007E45AC" w:rsidP="0030730E">
            <w:pPr>
              <w:rPr>
                <w:b/>
                <w:sz w:val="18"/>
                <w:szCs w:val="18"/>
              </w:rPr>
            </w:pPr>
          </w:p>
        </w:tc>
      </w:tr>
      <w:tr w:rsidR="007E45AC" w14:paraId="507C659C" w14:textId="77777777" w:rsidTr="002A2BCE">
        <w:tc>
          <w:tcPr>
            <w:tcW w:w="3510" w:type="dxa"/>
            <w:vAlign w:val="center"/>
          </w:tcPr>
          <w:p w14:paraId="42E9E77B"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 xml:space="preserve">Risk 8: Project activities could have inadvertent adverse impacts such as sharing knowledge in a way that is not culturally </w:t>
            </w:r>
            <w:r w:rsidRPr="002902C5">
              <w:rPr>
                <w:rFonts w:ascii="Calibri" w:eastAsia="MS Mincho" w:hAnsi="Calibri" w:cs="Times New Roman"/>
                <w:sz w:val="18"/>
                <w:szCs w:val="18"/>
              </w:rPr>
              <w:lastRenderedPageBreak/>
              <w:t>appropriate</w:t>
            </w:r>
            <w:r>
              <w:rPr>
                <w:rFonts w:ascii="Calibri" w:hAnsi="Calibri" w:cs="Times New Roman"/>
                <w:sz w:val="18"/>
                <w:szCs w:val="18"/>
              </w:rPr>
              <w:t>.</w:t>
            </w:r>
          </w:p>
          <w:p w14:paraId="226232B3" w14:textId="77777777" w:rsidR="007E45AC" w:rsidRPr="002902C5" w:rsidRDefault="007E45AC" w:rsidP="0030730E">
            <w:pPr>
              <w:rPr>
                <w:rFonts w:ascii="Calibri" w:eastAsia="MS Mincho" w:hAnsi="Calibri" w:cs="Times New Roman"/>
                <w:sz w:val="18"/>
                <w:szCs w:val="18"/>
              </w:rPr>
            </w:pPr>
          </w:p>
          <w:p w14:paraId="5D7A59D2" w14:textId="2C3FCEC7" w:rsidR="007E45AC" w:rsidRDefault="007E45AC" w:rsidP="0030730E">
            <w:pPr>
              <w:rPr>
                <w:sz w:val="18"/>
                <w:szCs w:val="18"/>
              </w:rPr>
            </w:pPr>
            <w:r w:rsidRPr="002902C5">
              <w:rPr>
                <w:rFonts w:ascii="Calibri" w:eastAsia="MS Mincho" w:hAnsi="Calibri" w:cs="Times New Roman"/>
                <w:sz w:val="18"/>
                <w:szCs w:val="18"/>
              </w:rPr>
              <w:t>(Standard 4: 4.1</w:t>
            </w:r>
            <w:r>
              <w:rPr>
                <w:rFonts w:ascii="Calibri" w:hAnsi="Calibri" w:cs="Times New Roman"/>
                <w:sz w:val="18"/>
                <w:szCs w:val="18"/>
              </w:rPr>
              <w:t>, 4.2</w:t>
            </w:r>
            <w:r w:rsidRPr="002902C5">
              <w:rPr>
                <w:rFonts w:ascii="Calibri" w:eastAsia="MS Mincho" w:hAnsi="Calibri" w:cs="Times New Roman"/>
                <w:sz w:val="18"/>
                <w:szCs w:val="18"/>
              </w:rPr>
              <w:t>; Standard 6: 6.</w:t>
            </w:r>
            <w:r>
              <w:rPr>
                <w:rFonts w:ascii="Calibri" w:hAnsi="Calibri" w:cs="Times New Roman"/>
                <w:sz w:val="18"/>
                <w:szCs w:val="18"/>
              </w:rPr>
              <w:t>9</w:t>
            </w:r>
            <w:r w:rsidRPr="002902C5">
              <w:rPr>
                <w:rFonts w:ascii="Calibri" w:eastAsia="MS Mincho" w:hAnsi="Calibri" w:cs="Times New Roman"/>
                <w:sz w:val="18"/>
                <w:szCs w:val="18"/>
              </w:rPr>
              <w:t>)</w:t>
            </w:r>
          </w:p>
        </w:tc>
        <w:tc>
          <w:tcPr>
            <w:tcW w:w="1080" w:type="dxa"/>
          </w:tcPr>
          <w:p w14:paraId="2EA46383" w14:textId="77777777" w:rsidR="007E45AC" w:rsidRDefault="007E45AC" w:rsidP="0030730E">
            <w:pPr>
              <w:rPr>
                <w:rFonts w:cs="Minion Pro"/>
                <w:sz w:val="18"/>
                <w:szCs w:val="18"/>
              </w:rPr>
            </w:pPr>
            <w:r>
              <w:rPr>
                <w:rFonts w:cs="Minion Pro"/>
                <w:sz w:val="18"/>
                <w:szCs w:val="18"/>
              </w:rPr>
              <w:lastRenderedPageBreak/>
              <w:t>I = 4</w:t>
            </w:r>
          </w:p>
          <w:p w14:paraId="39D4B0DF" w14:textId="030FA174" w:rsidR="007E45AC" w:rsidRPr="00C86F7C" w:rsidRDefault="007E45AC" w:rsidP="0030730E">
            <w:pPr>
              <w:rPr>
                <w:rFonts w:cs="Minion Pro"/>
                <w:sz w:val="18"/>
                <w:szCs w:val="18"/>
              </w:rPr>
            </w:pPr>
            <w:r>
              <w:rPr>
                <w:rFonts w:cs="Minion Pro"/>
                <w:sz w:val="18"/>
                <w:szCs w:val="18"/>
              </w:rPr>
              <w:t>P = 1</w:t>
            </w:r>
          </w:p>
        </w:tc>
        <w:tc>
          <w:tcPr>
            <w:tcW w:w="1170" w:type="dxa"/>
          </w:tcPr>
          <w:p w14:paraId="2F921DD9" w14:textId="6A205E69" w:rsidR="007E45AC" w:rsidRPr="00372083" w:rsidRDefault="007E45AC" w:rsidP="0030730E">
            <w:pPr>
              <w:rPr>
                <w:b/>
                <w:sz w:val="18"/>
                <w:szCs w:val="18"/>
              </w:rPr>
            </w:pPr>
            <w:r>
              <w:rPr>
                <w:b/>
                <w:sz w:val="18"/>
                <w:szCs w:val="18"/>
              </w:rPr>
              <w:t>Moderate</w:t>
            </w:r>
          </w:p>
        </w:tc>
        <w:tc>
          <w:tcPr>
            <w:tcW w:w="2610" w:type="dxa"/>
            <w:gridSpan w:val="2"/>
          </w:tcPr>
          <w:p w14:paraId="138FE893" w14:textId="77777777" w:rsidR="007E45AC" w:rsidRPr="00372083" w:rsidRDefault="007E45AC" w:rsidP="0030730E">
            <w:pPr>
              <w:rPr>
                <w:b/>
                <w:sz w:val="18"/>
                <w:szCs w:val="18"/>
              </w:rPr>
            </w:pPr>
          </w:p>
        </w:tc>
        <w:tc>
          <w:tcPr>
            <w:tcW w:w="4770" w:type="dxa"/>
            <w:gridSpan w:val="2"/>
            <w:vMerge/>
          </w:tcPr>
          <w:p w14:paraId="12DA019B" w14:textId="77777777" w:rsidR="007E45AC" w:rsidRPr="00372083" w:rsidRDefault="007E45AC" w:rsidP="0030730E">
            <w:pPr>
              <w:rPr>
                <w:b/>
                <w:sz w:val="18"/>
                <w:szCs w:val="18"/>
              </w:rPr>
            </w:pPr>
          </w:p>
        </w:tc>
      </w:tr>
      <w:tr w:rsidR="007E45AC" w14:paraId="682F1994" w14:textId="77777777" w:rsidTr="002A2BCE">
        <w:tc>
          <w:tcPr>
            <w:tcW w:w="3510" w:type="dxa"/>
            <w:vAlign w:val="center"/>
          </w:tcPr>
          <w:p w14:paraId="55837AFC"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Risk 9:  Increased enforcement and new approaches to HWC/WC could change current access to PAs</w:t>
            </w:r>
            <w:r>
              <w:rPr>
                <w:rFonts w:ascii="Calibri" w:hAnsi="Calibri" w:cs="Times New Roman"/>
                <w:sz w:val="18"/>
                <w:szCs w:val="18"/>
              </w:rPr>
              <w:t>, buffer zones</w:t>
            </w:r>
            <w:r w:rsidRPr="002902C5">
              <w:rPr>
                <w:rFonts w:ascii="Calibri" w:eastAsia="MS Mincho" w:hAnsi="Calibri" w:cs="Times New Roman"/>
                <w:sz w:val="18"/>
                <w:szCs w:val="18"/>
              </w:rPr>
              <w:t xml:space="preserve"> and resources, potentially leading to economic displacement </w:t>
            </w:r>
            <w:r>
              <w:rPr>
                <w:rFonts w:ascii="Calibri" w:hAnsi="Calibri" w:cs="Times New Roman"/>
                <w:sz w:val="18"/>
                <w:szCs w:val="18"/>
              </w:rPr>
              <w:t>and/or changes to property rights.</w:t>
            </w:r>
          </w:p>
          <w:p w14:paraId="3012080A" w14:textId="77777777" w:rsidR="007E45AC" w:rsidRPr="002902C5" w:rsidRDefault="007E45AC" w:rsidP="0030730E">
            <w:pPr>
              <w:rPr>
                <w:rFonts w:ascii="Calibri" w:eastAsia="MS Mincho" w:hAnsi="Calibri" w:cs="Times New Roman"/>
                <w:sz w:val="18"/>
                <w:szCs w:val="18"/>
              </w:rPr>
            </w:pPr>
          </w:p>
          <w:p w14:paraId="799F5FA4" w14:textId="3ECB3017" w:rsidR="007E45AC" w:rsidRDefault="007E45AC" w:rsidP="0030730E">
            <w:pPr>
              <w:rPr>
                <w:sz w:val="18"/>
                <w:szCs w:val="18"/>
              </w:rPr>
            </w:pPr>
            <w:r w:rsidRPr="002902C5">
              <w:rPr>
                <w:rFonts w:ascii="Calibri" w:eastAsia="MS Mincho" w:hAnsi="Calibri" w:cs="Times New Roman"/>
                <w:sz w:val="18"/>
                <w:szCs w:val="18"/>
              </w:rPr>
              <w:t>(</w:t>
            </w:r>
            <w:proofErr w:type="spellStart"/>
            <w:r w:rsidRPr="002902C5">
              <w:rPr>
                <w:rFonts w:ascii="Calibri" w:eastAsia="MS Mincho" w:hAnsi="Calibri" w:cs="Times New Roman"/>
                <w:sz w:val="18"/>
                <w:szCs w:val="18"/>
              </w:rPr>
              <w:t>Princple</w:t>
            </w:r>
            <w:proofErr w:type="spellEnd"/>
            <w:r w:rsidRPr="002902C5">
              <w:rPr>
                <w:rFonts w:ascii="Calibri" w:eastAsia="MS Mincho" w:hAnsi="Calibri" w:cs="Times New Roman"/>
                <w:sz w:val="18"/>
                <w:szCs w:val="18"/>
              </w:rPr>
              <w:t xml:space="preserve"> 1: q3; Standard 1: 1.3; Standard 5: 5.</w:t>
            </w:r>
            <w:r>
              <w:rPr>
                <w:rFonts w:ascii="Calibri" w:hAnsi="Calibri" w:cs="Times New Roman"/>
                <w:sz w:val="18"/>
                <w:szCs w:val="18"/>
              </w:rPr>
              <w:t>2</w:t>
            </w:r>
            <w:r w:rsidRPr="002902C5">
              <w:rPr>
                <w:rFonts w:ascii="Calibri" w:eastAsia="MS Mincho" w:hAnsi="Calibri" w:cs="Times New Roman"/>
                <w:sz w:val="18"/>
                <w:szCs w:val="18"/>
              </w:rPr>
              <w:t>, 5.</w:t>
            </w:r>
            <w:r>
              <w:rPr>
                <w:rFonts w:ascii="Calibri" w:hAnsi="Calibri" w:cs="Times New Roman"/>
                <w:sz w:val="18"/>
                <w:szCs w:val="18"/>
              </w:rPr>
              <w:t>4</w:t>
            </w:r>
            <w:r w:rsidRPr="002902C5">
              <w:rPr>
                <w:rFonts w:ascii="Calibri" w:eastAsia="MS Mincho" w:hAnsi="Calibri" w:cs="Times New Roman"/>
                <w:sz w:val="18"/>
                <w:szCs w:val="18"/>
              </w:rPr>
              <w:t>)</w:t>
            </w:r>
          </w:p>
        </w:tc>
        <w:tc>
          <w:tcPr>
            <w:tcW w:w="1080" w:type="dxa"/>
          </w:tcPr>
          <w:p w14:paraId="39765E34" w14:textId="77777777" w:rsidR="007E45AC" w:rsidRDefault="007E45AC" w:rsidP="0030730E">
            <w:pPr>
              <w:rPr>
                <w:rFonts w:cs="Minion Pro"/>
                <w:sz w:val="18"/>
                <w:szCs w:val="18"/>
              </w:rPr>
            </w:pPr>
            <w:r>
              <w:rPr>
                <w:rFonts w:cs="Minion Pro"/>
                <w:sz w:val="18"/>
                <w:szCs w:val="18"/>
              </w:rPr>
              <w:t>I = 3</w:t>
            </w:r>
          </w:p>
          <w:p w14:paraId="72250D56" w14:textId="11E0BC1F" w:rsidR="007E45AC" w:rsidRPr="00C86F7C" w:rsidRDefault="007E45AC" w:rsidP="0030730E">
            <w:pPr>
              <w:rPr>
                <w:rFonts w:cs="Minion Pro"/>
                <w:sz w:val="18"/>
                <w:szCs w:val="18"/>
              </w:rPr>
            </w:pPr>
            <w:r>
              <w:rPr>
                <w:rFonts w:cs="Minion Pro"/>
                <w:sz w:val="18"/>
                <w:szCs w:val="18"/>
              </w:rPr>
              <w:t>P = 3</w:t>
            </w:r>
          </w:p>
        </w:tc>
        <w:tc>
          <w:tcPr>
            <w:tcW w:w="1170" w:type="dxa"/>
          </w:tcPr>
          <w:p w14:paraId="127D98B4" w14:textId="75F93B1F" w:rsidR="007E45AC" w:rsidRPr="00372083" w:rsidRDefault="007E45AC" w:rsidP="0030730E">
            <w:pPr>
              <w:rPr>
                <w:b/>
                <w:sz w:val="18"/>
                <w:szCs w:val="18"/>
              </w:rPr>
            </w:pPr>
            <w:r>
              <w:rPr>
                <w:b/>
                <w:sz w:val="18"/>
                <w:szCs w:val="18"/>
              </w:rPr>
              <w:t>Moderate</w:t>
            </w:r>
          </w:p>
        </w:tc>
        <w:tc>
          <w:tcPr>
            <w:tcW w:w="2610" w:type="dxa"/>
            <w:gridSpan w:val="2"/>
          </w:tcPr>
          <w:p w14:paraId="7757D9A0" w14:textId="77777777" w:rsidR="007E45AC" w:rsidRPr="00372083" w:rsidRDefault="007E45AC" w:rsidP="0030730E">
            <w:pPr>
              <w:rPr>
                <w:b/>
                <w:sz w:val="18"/>
                <w:szCs w:val="18"/>
              </w:rPr>
            </w:pPr>
          </w:p>
        </w:tc>
        <w:tc>
          <w:tcPr>
            <w:tcW w:w="4770" w:type="dxa"/>
            <w:gridSpan w:val="2"/>
            <w:vMerge/>
          </w:tcPr>
          <w:p w14:paraId="0044BDB9" w14:textId="77777777" w:rsidR="007E45AC" w:rsidRPr="00372083" w:rsidRDefault="007E45AC" w:rsidP="0030730E">
            <w:pPr>
              <w:rPr>
                <w:b/>
                <w:sz w:val="18"/>
                <w:szCs w:val="18"/>
              </w:rPr>
            </w:pPr>
          </w:p>
        </w:tc>
      </w:tr>
      <w:tr w:rsidR="007E45AC" w14:paraId="4372A817" w14:textId="77777777" w:rsidTr="002A2BCE">
        <w:tc>
          <w:tcPr>
            <w:tcW w:w="3510" w:type="dxa"/>
            <w:vAlign w:val="center"/>
          </w:tcPr>
          <w:p w14:paraId="7938533E" w14:textId="77777777" w:rsidR="007E45AC" w:rsidRPr="002902C5" w:rsidRDefault="007E45AC" w:rsidP="0030730E">
            <w:pPr>
              <w:rPr>
                <w:rFonts w:ascii="Calibri" w:eastAsia="MS Mincho" w:hAnsi="Calibri" w:cs="Times New Roman"/>
                <w:sz w:val="18"/>
                <w:szCs w:val="18"/>
              </w:rPr>
            </w:pPr>
            <w:r w:rsidRPr="002902C5">
              <w:rPr>
                <w:rFonts w:ascii="Calibri" w:eastAsia="MS Mincho" w:hAnsi="Calibri" w:cs="Times New Roman"/>
                <w:sz w:val="18"/>
                <w:szCs w:val="18"/>
              </w:rPr>
              <w:t>Risk 10: Project outcomes will be vulnerable to potential impacts of climate change</w:t>
            </w:r>
            <w:r>
              <w:rPr>
                <w:rFonts w:ascii="Calibri" w:hAnsi="Calibri" w:cs="Times New Roman"/>
                <w:sz w:val="18"/>
                <w:szCs w:val="18"/>
              </w:rPr>
              <w:t>.</w:t>
            </w:r>
            <w:r w:rsidRPr="002902C5">
              <w:rPr>
                <w:rFonts w:ascii="Calibri" w:eastAsia="MS Mincho" w:hAnsi="Calibri" w:cs="Times New Roman"/>
                <w:sz w:val="18"/>
                <w:szCs w:val="18"/>
              </w:rPr>
              <w:t xml:space="preserve"> </w:t>
            </w:r>
          </w:p>
          <w:p w14:paraId="00DE5BED" w14:textId="77777777" w:rsidR="007E45AC" w:rsidRPr="002902C5" w:rsidRDefault="007E45AC" w:rsidP="0030730E">
            <w:pPr>
              <w:rPr>
                <w:rFonts w:ascii="Calibri" w:eastAsia="MS Mincho" w:hAnsi="Calibri" w:cs="Times New Roman"/>
                <w:sz w:val="18"/>
                <w:szCs w:val="18"/>
              </w:rPr>
            </w:pPr>
          </w:p>
          <w:p w14:paraId="4E1A356B" w14:textId="6D7943E0" w:rsidR="007E45AC" w:rsidRDefault="007E45AC" w:rsidP="0030730E">
            <w:pPr>
              <w:rPr>
                <w:sz w:val="18"/>
                <w:szCs w:val="18"/>
              </w:rPr>
            </w:pPr>
            <w:r w:rsidRPr="002902C5">
              <w:rPr>
                <w:rFonts w:ascii="Calibri" w:eastAsia="MS Mincho" w:hAnsi="Calibri" w:cs="Times New Roman"/>
                <w:sz w:val="18"/>
                <w:szCs w:val="18"/>
              </w:rPr>
              <w:t>(Standard 2: 2.2)</w:t>
            </w:r>
          </w:p>
        </w:tc>
        <w:tc>
          <w:tcPr>
            <w:tcW w:w="1080" w:type="dxa"/>
          </w:tcPr>
          <w:p w14:paraId="156D0455" w14:textId="77777777" w:rsidR="007E45AC" w:rsidRDefault="007E45AC" w:rsidP="0030730E">
            <w:pPr>
              <w:rPr>
                <w:rFonts w:cs="Minion Pro"/>
                <w:sz w:val="18"/>
                <w:szCs w:val="18"/>
              </w:rPr>
            </w:pPr>
            <w:r>
              <w:rPr>
                <w:rFonts w:cs="Minion Pro"/>
                <w:sz w:val="18"/>
                <w:szCs w:val="18"/>
              </w:rPr>
              <w:t>I = 2</w:t>
            </w:r>
          </w:p>
          <w:p w14:paraId="5E801B2B" w14:textId="735F4A47" w:rsidR="007E45AC" w:rsidRPr="00C86F7C" w:rsidRDefault="007E45AC" w:rsidP="0030730E">
            <w:pPr>
              <w:rPr>
                <w:rFonts w:cs="Minion Pro"/>
                <w:sz w:val="18"/>
                <w:szCs w:val="18"/>
              </w:rPr>
            </w:pPr>
            <w:r>
              <w:rPr>
                <w:rFonts w:cs="Minion Pro"/>
                <w:sz w:val="18"/>
                <w:szCs w:val="18"/>
              </w:rPr>
              <w:t>P = 2</w:t>
            </w:r>
          </w:p>
        </w:tc>
        <w:tc>
          <w:tcPr>
            <w:tcW w:w="1170" w:type="dxa"/>
          </w:tcPr>
          <w:p w14:paraId="739F1D88" w14:textId="47A7C20D" w:rsidR="007E45AC" w:rsidRPr="00372083" w:rsidRDefault="007E45AC" w:rsidP="0030730E">
            <w:pPr>
              <w:rPr>
                <w:b/>
                <w:sz w:val="18"/>
                <w:szCs w:val="18"/>
              </w:rPr>
            </w:pPr>
            <w:r>
              <w:rPr>
                <w:b/>
                <w:sz w:val="18"/>
                <w:szCs w:val="18"/>
              </w:rPr>
              <w:t>Low</w:t>
            </w:r>
          </w:p>
        </w:tc>
        <w:tc>
          <w:tcPr>
            <w:tcW w:w="2610" w:type="dxa"/>
            <w:gridSpan w:val="2"/>
          </w:tcPr>
          <w:p w14:paraId="3A3CCD3D" w14:textId="77777777" w:rsidR="007E45AC" w:rsidRPr="00372083" w:rsidRDefault="007E45AC" w:rsidP="0030730E">
            <w:pPr>
              <w:rPr>
                <w:b/>
                <w:sz w:val="18"/>
                <w:szCs w:val="18"/>
              </w:rPr>
            </w:pPr>
          </w:p>
        </w:tc>
        <w:tc>
          <w:tcPr>
            <w:tcW w:w="4770" w:type="dxa"/>
            <w:gridSpan w:val="2"/>
            <w:vMerge/>
          </w:tcPr>
          <w:p w14:paraId="499A671D" w14:textId="77777777" w:rsidR="007E45AC" w:rsidRPr="00372083" w:rsidRDefault="007E45AC" w:rsidP="0030730E">
            <w:pPr>
              <w:rPr>
                <w:b/>
                <w:sz w:val="18"/>
                <w:szCs w:val="18"/>
              </w:rPr>
            </w:pPr>
          </w:p>
        </w:tc>
      </w:tr>
      <w:tr w:rsidR="002E4A8B" w14:paraId="2F6AE21E" w14:textId="77777777" w:rsidTr="002A2BCE">
        <w:trPr>
          <w:trHeight w:val="593"/>
        </w:trPr>
        <w:tc>
          <w:tcPr>
            <w:tcW w:w="3510" w:type="dxa"/>
            <w:vMerge w:val="restart"/>
          </w:tcPr>
          <w:p w14:paraId="4F52E464" w14:textId="77777777" w:rsidR="002E4A8B" w:rsidRDefault="002E4A8B" w:rsidP="002E4A8B">
            <w:pPr>
              <w:rPr>
                <w:b/>
                <w:szCs w:val="20"/>
              </w:rPr>
            </w:pPr>
          </w:p>
        </w:tc>
        <w:tc>
          <w:tcPr>
            <w:tcW w:w="9630" w:type="dxa"/>
            <w:gridSpan w:val="6"/>
            <w:shd w:val="clear" w:color="auto" w:fill="0F243E" w:themeFill="text2" w:themeFillShade="80"/>
          </w:tcPr>
          <w:p w14:paraId="3A10BE8C" w14:textId="2CC2EA45" w:rsidR="002E4A8B" w:rsidRPr="00372083" w:rsidRDefault="002E4A8B" w:rsidP="002E4A8B">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2E4A8B" w14:paraId="5419C075" w14:textId="77777777" w:rsidTr="002A2BCE">
        <w:tc>
          <w:tcPr>
            <w:tcW w:w="3510" w:type="dxa"/>
            <w:vMerge/>
          </w:tcPr>
          <w:p w14:paraId="327169E6" w14:textId="77777777" w:rsidR="002E4A8B" w:rsidRPr="00372083" w:rsidRDefault="002E4A8B" w:rsidP="002E4A8B">
            <w:pPr>
              <w:rPr>
                <w:sz w:val="18"/>
                <w:szCs w:val="18"/>
                <w:u w:val="single"/>
              </w:rPr>
            </w:pPr>
          </w:p>
        </w:tc>
        <w:tc>
          <w:tcPr>
            <w:tcW w:w="4883" w:type="dxa"/>
            <w:gridSpan w:val="5"/>
          </w:tcPr>
          <w:p w14:paraId="2A2B5D2C" w14:textId="531BAFF1" w:rsidR="002E4A8B" w:rsidRPr="00372083" w:rsidRDefault="002E4A8B" w:rsidP="002E4A8B">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2E4A8B" w:rsidRPr="00372083" w:rsidRDefault="002E4A8B" w:rsidP="002E4A8B">
            <w:pPr>
              <w:jc w:val="center"/>
              <w:rPr>
                <w:b/>
                <w:sz w:val="18"/>
                <w:szCs w:val="18"/>
              </w:rPr>
            </w:pPr>
            <w:r>
              <w:rPr>
                <w:b/>
                <w:sz w:val="18"/>
                <w:szCs w:val="18"/>
              </w:rPr>
              <w:t>Comments</w:t>
            </w:r>
          </w:p>
        </w:tc>
      </w:tr>
      <w:tr w:rsidR="002E4A8B" w14:paraId="2378BCC1" w14:textId="77777777" w:rsidTr="002A2BCE">
        <w:trPr>
          <w:trHeight w:val="251"/>
        </w:trPr>
        <w:tc>
          <w:tcPr>
            <w:tcW w:w="3510" w:type="dxa"/>
            <w:vMerge/>
          </w:tcPr>
          <w:p w14:paraId="7AF92304" w14:textId="77777777" w:rsidR="002E4A8B" w:rsidRDefault="002E4A8B" w:rsidP="002E4A8B">
            <w:pPr>
              <w:rPr>
                <w:rFonts w:cs="Minion Pro"/>
                <w:sz w:val="18"/>
                <w:szCs w:val="18"/>
              </w:rPr>
            </w:pPr>
          </w:p>
        </w:tc>
        <w:tc>
          <w:tcPr>
            <w:tcW w:w="4343" w:type="dxa"/>
            <w:gridSpan w:val="3"/>
            <w:shd w:val="clear" w:color="auto" w:fill="auto"/>
          </w:tcPr>
          <w:p w14:paraId="42C13A7A" w14:textId="77777777" w:rsidR="002E4A8B" w:rsidRPr="00C055DB" w:rsidRDefault="002E4A8B" w:rsidP="002E4A8B">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2E4A8B" w:rsidRPr="00372083" w:rsidRDefault="002E4A8B" w:rsidP="002E4A8B">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2E4A8B" w:rsidRPr="00372083" w:rsidRDefault="002E4A8B" w:rsidP="002E4A8B">
            <w:pPr>
              <w:rPr>
                <w:b/>
                <w:sz w:val="18"/>
                <w:szCs w:val="18"/>
              </w:rPr>
            </w:pPr>
          </w:p>
        </w:tc>
      </w:tr>
      <w:tr w:rsidR="002E4A8B" w14:paraId="0E5DEE2A" w14:textId="77777777" w:rsidTr="002A2BCE">
        <w:tc>
          <w:tcPr>
            <w:tcW w:w="3510" w:type="dxa"/>
            <w:vMerge/>
          </w:tcPr>
          <w:p w14:paraId="69EE0AE8" w14:textId="77777777" w:rsidR="002E4A8B" w:rsidRDefault="002E4A8B" w:rsidP="002E4A8B">
            <w:pPr>
              <w:rPr>
                <w:rFonts w:cs="Minion Pro"/>
                <w:sz w:val="18"/>
                <w:szCs w:val="18"/>
              </w:rPr>
            </w:pPr>
          </w:p>
        </w:tc>
        <w:tc>
          <w:tcPr>
            <w:tcW w:w="4343" w:type="dxa"/>
            <w:gridSpan w:val="3"/>
            <w:shd w:val="clear" w:color="auto" w:fill="auto"/>
          </w:tcPr>
          <w:p w14:paraId="6C255B77" w14:textId="77777777" w:rsidR="002E4A8B" w:rsidRPr="00C055DB" w:rsidRDefault="002E4A8B" w:rsidP="002E4A8B">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2E4A8B" w:rsidRPr="00372083" w:rsidRDefault="002E4A8B" w:rsidP="002E4A8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2E4A8B" w:rsidRPr="00372083" w:rsidRDefault="002E4A8B" w:rsidP="002E4A8B">
            <w:pPr>
              <w:rPr>
                <w:b/>
                <w:sz w:val="18"/>
                <w:szCs w:val="18"/>
              </w:rPr>
            </w:pPr>
          </w:p>
        </w:tc>
      </w:tr>
      <w:tr w:rsidR="002E4A8B" w14:paraId="71EB9E80" w14:textId="77777777" w:rsidTr="002A2BCE">
        <w:tc>
          <w:tcPr>
            <w:tcW w:w="3510" w:type="dxa"/>
            <w:vMerge/>
          </w:tcPr>
          <w:p w14:paraId="44867C87" w14:textId="77777777" w:rsidR="002E4A8B" w:rsidRDefault="002E4A8B" w:rsidP="002E4A8B">
            <w:pPr>
              <w:rPr>
                <w:rFonts w:cs="Minion Pro"/>
                <w:sz w:val="18"/>
                <w:szCs w:val="18"/>
              </w:rPr>
            </w:pPr>
          </w:p>
        </w:tc>
        <w:tc>
          <w:tcPr>
            <w:tcW w:w="4343" w:type="dxa"/>
            <w:gridSpan w:val="3"/>
            <w:shd w:val="clear" w:color="auto" w:fill="auto"/>
          </w:tcPr>
          <w:p w14:paraId="76641484" w14:textId="77777777" w:rsidR="002E4A8B" w:rsidRPr="00C055DB" w:rsidRDefault="002E4A8B" w:rsidP="002E4A8B">
            <w:pPr>
              <w:jc w:val="right"/>
              <w:rPr>
                <w:rFonts w:cs="Minion Pro"/>
                <w:b/>
                <w:i/>
                <w:sz w:val="18"/>
                <w:szCs w:val="18"/>
              </w:rPr>
            </w:pPr>
            <w:r w:rsidRPr="00C055DB">
              <w:rPr>
                <w:rFonts w:cs="Minion Pro"/>
                <w:b/>
                <w:i/>
                <w:sz w:val="18"/>
                <w:szCs w:val="18"/>
              </w:rPr>
              <w:t>High Risk</w:t>
            </w:r>
          </w:p>
        </w:tc>
        <w:tc>
          <w:tcPr>
            <w:tcW w:w="540" w:type="dxa"/>
            <w:gridSpan w:val="2"/>
          </w:tcPr>
          <w:p w14:paraId="7874051C" w14:textId="00078854" w:rsidR="002E4A8B" w:rsidRPr="00372083" w:rsidRDefault="002E4A8B" w:rsidP="002E4A8B">
            <w:pPr>
              <w:ind w:left="-2230" w:firstLine="2230"/>
              <w:rPr>
                <w:b/>
                <w:sz w:val="18"/>
                <w:szCs w:val="18"/>
              </w:rPr>
            </w:pPr>
            <w:r>
              <w:rPr>
                <w:rFonts w:ascii="Segoe UI Symbol" w:hAnsi="Segoe UI Symbol" w:cs="Segoe UI Symbol"/>
                <w:b/>
                <w:szCs w:val="20"/>
              </w:rPr>
              <w:t>X</w:t>
            </w:r>
          </w:p>
        </w:tc>
        <w:tc>
          <w:tcPr>
            <w:tcW w:w="4747" w:type="dxa"/>
          </w:tcPr>
          <w:p w14:paraId="15F4F870" w14:textId="77777777" w:rsidR="002E4A8B" w:rsidRPr="00372083" w:rsidRDefault="002E4A8B" w:rsidP="002E4A8B">
            <w:pPr>
              <w:rPr>
                <w:b/>
                <w:sz w:val="18"/>
                <w:szCs w:val="18"/>
              </w:rPr>
            </w:pPr>
          </w:p>
        </w:tc>
      </w:tr>
      <w:tr w:rsidR="002E4A8B" w:rsidRPr="00EA5477" w14:paraId="29357305" w14:textId="77777777" w:rsidTr="002A2BCE">
        <w:trPr>
          <w:trHeight w:val="782"/>
        </w:trPr>
        <w:tc>
          <w:tcPr>
            <w:tcW w:w="3510" w:type="dxa"/>
            <w:vMerge w:val="restart"/>
            <w:shd w:val="clear" w:color="auto" w:fill="FFFFFF" w:themeFill="background1"/>
          </w:tcPr>
          <w:p w14:paraId="772C8F14" w14:textId="77777777" w:rsidR="002E4A8B" w:rsidRDefault="002E4A8B" w:rsidP="002E4A8B">
            <w:pPr>
              <w:ind w:hanging="18"/>
              <w:rPr>
                <w:b/>
                <w:szCs w:val="20"/>
              </w:rPr>
            </w:pPr>
          </w:p>
        </w:tc>
        <w:tc>
          <w:tcPr>
            <w:tcW w:w="4883" w:type="dxa"/>
            <w:gridSpan w:val="5"/>
            <w:shd w:val="clear" w:color="auto" w:fill="0F243E" w:themeFill="text2" w:themeFillShade="80"/>
            <w:vAlign w:val="center"/>
          </w:tcPr>
          <w:p w14:paraId="79492C79" w14:textId="26B2A043" w:rsidR="002E4A8B" w:rsidRPr="00EA5477" w:rsidRDefault="002E4A8B" w:rsidP="002E4A8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2E4A8B" w:rsidRPr="00EA5477" w:rsidRDefault="002E4A8B" w:rsidP="002E4A8B">
            <w:pPr>
              <w:tabs>
                <w:tab w:val="left" w:pos="360"/>
              </w:tabs>
              <w:jc w:val="center"/>
              <w:rPr>
                <w:b/>
                <w:szCs w:val="20"/>
              </w:rPr>
            </w:pPr>
          </w:p>
        </w:tc>
      </w:tr>
      <w:tr w:rsidR="002E4A8B" w:rsidRPr="00EF0E8F" w14:paraId="623F5CAF" w14:textId="77777777" w:rsidTr="002A2BCE">
        <w:trPr>
          <w:trHeight w:val="296"/>
        </w:trPr>
        <w:tc>
          <w:tcPr>
            <w:tcW w:w="3510" w:type="dxa"/>
            <w:vMerge/>
            <w:shd w:val="clear" w:color="auto" w:fill="FFFFFF" w:themeFill="background1"/>
          </w:tcPr>
          <w:p w14:paraId="028A459C" w14:textId="77777777" w:rsidR="002E4A8B" w:rsidRPr="00372083" w:rsidRDefault="002E4A8B" w:rsidP="002E4A8B">
            <w:pPr>
              <w:rPr>
                <w:sz w:val="18"/>
                <w:szCs w:val="18"/>
                <w:u w:val="single"/>
              </w:rPr>
            </w:pPr>
          </w:p>
        </w:tc>
        <w:tc>
          <w:tcPr>
            <w:tcW w:w="4883" w:type="dxa"/>
            <w:gridSpan w:val="5"/>
          </w:tcPr>
          <w:p w14:paraId="0D9D2D65" w14:textId="77672693" w:rsidR="002E4A8B" w:rsidRPr="00372083" w:rsidRDefault="002E4A8B" w:rsidP="002E4A8B">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E4A8B" w:rsidRPr="00772787" w:rsidRDefault="002E4A8B" w:rsidP="002E4A8B">
            <w:pPr>
              <w:tabs>
                <w:tab w:val="left" w:pos="360"/>
              </w:tabs>
              <w:jc w:val="center"/>
              <w:rPr>
                <w:b/>
                <w:sz w:val="18"/>
                <w:szCs w:val="18"/>
              </w:rPr>
            </w:pPr>
            <w:r w:rsidRPr="00772787">
              <w:rPr>
                <w:b/>
                <w:sz w:val="18"/>
                <w:szCs w:val="18"/>
              </w:rPr>
              <w:t>Comments</w:t>
            </w:r>
          </w:p>
        </w:tc>
      </w:tr>
      <w:tr w:rsidR="002E4A8B" w:rsidRPr="00EF0E8F" w14:paraId="32A97D58" w14:textId="77777777" w:rsidTr="002A2BCE">
        <w:tc>
          <w:tcPr>
            <w:tcW w:w="3510" w:type="dxa"/>
            <w:vMerge/>
            <w:shd w:val="clear" w:color="auto" w:fill="FFFFFF" w:themeFill="background1"/>
          </w:tcPr>
          <w:p w14:paraId="33D393F2"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56DF73BE" w14:textId="77777777" w:rsidR="002E4A8B" w:rsidRPr="00C055DB" w:rsidRDefault="002E4A8B" w:rsidP="002E4A8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9BF0A4D"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18E5603B" w14:textId="77777777" w:rsidR="002E4A8B" w:rsidRPr="00EF0E8F" w:rsidRDefault="002E4A8B" w:rsidP="002E4A8B">
            <w:pPr>
              <w:tabs>
                <w:tab w:val="left" w:pos="360"/>
              </w:tabs>
              <w:rPr>
                <w:sz w:val="18"/>
                <w:szCs w:val="18"/>
              </w:rPr>
            </w:pPr>
          </w:p>
        </w:tc>
      </w:tr>
      <w:tr w:rsidR="002E4A8B" w:rsidRPr="00EF0E8F" w14:paraId="145F1571" w14:textId="77777777" w:rsidTr="002A2BCE">
        <w:tc>
          <w:tcPr>
            <w:tcW w:w="3510" w:type="dxa"/>
            <w:vMerge/>
            <w:shd w:val="clear" w:color="auto" w:fill="FFFFFF" w:themeFill="background1"/>
          </w:tcPr>
          <w:p w14:paraId="2B3A5E81"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794843EA" w14:textId="77777777" w:rsidR="002E4A8B" w:rsidRPr="00C055DB" w:rsidRDefault="002E4A8B" w:rsidP="002E4A8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2CA445A6"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2ED74AD8" w14:textId="77777777" w:rsidR="002E4A8B" w:rsidRPr="00EF0E8F" w:rsidRDefault="002E4A8B" w:rsidP="002E4A8B">
            <w:pPr>
              <w:tabs>
                <w:tab w:val="left" w:pos="360"/>
              </w:tabs>
              <w:rPr>
                <w:sz w:val="18"/>
                <w:szCs w:val="18"/>
              </w:rPr>
            </w:pPr>
          </w:p>
        </w:tc>
      </w:tr>
      <w:tr w:rsidR="002E4A8B" w:rsidRPr="00EF0E8F" w14:paraId="1F74573A" w14:textId="77777777" w:rsidTr="002A2BCE">
        <w:tc>
          <w:tcPr>
            <w:tcW w:w="3510" w:type="dxa"/>
            <w:vMerge/>
            <w:shd w:val="clear" w:color="auto" w:fill="FFFFFF" w:themeFill="background1"/>
          </w:tcPr>
          <w:p w14:paraId="1EC642C8"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36FCA502" w14:textId="77777777" w:rsidR="002E4A8B" w:rsidRPr="00C055DB" w:rsidRDefault="002E4A8B" w:rsidP="002E4A8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29C736D3" w:rsidR="002E4A8B" w:rsidRPr="00C1508F" w:rsidRDefault="00C1508F" w:rsidP="002E4A8B">
            <w:pPr>
              <w:tabs>
                <w:tab w:val="left" w:pos="360"/>
              </w:tabs>
              <w:rPr>
                <w:b/>
                <w:sz w:val="18"/>
                <w:szCs w:val="18"/>
              </w:rPr>
            </w:pPr>
            <w:r>
              <w:rPr>
                <w:b/>
                <w:sz w:val="18"/>
                <w:szCs w:val="18"/>
              </w:rPr>
              <w:t>X</w:t>
            </w:r>
          </w:p>
        </w:tc>
        <w:tc>
          <w:tcPr>
            <w:tcW w:w="4747" w:type="dxa"/>
          </w:tcPr>
          <w:p w14:paraId="3017E336" w14:textId="77777777" w:rsidR="002E4A8B" w:rsidRPr="00EF0E8F" w:rsidRDefault="002E4A8B" w:rsidP="002E4A8B">
            <w:pPr>
              <w:tabs>
                <w:tab w:val="left" w:pos="360"/>
              </w:tabs>
              <w:rPr>
                <w:sz w:val="18"/>
                <w:szCs w:val="18"/>
              </w:rPr>
            </w:pPr>
          </w:p>
        </w:tc>
      </w:tr>
      <w:tr w:rsidR="002E4A8B" w:rsidRPr="00EF0E8F" w14:paraId="217C78D8" w14:textId="77777777" w:rsidTr="002A2BCE">
        <w:tc>
          <w:tcPr>
            <w:tcW w:w="3510" w:type="dxa"/>
            <w:vMerge/>
            <w:shd w:val="clear" w:color="auto" w:fill="FFFFFF" w:themeFill="background1"/>
          </w:tcPr>
          <w:p w14:paraId="4D42FFEC"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1E60CEE3" w14:textId="77777777" w:rsidR="002E4A8B" w:rsidRPr="00C055DB" w:rsidRDefault="002E4A8B" w:rsidP="002E4A8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2E4A8B" w:rsidRPr="00EF0E8F" w:rsidRDefault="002E4A8B" w:rsidP="002E4A8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2E4A8B" w:rsidRPr="00EF0E8F" w:rsidRDefault="002E4A8B" w:rsidP="002E4A8B">
            <w:pPr>
              <w:tabs>
                <w:tab w:val="left" w:pos="360"/>
              </w:tabs>
              <w:rPr>
                <w:sz w:val="18"/>
                <w:szCs w:val="18"/>
              </w:rPr>
            </w:pPr>
          </w:p>
        </w:tc>
      </w:tr>
      <w:tr w:rsidR="002E4A8B" w:rsidRPr="00EF0E8F" w14:paraId="2C625810" w14:textId="77777777" w:rsidTr="002A2BCE">
        <w:tc>
          <w:tcPr>
            <w:tcW w:w="3510" w:type="dxa"/>
            <w:vMerge/>
            <w:shd w:val="clear" w:color="auto" w:fill="FFFFFF" w:themeFill="background1"/>
          </w:tcPr>
          <w:p w14:paraId="3F34BF39"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6598D5DB" w14:textId="77777777" w:rsidR="002E4A8B" w:rsidRPr="00C055DB" w:rsidRDefault="002E4A8B" w:rsidP="002E4A8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47B18D5"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4A1896E9" w14:textId="77777777" w:rsidR="002E4A8B" w:rsidRPr="00EF0E8F" w:rsidRDefault="002E4A8B" w:rsidP="002E4A8B">
            <w:pPr>
              <w:tabs>
                <w:tab w:val="left" w:pos="360"/>
              </w:tabs>
              <w:rPr>
                <w:sz w:val="18"/>
                <w:szCs w:val="18"/>
              </w:rPr>
            </w:pPr>
          </w:p>
        </w:tc>
      </w:tr>
      <w:tr w:rsidR="002E4A8B" w:rsidRPr="00EF0E8F" w14:paraId="3C79D6DB" w14:textId="77777777" w:rsidTr="002A2BCE">
        <w:tc>
          <w:tcPr>
            <w:tcW w:w="3510" w:type="dxa"/>
            <w:vMerge/>
            <w:shd w:val="clear" w:color="auto" w:fill="FFFFFF" w:themeFill="background1"/>
          </w:tcPr>
          <w:p w14:paraId="53D93B79"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4FCB6CBE" w14:textId="77777777" w:rsidR="002E4A8B" w:rsidRPr="00C055DB" w:rsidRDefault="002E4A8B" w:rsidP="002E4A8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5FC8FE80"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07BEC435" w14:textId="77777777" w:rsidR="002E4A8B" w:rsidRPr="00EF0E8F" w:rsidRDefault="002E4A8B" w:rsidP="002E4A8B">
            <w:pPr>
              <w:tabs>
                <w:tab w:val="left" w:pos="360"/>
              </w:tabs>
              <w:rPr>
                <w:sz w:val="18"/>
                <w:szCs w:val="18"/>
              </w:rPr>
            </w:pPr>
          </w:p>
        </w:tc>
      </w:tr>
      <w:tr w:rsidR="002E4A8B" w:rsidRPr="00EF0E8F" w14:paraId="0D706578" w14:textId="77777777" w:rsidTr="002A2BCE">
        <w:tc>
          <w:tcPr>
            <w:tcW w:w="3510" w:type="dxa"/>
            <w:vMerge/>
            <w:shd w:val="clear" w:color="auto" w:fill="FFFFFF" w:themeFill="background1"/>
          </w:tcPr>
          <w:p w14:paraId="293472D7"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5C266F6E" w14:textId="77777777" w:rsidR="002E4A8B" w:rsidRPr="00C055DB" w:rsidRDefault="002E4A8B" w:rsidP="002E4A8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51D4CAAE"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5D2C7424" w14:textId="77777777" w:rsidR="002E4A8B" w:rsidRPr="00EF0E8F" w:rsidRDefault="002E4A8B" w:rsidP="002E4A8B">
            <w:pPr>
              <w:tabs>
                <w:tab w:val="left" w:pos="360"/>
              </w:tabs>
              <w:rPr>
                <w:sz w:val="18"/>
                <w:szCs w:val="18"/>
              </w:rPr>
            </w:pPr>
          </w:p>
        </w:tc>
      </w:tr>
      <w:tr w:rsidR="002E4A8B" w:rsidRPr="00EF0E8F" w14:paraId="5B5AFF62" w14:textId="77777777" w:rsidTr="002A2BCE">
        <w:tc>
          <w:tcPr>
            <w:tcW w:w="3510" w:type="dxa"/>
            <w:vMerge/>
            <w:shd w:val="clear" w:color="auto" w:fill="FFFFFF" w:themeFill="background1"/>
          </w:tcPr>
          <w:p w14:paraId="2BF15EA6"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65C8C6AB" w14:textId="77777777" w:rsidR="002E4A8B" w:rsidRPr="00C055DB" w:rsidRDefault="002E4A8B" w:rsidP="002E4A8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5183B5A4" w:rsidR="002E4A8B" w:rsidRPr="00EF0E8F" w:rsidRDefault="00C1508F" w:rsidP="002E4A8B">
            <w:pPr>
              <w:tabs>
                <w:tab w:val="left" w:pos="360"/>
              </w:tabs>
              <w:rPr>
                <w:sz w:val="18"/>
                <w:szCs w:val="18"/>
              </w:rPr>
            </w:pPr>
            <w:r>
              <w:rPr>
                <w:rFonts w:ascii="Segoe UI Symbol" w:hAnsi="Segoe UI Symbol" w:cs="Segoe UI Symbol"/>
                <w:b/>
                <w:szCs w:val="20"/>
              </w:rPr>
              <w:t>X</w:t>
            </w:r>
          </w:p>
        </w:tc>
        <w:tc>
          <w:tcPr>
            <w:tcW w:w="4747" w:type="dxa"/>
          </w:tcPr>
          <w:p w14:paraId="0D1E381A" w14:textId="77777777" w:rsidR="002E4A8B" w:rsidRPr="00EF0E8F" w:rsidRDefault="002E4A8B" w:rsidP="002E4A8B">
            <w:pPr>
              <w:tabs>
                <w:tab w:val="left" w:pos="360"/>
              </w:tabs>
              <w:rPr>
                <w:sz w:val="18"/>
                <w:szCs w:val="18"/>
              </w:rPr>
            </w:pPr>
          </w:p>
        </w:tc>
      </w:tr>
      <w:tr w:rsidR="002E4A8B" w:rsidRPr="00EF0E8F" w14:paraId="7AFAC06E" w14:textId="77777777" w:rsidTr="002A2BCE">
        <w:tc>
          <w:tcPr>
            <w:tcW w:w="3510" w:type="dxa"/>
            <w:vMerge/>
            <w:shd w:val="clear" w:color="auto" w:fill="FFFFFF" w:themeFill="background1"/>
          </w:tcPr>
          <w:p w14:paraId="4D042672" w14:textId="77777777" w:rsidR="002E4A8B" w:rsidRDefault="002E4A8B" w:rsidP="002E4A8B">
            <w:pPr>
              <w:tabs>
                <w:tab w:val="left" w:pos="270"/>
              </w:tabs>
              <w:ind w:left="270" w:hanging="270"/>
              <w:rPr>
                <w:sz w:val="18"/>
                <w:szCs w:val="18"/>
              </w:rPr>
            </w:pPr>
          </w:p>
        </w:tc>
        <w:tc>
          <w:tcPr>
            <w:tcW w:w="4343" w:type="dxa"/>
            <w:gridSpan w:val="3"/>
            <w:shd w:val="clear" w:color="auto" w:fill="auto"/>
          </w:tcPr>
          <w:p w14:paraId="3343C712" w14:textId="77777777" w:rsidR="002E4A8B" w:rsidRPr="00C055DB" w:rsidRDefault="002E4A8B" w:rsidP="002E4A8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2E4A8B" w:rsidRPr="00EF0E8F" w:rsidRDefault="002E4A8B" w:rsidP="002E4A8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2E4A8B" w:rsidRPr="00EF0E8F" w:rsidRDefault="002E4A8B" w:rsidP="002E4A8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5839F8FF" w:rsidR="008F36AD" w:rsidRPr="002E0918" w:rsidRDefault="00925E1F" w:rsidP="00D0789F">
            <w:pPr>
              <w:tabs>
                <w:tab w:val="left" w:pos="810"/>
              </w:tabs>
              <w:rPr>
                <w:sz w:val="18"/>
                <w:szCs w:val="18"/>
              </w:rPr>
            </w:pPr>
            <w:r>
              <w:rPr>
                <w:rFonts w:eastAsia="Times New Roman"/>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43122D1F" w:rsidR="00F07AAC" w:rsidRPr="002E0918" w:rsidRDefault="00925E1F" w:rsidP="00D0789F">
            <w:pPr>
              <w:tabs>
                <w:tab w:val="left" w:pos="810"/>
              </w:tabs>
              <w:rPr>
                <w:sz w:val="18"/>
                <w:szCs w:val="18"/>
              </w:rPr>
            </w:pPr>
            <w:r>
              <w:rPr>
                <w:rFonts w:eastAsia="Times New Roman"/>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51838909" w:rsidR="00F07AAC" w:rsidRPr="002E0918" w:rsidRDefault="005D1AFE" w:rsidP="00D0789F">
            <w:pPr>
              <w:tabs>
                <w:tab w:val="left" w:pos="810"/>
              </w:tabs>
              <w:rPr>
                <w:sz w:val="18"/>
                <w:szCs w:val="18"/>
              </w:rPr>
            </w:pPr>
            <w:r w:rsidRPr="0030730E">
              <w:rPr>
                <w:sz w:val="18"/>
                <w:szCs w:val="18"/>
                <w:highlight w:val="yellow"/>
              </w:rPr>
              <w:t>YES</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7B987699" w:rsidR="00F07AAC" w:rsidRPr="002E0918" w:rsidRDefault="005D1AFE" w:rsidP="00D0789F">
            <w:pPr>
              <w:tabs>
                <w:tab w:val="left" w:pos="810"/>
              </w:tabs>
              <w:rPr>
                <w:sz w:val="18"/>
                <w:szCs w:val="18"/>
              </w:rPr>
            </w:pPr>
            <w:r w:rsidRPr="00A12532">
              <w:rPr>
                <w:sz w:val="18"/>
                <w:szCs w:val="18"/>
                <w:highlight w:val="yellow"/>
              </w:rPr>
              <w:t>YES</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78B49465" w:rsidR="00F07AAC" w:rsidRPr="002E0918" w:rsidRDefault="005D1AFE" w:rsidP="00D0789F">
            <w:pPr>
              <w:tabs>
                <w:tab w:val="left" w:pos="810"/>
              </w:tabs>
              <w:rPr>
                <w:sz w:val="18"/>
                <w:szCs w:val="18"/>
              </w:rPr>
            </w:pPr>
            <w:r w:rsidRPr="00A12532">
              <w:rPr>
                <w:sz w:val="18"/>
                <w:szCs w:val="18"/>
                <w:highlight w:val="yellow"/>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47B4DECC" w:rsidR="00F07AAC" w:rsidRPr="002E0918" w:rsidRDefault="005D1AFE" w:rsidP="00D0789F">
            <w:pPr>
              <w:tabs>
                <w:tab w:val="left" w:pos="810"/>
              </w:tabs>
              <w:rPr>
                <w:sz w:val="18"/>
                <w:szCs w:val="18"/>
              </w:rPr>
            </w:pPr>
            <w:r w:rsidRPr="00A12532">
              <w:rPr>
                <w:sz w:val="18"/>
                <w:szCs w:val="18"/>
                <w:highlight w:val="yellow"/>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2B59D9FA" w:rsidR="00F07AAC" w:rsidRPr="002E0918" w:rsidRDefault="00925E1F" w:rsidP="00D0789F">
            <w:pPr>
              <w:tabs>
                <w:tab w:val="left" w:pos="810"/>
              </w:tabs>
              <w:rPr>
                <w:sz w:val="18"/>
                <w:szCs w:val="18"/>
              </w:rPr>
            </w:pPr>
            <w:r>
              <w:rPr>
                <w:rFonts w:eastAsia="Times New Roman"/>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00D42030" w:rsidR="00F07AAC" w:rsidRPr="002E0918" w:rsidRDefault="005D1AFE" w:rsidP="00D0789F">
            <w:pPr>
              <w:tabs>
                <w:tab w:val="left" w:pos="810"/>
              </w:tabs>
              <w:rPr>
                <w:sz w:val="18"/>
                <w:szCs w:val="18"/>
              </w:rPr>
            </w:pPr>
            <w:r w:rsidRPr="00DB221F">
              <w:rPr>
                <w:sz w:val="18"/>
                <w:szCs w:val="18"/>
                <w:highlight w:val="yellow"/>
              </w:rPr>
              <w:t>YES</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10C0BE3" w:rsidR="00F07AAC" w:rsidRPr="002E0918" w:rsidRDefault="00925E1F" w:rsidP="00D0789F">
            <w:pPr>
              <w:tabs>
                <w:tab w:val="left" w:pos="810"/>
              </w:tabs>
              <w:rPr>
                <w:sz w:val="18"/>
                <w:szCs w:val="18"/>
              </w:rPr>
            </w:pPr>
            <w:r>
              <w:rPr>
                <w:rFonts w:eastAsia="Times New Roman"/>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64E39060" w:rsidR="00F07AAC" w:rsidRPr="002E0918" w:rsidRDefault="005D1AFE" w:rsidP="00D0789F">
            <w:pPr>
              <w:tabs>
                <w:tab w:val="left" w:pos="810"/>
              </w:tabs>
              <w:rPr>
                <w:sz w:val="18"/>
                <w:szCs w:val="18"/>
              </w:rPr>
            </w:pPr>
            <w:r w:rsidRPr="00A12532">
              <w:rPr>
                <w:sz w:val="18"/>
                <w:szCs w:val="18"/>
                <w:highlight w:val="yellow"/>
              </w:rPr>
              <w:t>YES</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3630C28E" w:rsidR="008A7431" w:rsidRPr="002E0918" w:rsidRDefault="00925E1F" w:rsidP="00D0789F">
            <w:pPr>
              <w:tabs>
                <w:tab w:val="left" w:pos="810"/>
              </w:tabs>
              <w:rPr>
                <w:sz w:val="18"/>
                <w:szCs w:val="18"/>
              </w:rPr>
            </w:pPr>
            <w:r>
              <w:rPr>
                <w:rFonts w:eastAsia="Times New Roman"/>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0926A2E6" w:rsidR="00F07AAC" w:rsidRPr="002E0918" w:rsidRDefault="005D1AFE" w:rsidP="00D0789F">
            <w:pPr>
              <w:tabs>
                <w:tab w:val="left" w:pos="810"/>
              </w:tabs>
              <w:rPr>
                <w:sz w:val="18"/>
                <w:szCs w:val="18"/>
              </w:rPr>
            </w:pPr>
            <w:r w:rsidRPr="00A12532">
              <w:rPr>
                <w:sz w:val="18"/>
                <w:szCs w:val="18"/>
                <w:highlight w:val="yellow"/>
              </w:rPr>
              <w:t>YES</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2A43FF56" w:rsidR="00F07AAC" w:rsidRPr="00A12532" w:rsidRDefault="005D1AFE" w:rsidP="00D0789F">
            <w:pPr>
              <w:rPr>
                <w:rFonts w:eastAsia="Times New Roman"/>
                <w:sz w:val="18"/>
                <w:szCs w:val="18"/>
                <w:highlight w:val="yellow"/>
              </w:rPr>
            </w:pPr>
            <w:r w:rsidRPr="00A12532">
              <w:rPr>
                <w:sz w:val="18"/>
                <w:szCs w:val="18"/>
                <w:highlight w:val="yellow"/>
              </w:rPr>
              <w:lastRenderedPageBreak/>
              <w:t>YES</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0DA75F69" w:rsidR="00F07AAC" w:rsidRPr="00A12532" w:rsidRDefault="005D1AFE" w:rsidP="00D0789F">
            <w:pPr>
              <w:rPr>
                <w:rFonts w:eastAsia="Times New Roman"/>
                <w:sz w:val="18"/>
                <w:szCs w:val="18"/>
                <w:highlight w:val="yellow"/>
              </w:rPr>
            </w:pPr>
            <w:r w:rsidRPr="00A12532">
              <w:rPr>
                <w:sz w:val="18"/>
                <w:szCs w:val="18"/>
                <w:highlight w:val="yellow"/>
              </w:rPr>
              <w:t>YES</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6903F876" w:rsidR="00F07AAC" w:rsidRPr="00A12532" w:rsidRDefault="005D1AFE" w:rsidP="00D0789F">
            <w:pPr>
              <w:rPr>
                <w:rFonts w:eastAsia="Times New Roman"/>
                <w:sz w:val="18"/>
                <w:szCs w:val="18"/>
                <w:highlight w:val="yellow"/>
              </w:rPr>
            </w:pPr>
            <w:r w:rsidRPr="00A12532">
              <w:rPr>
                <w:sz w:val="18"/>
                <w:szCs w:val="18"/>
                <w:highlight w:val="yellow"/>
              </w:rPr>
              <w:t>YES</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85FC558" w:rsidR="00C32720" w:rsidRPr="00A12532" w:rsidRDefault="005D1AFE" w:rsidP="00D0789F">
            <w:pPr>
              <w:rPr>
                <w:rFonts w:eastAsia="Times New Roman"/>
                <w:sz w:val="18"/>
                <w:szCs w:val="18"/>
                <w:highlight w:val="yellow"/>
              </w:rPr>
            </w:pPr>
            <w:r w:rsidRPr="00A12532">
              <w:rPr>
                <w:sz w:val="18"/>
                <w:szCs w:val="18"/>
                <w:highlight w:val="yellow"/>
              </w:rPr>
              <w:t>YES</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07A4992E"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0953A26"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07E4A5BD"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69B706A5"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2D86D09E"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27FE0DB9"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6D22B22F" w:rsidR="00F07AAC" w:rsidRPr="00310835" w:rsidRDefault="005D1AFE" w:rsidP="00D0789F">
            <w:pPr>
              <w:tabs>
                <w:tab w:val="left" w:pos="585"/>
              </w:tabs>
              <w:spacing w:before="60" w:after="60"/>
              <w:ind w:left="567" w:hanging="567"/>
              <w:rPr>
                <w:rFonts w:eastAsia="Times New Roman"/>
                <w:sz w:val="18"/>
                <w:szCs w:val="18"/>
              </w:rPr>
            </w:pPr>
            <w:r w:rsidRPr="00A12532">
              <w:rPr>
                <w:sz w:val="18"/>
                <w:szCs w:val="18"/>
                <w:highlight w:val="yellow"/>
              </w:rPr>
              <w:t>YES</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58614141"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671AA085" w:rsidR="00F07AAC" w:rsidRPr="00310835" w:rsidRDefault="005D1AFE" w:rsidP="00D0789F">
            <w:pPr>
              <w:tabs>
                <w:tab w:val="left" w:pos="585"/>
              </w:tabs>
              <w:spacing w:before="60" w:after="60"/>
              <w:ind w:left="567" w:hanging="567"/>
              <w:rPr>
                <w:rFonts w:eastAsia="Times New Roman"/>
                <w:sz w:val="18"/>
                <w:szCs w:val="18"/>
              </w:rPr>
            </w:pPr>
            <w:r w:rsidRPr="0030730E">
              <w:rPr>
                <w:sz w:val="18"/>
                <w:szCs w:val="18"/>
                <w:highlight w:val="yellow"/>
              </w:rPr>
              <w:t>YES</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6114CA8"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038CFA71" w:rsidR="00F07AAC" w:rsidRPr="00310835" w:rsidRDefault="005D1AFE" w:rsidP="00D0789F">
            <w:pPr>
              <w:tabs>
                <w:tab w:val="left" w:pos="585"/>
              </w:tabs>
              <w:spacing w:before="60" w:after="60"/>
              <w:ind w:left="567" w:hanging="567"/>
              <w:rPr>
                <w:rFonts w:eastAsia="Times New Roman"/>
                <w:sz w:val="18"/>
                <w:szCs w:val="18"/>
              </w:rPr>
            </w:pPr>
            <w:r w:rsidRPr="00DB221F">
              <w:rPr>
                <w:sz w:val="18"/>
                <w:szCs w:val="18"/>
                <w:highlight w:val="yellow"/>
              </w:rPr>
              <w:t>YES</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00B68E0B"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673FAA2"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5A63135C"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w:t>
            </w:r>
            <w:proofErr w:type="gramStart"/>
            <w:r w:rsidRPr="00310835">
              <w:rPr>
                <w:rFonts w:eastAsia="Times New Roman"/>
                <w:sz w:val="18"/>
                <w:szCs w:val="18"/>
              </w:rPr>
              <w:t>flooding</w:t>
            </w:r>
            <w:proofErr w:type="gramEnd"/>
            <w:r w:rsidRPr="00310835">
              <w:rPr>
                <w:rFonts w:eastAsia="Times New Roman"/>
                <w:sz w:val="18"/>
                <w:szCs w:val="18"/>
              </w:rPr>
              <w:t xml:space="preserve">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25EA9534"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336AAB22"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1E33F685"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4A850483"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23974EE8" w:rsidR="00F07AAC" w:rsidRPr="00310835" w:rsidRDefault="00925E1F" w:rsidP="00D0789F">
            <w:pPr>
              <w:tabs>
                <w:tab w:val="left" w:pos="585"/>
              </w:tabs>
              <w:spacing w:before="60" w:after="60"/>
              <w:ind w:left="567" w:hanging="567"/>
              <w:rPr>
                <w:rFonts w:eastAsia="Times New Roman"/>
                <w:sz w:val="18"/>
                <w:szCs w:val="18"/>
              </w:rPr>
            </w:pPr>
            <w:r w:rsidRPr="00DB221F">
              <w:rPr>
                <w:sz w:val="18"/>
                <w:szCs w:val="18"/>
                <w:highlight w:val="yellow"/>
              </w:rPr>
              <w:t>YES</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7EBAE475" w:rsidR="00F07AAC" w:rsidRPr="00DB221F" w:rsidRDefault="00925E1F" w:rsidP="00D0789F">
            <w:pPr>
              <w:tabs>
                <w:tab w:val="left" w:pos="585"/>
              </w:tabs>
              <w:spacing w:before="60" w:after="60"/>
              <w:ind w:left="567" w:hanging="567"/>
              <w:rPr>
                <w:rFonts w:eastAsia="Times New Roman"/>
                <w:sz w:val="18"/>
                <w:szCs w:val="18"/>
                <w:highlight w:val="yellow"/>
              </w:rPr>
            </w:pPr>
            <w:r w:rsidRPr="00DB221F">
              <w:rPr>
                <w:sz w:val="18"/>
                <w:szCs w:val="18"/>
                <w:highlight w:val="yellow"/>
              </w:rPr>
              <w:t>YES</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62DB55F6" w:rsidR="00F07AAC" w:rsidRPr="00DB221F" w:rsidRDefault="00925E1F" w:rsidP="00D0789F">
            <w:pPr>
              <w:tabs>
                <w:tab w:val="left" w:pos="585"/>
              </w:tabs>
              <w:spacing w:before="60" w:after="60"/>
              <w:ind w:left="567" w:hanging="567"/>
              <w:rPr>
                <w:rFonts w:eastAsia="Times New Roman"/>
                <w:sz w:val="18"/>
                <w:szCs w:val="18"/>
                <w:highlight w:val="yellow"/>
              </w:rPr>
            </w:pPr>
            <w:r w:rsidRPr="00DB221F">
              <w:rPr>
                <w:sz w:val="18"/>
                <w:szCs w:val="18"/>
                <w:highlight w:val="yellow"/>
              </w:rPr>
              <w:t>YES</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6C0AF845"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137DA925" w:rsidR="00F07AAC" w:rsidRPr="00310835" w:rsidRDefault="00925E1F" w:rsidP="00D0789F">
            <w:pPr>
              <w:tabs>
                <w:tab w:val="left" w:pos="585"/>
              </w:tabs>
              <w:spacing w:before="60" w:after="60"/>
              <w:ind w:left="567" w:hanging="567"/>
              <w:rPr>
                <w:rFonts w:eastAsia="Times New Roman"/>
                <w:sz w:val="18"/>
                <w:szCs w:val="18"/>
              </w:rPr>
            </w:pPr>
            <w:r w:rsidRPr="00DB221F">
              <w:rPr>
                <w:sz w:val="18"/>
                <w:szCs w:val="18"/>
                <w:highlight w:val="yellow"/>
              </w:rPr>
              <w:t>YES</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7BE3515E"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56CE9DB2" w:rsidR="00F07AAC" w:rsidRPr="00310835" w:rsidRDefault="00925E1F" w:rsidP="00D0789F">
            <w:pPr>
              <w:tabs>
                <w:tab w:val="left" w:pos="585"/>
              </w:tabs>
              <w:spacing w:before="60" w:after="60"/>
              <w:ind w:left="567" w:hanging="567"/>
              <w:rPr>
                <w:rFonts w:eastAsia="Times New Roman"/>
                <w:sz w:val="18"/>
                <w:szCs w:val="18"/>
              </w:rPr>
            </w:pPr>
            <w:r w:rsidRPr="00DB221F">
              <w:rPr>
                <w:sz w:val="18"/>
                <w:szCs w:val="18"/>
                <w:highlight w:val="yellow"/>
              </w:rPr>
              <w:t>YES</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4F84AAC7" w:rsidR="00F07AAC" w:rsidRPr="00310835" w:rsidRDefault="00925E1F" w:rsidP="00D0789F">
            <w:pPr>
              <w:tabs>
                <w:tab w:val="left" w:pos="585"/>
              </w:tabs>
              <w:spacing w:before="60" w:after="60"/>
              <w:ind w:left="567" w:hanging="567"/>
              <w:rPr>
                <w:rFonts w:eastAsia="Times New Roman"/>
                <w:sz w:val="18"/>
                <w:szCs w:val="18"/>
              </w:rPr>
            </w:pPr>
            <w:r w:rsidRPr="00A12532">
              <w:rPr>
                <w:sz w:val="18"/>
                <w:szCs w:val="18"/>
                <w:highlight w:val="yellow"/>
              </w:rPr>
              <w:t>YES</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2F986A76" w:rsidR="00F07AAC" w:rsidRPr="00310835" w:rsidRDefault="00925E1F" w:rsidP="00D0789F">
            <w:pPr>
              <w:tabs>
                <w:tab w:val="left" w:pos="585"/>
              </w:tabs>
              <w:spacing w:before="60" w:after="60"/>
              <w:ind w:left="567" w:hanging="567"/>
              <w:rPr>
                <w:rFonts w:eastAsia="Times New Roman"/>
                <w:sz w:val="18"/>
                <w:szCs w:val="18"/>
              </w:rPr>
            </w:pPr>
            <w:r w:rsidRPr="00A12532">
              <w:rPr>
                <w:sz w:val="18"/>
                <w:szCs w:val="18"/>
                <w:highlight w:val="yellow"/>
              </w:rPr>
              <w:t>YES</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539065D" w:rsidR="00F07AAC" w:rsidRPr="00A12532" w:rsidRDefault="00925E1F" w:rsidP="00D0789F">
            <w:pPr>
              <w:tabs>
                <w:tab w:val="left" w:pos="585"/>
              </w:tabs>
              <w:spacing w:before="60" w:after="60"/>
              <w:ind w:left="567" w:hanging="567"/>
              <w:rPr>
                <w:rFonts w:eastAsia="Times New Roman"/>
                <w:sz w:val="18"/>
                <w:szCs w:val="18"/>
                <w:highlight w:val="yellow"/>
              </w:rPr>
            </w:pPr>
            <w:r w:rsidRPr="00A12532">
              <w:rPr>
                <w:sz w:val="18"/>
                <w:szCs w:val="18"/>
                <w:highlight w:val="yellow"/>
              </w:rPr>
              <w:t>YES</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77B5DAEC" w:rsidR="00F07AAC" w:rsidRPr="00A12532" w:rsidRDefault="00925E1F" w:rsidP="00D0789F">
            <w:pPr>
              <w:tabs>
                <w:tab w:val="left" w:pos="585"/>
              </w:tabs>
              <w:spacing w:before="60" w:after="60"/>
              <w:ind w:left="567" w:hanging="567"/>
              <w:rPr>
                <w:rFonts w:eastAsia="Times New Roman"/>
                <w:sz w:val="18"/>
                <w:szCs w:val="18"/>
                <w:highlight w:val="yellow"/>
              </w:rPr>
            </w:pPr>
            <w:r w:rsidRPr="00A12532">
              <w:rPr>
                <w:sz w:val="18"/>
                <w:szCs w:val="18"/>
                <w:highlight w:val="yellow"/>
              </w:rPr>
              <w:t>YES</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69C9855" w:rsidR="00F07AAC" w:rsidRPr="00A12532" w:rsidRDefault="00925E1F" w:rsidP="00D0789F">
            <w:pPr>
              <w:tabs>
                <w:tab w:val="left" w:pos="585"/>
              </w:tabs>
              <w:spacing w:before="60" w:after="60"/>
              <w:ind w:left="567" w:hanging="567"/>
              <w:rPr>
                <w:rFonts w:eastAsia="Times New Roman"/>
                <w:sz w:val="18"/>
                <w:szCs w:val="18"/>
                <w:highlight w:val="yellow"/>
              </w:rPr>
            </w:pPr>
            <w:r w:rsidRPr="00A12532">
              <w:rPr>
                <w:sz w:val="18"/>
                <w:szCs w:val="18"/>
                <w:highlight w:val="yellow"/>
              </w:rPr>
              <w:t>YES</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108CAD74" w:rsidR="00F07AAC" w:rsidRPr="00A12532" w:rsidRDefault="00925E1F" w:rsidP="00D0789F">
            <w:pPr>
              <w:tabs>
                <w:tab w:val="left" w:pos="585"/>
              </w:tabs>
              <w:spacing w:before="60" w:after="60"/>
              <w:ind w:left="567" w:hanging="567"/>
              <w:rPr>
                <w:rFonts w:eastAsia="Times New Roman"/>
                <w:sz w:val="18"/>
                <w:szCs w:val="18"/>
                <w:highlight w:val="yellow"/>
              </w:rPr>
            </w:pPr>
            <w:r w:rsidRPr="00A12532">
              <w:rPr>
                <w:sz w:val="18"/>
                <w:szCs w:val="18"/>
                <w:highlight w:val="yellow"/>
              </w:rPr>
              <w:t>YES</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3E8272F4"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1E45B8E1" w:rsidR="00F07AAC" w:rsidRPr="00310835" w:rsidRDefault="00925E1F" w:rsidP="00925E1F">
            <w:pPr>
              <w:tabs>
                <w:tab w:val="left" w:pos="585"/>
              </w:tabs>
              <w:spacing w:before="60" w:after="60"/>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243BB430" w:rsidR="00F07AAC" w:rsidRPr="00310835" w:rsidRDefault="00A12532" w:rsidP="00D0789F">
            <w:pPr>
              <w:tabs>
                <w:tab w:val="left" w:pos="585"/>
              </w:tabs>
              <w:spacing w:before="60" w:after="60"/>
              <w:ind w:left="567" w:hanging="567"/>
              <w:rPr>
                <w:rFonts w:eastAsia="Times New Roman"/>
                <w:sz w:val="18"/>
                <w:szCs w:val="18"/>
              </w:rPr>
            </w:pPr>
            <w:r w:rsidRPr="00A12532">
              <w:rPr>
                <w:rFonts w:eastAsia="Times New Roman"/>
                <w:sz w:val="18"/>
                <w:szCs w:val="18"/>
                <w:highlight w:val="yellow"/>
              </w:rPr>
              <w:t>YES</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648EC4F8"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54274EB6"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0303762F" w:rsidR="00F07AAC" w:rsidRPr="00310835" w:rsidRDefault="00925E1F"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36D9A94A"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574048E9" w:rsidR="00F07AAC" w:rsidRPr="00310835" w:rsidRDefault="00925E1F"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B985" w14:textId="77777777" w:rsidR="00974D0F" w:rsidRDefault="00974D0F" w:rsidP="00323A56">
      <w:r>
        <w:separator/>
      </w:r>
    </w:p>
  </w:endnote>
  <w:endnote w:type="continuationSeparator" w:id="0">
    <w:p w14:paraId="6595D10E" w14:textId="77777777" w:rsidR="00974D0F" w:rsidRDefault="00974D0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5A5">
      <w:rPr>
        <w:rStyle w:val="PageNumber"/>
        <w:noProof/>
      </w:rPr>
      <w:t>9</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7F85" w14:textId="77777777" w:rsidR="00974D0F" w:rsidRDefault="00974D0F" w:rsidP="00323A56">
      <w:r>
        <w:separator/>
      </w:r>
    </w:p>
  </w:footnote>
  <w:footnote w:type="continuationSeparator" w:id="0">
    <w:p w14:paraId="2B70ACAD" w14:textId="77777777" w:rsidR="00974D0F" w:rsidRDefault="00974D0F"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DF56DD"/>
    <w:multiLevelType w:val="hybridMultilevel"/>
    <w:tmpl w:val="B43C05EC"/>
    <w:lvl w:ilvl="0" w:tplc="381631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546"/>
    <w:multiLevelType w:val="hybridMultilevel"/>
    <w:tmpl w:val="B920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03F282F"/>
    <w:multiLevelType w:val="hybridMultilevel"/>
    <w:tmpl w:val="867A57B0"/>
    <w:lvl w:ilvl="0" w:tplc="381631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84343"/>
    <w:multiLevelType w:val="hybridMultilevel"/>
    <w:tmpl w:val="219827DE"/>
    <w:lvl w:ilvl="0" w:tplc="381631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15"/>
  </w:num>
  <w:num w:numId="6">
    <w:abstractNumId w:val="20"/>
  </w:num>
  <w:num w:numId="7">
    <w:abstractNumId w:val="18"/>
  </w:num>
  <w:num w:numId="8">
    <w:abstractNumId w:val="12"/>
  </w:num>
  <w:num w:numId="9">
    <w:abstractNumId w:val="17"/>
  </w:num>
  <w:num w:numId="10">
    <w:abstractNumId w:val="14"/>
  </w:num>
  <w:num w:numId="11">
    <w:abstractNumId w:val="9"/>
  </w:num>
  <w:num w:numId="12">
    <w:abstractNumId w:val="21"/>
  </w:num>
  <w:num w:numId="13">
    <w:abstractNumId w:val="6"/>
  </w:num>
  <w:num w:numId="14">
    <w:abstractNumId w:val="5"/>
  </w:num>
  <w:num w:numId="15">
    <w:abstractNumId w:val="8"/>
  </w:num>
  <w:num w:numId="16">
    <w:abstractNumId w:val="10"/>
  </w:num>
  <w:num w:numId="17">
    <w:abstractNumId w:val="13"/>
  </w:num>
  <w:num w:numId="18">
    <w:abstractNumId w:val="2"/>
  </w:num>
  <w:num w:numId="19">
    <w:abstractNumId w:val="15"/>
  </w:num>
  <w:num w:numId="20">
    <w:abstractNumId w:val="7"/>
  </w:num>
  <w:num w:numId="21">
    <w:abstractNumId w:val="3"/>
  </w:num>
  <w:num w:numId="22">
    <w:abstractNumId w:val="11"/>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3FFA"/>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46E6"/>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4A8B"/>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0730E"/>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87F"/>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64B7"/>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1FEC"/>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AFE"/>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3F15"/>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0D77"/>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3E"/>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C10"/>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45AC"/>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346"/>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5E1F"/>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8DB"/>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D0F"/>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589"/>
    <w:rsid w:val="00A056E0"/>
    <w:rsid w:val="00A1052C"/>
    <w:rsid w:val="00A11599"/>
    <w:rsid w:val="00A11618"/>
    <w:rsid w:val="00A12532"/>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08F"/>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4BC"/>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21F"/>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153D"/>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05A5"/>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0A"/>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D3214C"/>
  <w15:docId w15:val="{B5B4FCC6-AECE-4D98-A8DF-19356AE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ATLASPDC-4-156329</_dlc_DocId>
    <_dlc_DocIdUrl xmlns="f1161f5b-24a3-4c2d-bc81-44cb9325e8ee">
      <Url>https://info.undp.org/docs/pdc/_layouts/DocIdRedir.aspx?ID=ATLASPDC-4-156329</Url>
      <Description>ATLASPDC-4-156329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http://purl.org/dc/terms/"/>
    <ds:schemaRef ds:uri="http://schemas.microsoft.com/office/2006/documentManagement/types"/>
    <ds:schemaRef ds:uri="0a46a88e-bddb-4da4-af7a-c86f6641a8bb"/>
    <ds:schemaRef ds:uri="http://schemas.openxmlformats.org/package/2006/metadata/core-properties"/>
    <ds:schemaRef ds:uri="e6e8d393-0a03-40b5-8a05-862d55d992e2"/>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BB240F-4992-4B0E-87CF-EF9AB65D8FBD}">
  <ds:schemaRefs>
    <ds:schemaRef ds:uri="http://schemas.openxmlformats.org/officeDocument/2006/bibliography"/>
  </ds:schemaRefs>
</ds:datastoreItem>
</file>

<file path=customXml/itemProps4.xml><?xml version="1.0" encoding="utf-8"?>
<ds:datastoreItem xmlns:ds="http://schemas.openxmlformats.org/officeDocument/2006/customXml" ds:itemID="{D54C1886-A1EB-4B67-A657-42FB63680D9F}"/>
</file>

<file path=customXml/itemProps5.xml><?xml version="1.0" encoding="utf-8"?>
<ds:datastoreItem xmlns:ds="http://schemas.openxmlformats.org/officeDocument/2006/customXml" ds:itemID="{EA1147C2-561C-4168-8A38-EEEE5DF69AC8}"/>
</file>

<file path=docProps/app.xml><?xml version="1.0" encoding="utf-8"?>
<Properties xmlns="http://schemas.openxmlformats.org/officeDocument/2006/extended-properties" xmlns:vt="http://schemas.openxmlformats.org/officeDocument/2006/docPropsVTypes">
  <Template>Normal</Template>
  <TotalTime>1</TotalTime>
  <Pages>9</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Maano Shimanda</cp:lastModifiedBy>
  <cp:revision>2</cp:revision>
  <cp:lastPrinted>2014-12-09T19:35:00Z</cp:lastPrinted>
  <dcterms:created xsi:type="dcterms:W3CDTF">2021-06-11T08:53:00Z</dcterms:created>
  <dcterms:modified xsi:type="dcterms:W3CDTF">2021-06-11T08:53:00Z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82af7642-dd69-4583-b203-87d2bb390817</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(SES)|7a9dffd9-0b1f-4966-9938-9886c04c9893;#1552;#NAM|c25d75bf-6998-42d7-a2ea-f5ed1b3ef599;#1;#English|7f98b732-4b5b-4b70-ba90-a0eff09b5d2d;#763;#Draft|121d40a5-e62e-4d42-82e4-d6d12003de0a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NAM|c25d75bf-6998-42d7-a2ea-f5ed1b3ef599</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1552;#NAM|c25d75bf-6998-42d7-a2ea-f5ed1b3ef599</vt:lpwstr>
  </property>
  <property fmtid="{D5CDD505-2E9C-101B-9397-08002B2CF9AE}" pid="15" name="Atlas Document Type">
    <vt:lpwstr>1189;#Social and Environmental Standards (SES)|7a9dffd9-0b1f-4966-9938-9886c04c9893</vt:lpwstr>
  </property>
  <property fmtid="{D5CDD505-2E9C-101B-9397-08002B2CF9AE}" pid="16" name="UndpProjectNo">
    <vt:lpwstr>126450</vt:lpwstr>
  </property>
  <property fmtid="{D5CDD505-2E9C-101B-9397-08002B2CF9AE}" pid="17" name="Document Coverage Period End Date">
    <vt:filetime>2027-12-31T06:00:00Z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