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3"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4"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bookmarkStart w:id="1" w:name="_GoBack"/>
      <w:bookmarkEnd w:id="1"/>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60587436" w:rsidR="00DD330A" w:rsidRPr="00450804" w:rsidRDefault="00210DEE" w:rsidP="0084274F">
            <w:pPr>
              <w:rPr>
                <w:sz w:val="18"/>
                <w:szCs w:val="18"/>
              </w:rPr>
            </w:pPr>
            <w:r w:rsidRPr="00210DEE">
              <w:rPr>
                <w:sz w:val="18"/>
                <w:szCs w:val="18"/>
              </w:rPr>
              <w:t xml:space="preserve">Strengthening Civil Society Organizations for Responsive and </w:t>
            </w:r>
            <w:proofErr w:type="spellStart"/>
            <w:r w:rsidRPr="00210DEE">
              <w:rPr>
                <w:sz w:val="18"/>
                <w:szCs w:val="18"/>
              </w:rPr>
              <w:t>Aaccountable</w:t>
            </w:r>
            <w:proofErr w:type="spellEnd"/>
            <w:r w:rsidRPr="00210DEE">
              <w:rPr>
                <w:sz w:val="18"/>
                <w:szCs w:val="18"/>
              </w:rPr>
              <w:t xml:space="preserve"> governance in Rwanda</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51209FBA" w:rsidR="00DD330A" w:rsidRPr="00450804" w:rsidRDefault="00CE61C7" w:rsidP="0084274F">
            <w:pPr>
              <w:rPr>
                <w:sz w:val="18"/>
                <w:szCs w:val="18"/>
              </w:rPr>
            </w:pPr>
            <w:r w:rsidRPr="00CE61C7">
              <w:rPr>
                <w:sz w:val="18"/>
                <w:szCs w:val="18"/>
              </w:rPr>
              <w:t>00114606/00112561</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70E18E3B" w:rsidR="00DD330A" w:rsidRPr="00450804" w:rsidRDefault="00210DEE" w:rsidP="0084274F">
            <w:pPr>
              <w:rPr>
                <w:sz w:val="18"/>
                <w:szCs w:val="18"/>
              </w:rPr>
            </w:pPr>
            <w:r>
              <w:rPr>
                <w:sz w:val="18"/>
                <w:szCs w:val="18"/>
              </w:rPr>
              <w:t xml:space="preserve">Rwanda </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proofErr w:type="gramStart"/>
            <w:r w:rsidR="006C0DE3">
              <w:rPr>
                <w:b/>
                <w:szCs w:val="20"/>
              </w:rPr>
              <w:t xml:space="preserve">in order </w:t>
            </w:r>
            <w:r w:rsidRPr="00886352">
              <w:rPr>
                <w:b/>
                <w:szCs w:val="20"/>
              </w:rPr>
              <w:t>to</w:t>
            </w:r>
            <w:proofErr w:type="gramEnd"/>
            <w:r w:rsidRPr="00886352">
              <w:rPr>
                <w:b/>
                <w:szCs w:val="20"/>
              </w:rPr>
              <w:t xml:space="preserve">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619A9ECB" w14:textId="77777777" w:rsidR="00414FBA" w:rsidRDefault="00662E9B" w:rsidP="008C711F">
            <w:pPr>
              <w:keepNext/>
              <w:keepLines/>
              <w:tabs>
                <w:tab w:val="left" w:pos="432"/>
              </w:tabs>
              <w:spacing w:before="60" w:after="60"/>
              <w:outlineLvl w:val="7"/>
              <w:rPr>
                <w:sz w:val="18"/>
                <w:szCs w:val="18"/>
              </w:rPr>
            </w:pPr>
            <w:r>
              <w:rPr>
                <w:sz w:val="18"/>
                <w:szCs w:val="18"/>
              </w:rPr>
              <w:t xml:space="preserve">Human-rights based approach has been considered at the design stage of the </w:t>
            </w:r>
            <w:proofErr w:type="spellStart"/>
            <w:r>
              <w:rPr>
                <w:sz w:val="18"/>
                <w:szCs w:val="18"/>
              </w:rPr>
              <w:t>programme</w:t>
            </w:r>
            <w:proofErr w:type="spellEnd"/>
            <w:r>
              <w:rPr>
                <w:sz w:val="18"/>
                <w:szCs w:val="18"/>
              </w:rPr>
              <w:t xml:space="preserve"> and is fully applicable during the implementation period. </w:t>
            </w:r>
          </w:p>
          <w:p w14:paraId="225F904E" w14:textId="3F73F668" w:rsidR="00662E9B" w:rsidRDefault="00DD3614" w:rsidP="008C711F">
            <w:pPr>
              <w:keepNext/>
              <w:keepLines/>
              <w:tabs>
                <w:tab w:val="left" w:pos="432"/>
              </w:tabs>
              <w:spacing w:before="60" w:after="60"/>
              <w:outlineLvl w:val="7"/>
              <w:rPr>
                <w:sz w:val="18"/>
                <w:szCs w:val="18"/>
              </w:rPr>
            </w:pPr>
            <w:r>
              <w:rPr>
                <w:sz w:val="18"/>
                <w:szCs w:val="18"/>
              </w:rPr>
              <w:t xml:space="preserve">Through the microgrant </w:t>
            </w:r>
            <w:proofErr w:type="spellStart"/>
            <w:r>
              <w:rPr>
                <w:sz w:val="18"/>
                <w:szCs w:val="18"/>
              </w:rPr>
              <w:t>programme</w:t>
            </w:r>
            <w:proofErr w:type="spellEnd"/>
            <w:r>
              <w:rPr>
                <w:sz w:val="18"/>
                <w:szCs w:val="18"/>
              </w:rPr>
              <w:t>,</w:t>
            </w:r>
            <w:r w:rsidR="00C6066B">
              <w:rPr>
                <w:sz w:val="18"/>
                <w:szCs w:val="18"/>
              </w:rPr>
              <w:t xml:space="preserve"> at least 3 </w:t>
            </w:r>
            <w:r w:rsidR="00C6066B" w:rsidRPr="00C6066B">
              <w:rPr>
                <w:sz w:val="18"/>
                <w:szCs w:val="18"/>
              </w:rPr>
              <w:t>CSOs</w:t>
            </w:r>
            <w:r w:rsidR="00C6066B">
              <w:rPr>
                <w:sz w:val="18"/>
                <w:szCs w:val="18"/>
              </w:rPr>
              <w:t xml:space="preserve"> per year</w:t>
            </w:r>
            <w:r w:rsidR="00C6066B" w:rsidRPr="00C6066B">
              <w:rPr>
                <w:sz w:val="18"/>
                <w:szCs w:val="18"/>
              </w:rPr>
              <w:t xml:space="preserve"> involved in human rights and gender</w:t>
            </w:r>
            <w:r w:rsidR="00C6066B">
              <w:rPr>
                <w:sz w:val="18"/>
                <w:szCs w:val="18"/>
              </w:rPr>
              <w:t xml:space="preserve"> will be supported with 30,000 USD grants. </w:t>
            </w:r>
          </w:p>
          <w:p w14:paraId="1889EE94" w14:textId="50C29598" w:rsidR="00801250" w:rsidRPr="008C711F" w:rsidRDefault="00801250" w:rsidP="008C711F">
            <w:pPr>
              <w:keepNext/>
              <w:keepLines/>
              <w:tabs>
                <w:tab w:val="left" w:pos="432"/>
              </w:tabs>
              <w:spacing w:before="60" w:after="60"/>
              <w:outlineLvl w:val="7"/>
              <w:rPr>
                <w:sz w:val="18"/>
                <w:szCs w:val="18"/>
              </w:rPr>
            </w:pPr>
            <w:r>
              <w:rPr>
                <w:sz w:val="18"/>
                <w:szCs w:val="18"/>
              </w:rPr>
              <w:t xml:space="preserve">In addition, HRBA is a contractual obligation for all the CSOs which receive grant support. The grantees </w:t>
            </w:r>
            <w:proofErr w:type="gramStart"/>
            <w:r>
              <w:rPr>
                <w:sz w:val="18"/>
                <w:szCs w:val="18"/>
              </w:rPr>
              <w:t>have to</w:t>
            </w:r>
            <w:proofErr w:type="gramEnd"/>
            <w:r>
              <w:rPr>
                <w:sz w:val="18"/>
                <w:szCs w:val="18"/>
              </w:rPr>
              <w:t xml:space="preserve"> report back on how HRBA was mainstreamed in various projects. </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52249925" w14:textId="384F2A80" w:rsidR="008C2262" w:rsidRDefault="008C2262" w:rsidP="008C2262">
            <w:pPr>
              <w:keepNext/>
              <w:keepLines/>
              <w:tabs>
                <w:tab w:val="left" w:pos="432"/>
              </w:tabs>
              <w:spacing w:before="60" w:after="60"/>
              <w:outlineLvl w:val="7"/>
              <w:rPr>
                <w:sz w:val="18"/>
                <w:szCs w:val="18"/>
              </w:rPr>
            </w:pPr>
            <w:r>
              <w:rPr>
                <w:sz w:val="18"/>
                <w:szCs w:val="18"/>
              </w:rPr>
              <w:t xml:space="preserve">Gender equality and women’s empowerment have been considered at the design stage of the </w:t>
            </w:r>
            <w:proofErr w:type="spellStart"/>
            <w:r>
              <w:rPr>
                <w:sz w:val="18"/>
                <w:szCs w:val="18"/>
              </w:rPr>
              <w:t>programme</w:t>
            </w:r>
            <w:proofErr w:type="spellEnd"/>
            <w:r>
              <w:rPr>
                <w:sz w:val="18"/>
                <w:szCs w:val="18"/>
              </w:rPr>
              <w:t xml:space="preserve"> and are fully applicable during the implementation period. At least 3 </w:t>
            </w:r>
            <w:r w:rsidRPr="00C6066B">
              <w:rPr>
                <w:sz w:val="18"/>
                <w:szCs w:val="18"/>
              </w:rPr>
              <w:t>CSOs</w:t>
            </w:r>
            <w:r>
              <w:rPr>
                <w:sz w:val="18"/>
                <w:szCs w:val="18"/>
              </w:rPr>
              <w:t xml:space="preserve"> per year</w:t>
            </w:r>
            <w:r w:rsidRPr="00C6066B">
              <w:rPr>
                <w:sz w:val="18"/>
                <w:szCs w:val="18"/>
              </w:rPr>
              <w:t xml:space="preserve"> involved in human rights and gender</w:t>
            </w:r>
            <w:r>
              <w:rPr>
                <w:sz w:val="18"/>
                <w:szCs w:val="18"/>
              </w:rPr>
              <w:t xml:space="preserve"> will be supported with 30,000 USD grants. In addition, mainstreaming gender equality and women’s empowerment is a contractual obligation for all the CSOs which receive grant support. The grantees </w:t>
            </w:r>
            <w:proofErr w:type="gramStart"/>
            <w:r>
              <w:rPr>
                <w:sz w:val="18"/>
                <w:szCs w:val="18"/>
              </w:rPr>
              <w:t>have to</w:t>
            </w:r>
            <w:proofErr w:type="gramEnd"/>
            <w:r>
              <w:rPr>
                <w:sz w:val="18"/>
                <w:szCs w:val="18"/>
              </w:rPr>
              <w:t xml:space="preserve"> report back on how this was done. </w:t>
            </w:r>
            <w:r w:rsidR="00DD3614">
              <w:rPr>
                <w:sz w:val="18"/>
                <w:szCs w:val="18"/>
              </w:rPr>
              <w:t xml:space="preserve">Capacity development on gender mainstreaming in development will be provided. Additionally, a gender audit of CSOs will be conducted </w:t>
            </w:r>
            <w:proofErr w:type="spellStart"/>
            <w:r w:rsidR="00DD3614">
              <w:rPr>
                <w:sz w:val="18"/>
                <w:szCs w:val="18"/>
              </w:rPr>
              <w:t>throught</w:t>
            </w:r>
            <w:proofErr w:type="spellEnd"/>
            <w:r w:rsidR="00DD3614">
              <w:rPr>
                <w:sz w:val="18"/>
                <w:szCs w:val="18"/>
              </w:rPr>
              <w:t xml:space="preserve"> the </w:t>
            </w:r>
            <w:proofErr w:type="spellStart"/>
            <w:r w:rsidR="00DD3614">
              <w:rPr>
                <w:sz w:val="18"/>
                <w:szCs w:val="18"/>
              </w:rPr>
              <w:t>programme</w:t>
            </w:r>
            <w:proofErr w:type="spellEnd"/>
            <w:r w:rsidR="00DD3614">
              <w:rPr>
                <w:sz w:val="18"/>
                <w:szCs w:val="18"/>
              </w:rPr>
              <w:t xml:space="preserve">, and the recommendations of the audit will be implemented through the policy dialogue and capacity development components of the </w:t>
            </w:r>
            <w:proofErr w:type="spellStart"/>
            <w:r w:rsidR="00DD3614">
              <w:rPr>
                <w:sz w:val="18"/>
                <w:szCs w:val="18"/>
              </w:rPr>
              <w:t>programme</w:t>
            </w:r>
            <w:proofErr w:type="spellEnd"/>
            <w:r w:rsidR="00DD3614">
              <w:rPr>
                <w:sz w:val="18"/>
                <w:szCs w:val="18"/>
              </w:rPr>
              <w:t xml:space="preserve">. </w:t>
            </w:r>
          </w:p>
          <w:p w14:paraId="658A4F08" w14:textId="039003B8" w:rsidR="00414FBA" w:rsidRPr="008C711F" w:rsidRDefault="00414FBA" w:rsidP="008C711F">
            <w:pPr>
              <w:tabs>
                <w:tab w:val="left" w:pos="432"/>
              </w:tabs>
              <w:spacing w:before="60" w:after="60"/>
              <w:rPr>
                <w:rFonts w:eastAsia="Times New Roman"/>
                <w:color w:val="595959" w:themeColor="text1" w:themeTint="A6"/>
                <w:sz w:val="18"/>
                <w:szCs w:val="18"/>
              </w:rPr>
            </w:pP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54CB7263" w:rsidR="00414FBA" w:rsidRPr="008C711F" w:rsidRDefault="008C2262" w:rsidP="008C711F">
            <w:pPr>
              <w:tabs>
                <w:tab w:val="left" w:pos="432"/>
              </w:tabs>
              <w:spacing w:before="60" w:after="60"/>
              <w:rPr>
                <w:rFonts w:eastAsia="Times New Roman"/>
                <w:color w:val="595959" w:themeColor="text1" w:themeTint="A6"/>
                <w:sz w:val="18"/>
                <w:szCs w:val="18"/>
              </w:rPr>
            </w:pPr>
            <w:r w:rsidRPr="008C2262">
              <w:rPr>
                <w:sz w:val="18"/>
                <w:szCs w:val="18"/>
              </w:rPr>
              <w:t>One of the thematic areas supported through the CSO grants provision relates to protection of the environment for green growth and climate resilience. At least 3 CSOs per year working on this will be supported with 30,000 USD grants.</w:t>
            </w:r>
            <w:r>
              <w:rPr>
                <w:rFonts w:eastAsia="Times New Roman"/>
                <w:color w:val="595959" w:themeColor="text1" w:themeTint="A6"/>
                <w:sz w:val="18"/>
                <w:szCs w:val="18"/>
              </w:rPr>
              <w:t xml:space="preserve">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3FB8BB0A" w:rsidR="00C055DB" w:rsidRPr="009B4F2C" w:rsidRDefault="00C055DB" w:rsidP="0084274F">
            <w:pPr>
              <w:rPr>
                <w:sz w:val="18"/>
                <w:szCs w:val="18"/>
              </w:rPr>
            </w:pPr>
            <w:r w:rsidRPr="009B4F2C">
              <w:rPr>
                <w:sz w:val="18"/>
                <w:szCs w:val="18"/>
              </w:rPr>
              <w:t xml:space="preserve">Risk 1: </w:t>
            </w:r>
            <w:r w:rsidR="00815F94">
              <w:rPr>
                <w:rFonts w:eastAsia="Times New Roman"/>
                <w:sz w:val="18"/>
                <w:szCs w:val="18"/>
              </w:rPr>
              <w:t>Is there a risk that duty-bearers do not have the capacity to meet their obligations in the Project?</w:t>
            </w:r>
          </w:p>
        </w:tc>
        <w:tc>
          <w:tcPr>
            <w:tcW w:w="1080" w:type="dxa"/>
          </w:tcPr>
          <w:p w14:paraId="67E15CE1" w14:textId="268AE0E0" w:rsidR="00C055DB" w:rsidRPr="00C86F7C" w:rsidRDefault="00C055DB" w:rsidP="0084274F">
            <w:pPr>
              <w:rPr>
                <w:rFonts w:cs="Minion Pro"/>
                <w:sz w:val="18"/>
                <w:szCs w:val="18"/>
              </w:rPr>
            </w:pPr>
            <w:r w:rsidRPr="00C86F7C">
              <w:rPr>
                <w:rFonts w:cs="Minion Pro"/>
                <w:sz w:val="18"/>
                <w:szCs w:val="18"/>
              </w:rPr>
              <w:t xml:space="preserve">I = </w:t>
            </w:r>
            <w:r w:rsidR="00815F94">
              <w:rPr>
                <w:rFonts w:cs="Minion Pro"/>
                <w:sz w:val="18"/>
                <w:szCs w:val="18"/>
              </w:rPr>
              <w:t>2</w:t>
            </w:r>
          </w:p>
          <w:p w14:paraId="4BB50A64" w14:textId="4613331F" w:rsidR="00C055DB" w:rsidRPr="00C86F7C" w:rsidRDefault="00C055DB" w:rsidP="0084274F">
            <w:pPr>
              <w:rPr>
                <w:rFonts w:cs="Minion Pro"/>
                <w:sz w:val="18"/>
                <w:szCs w:val="18"/>
              </w:rPr>
            </w:pPr>
            <w:r w:rsidRPr="00C86F7C">
              <w:rPr>
                <w:rFonts w:cs="Minion Pro"/>
                <w:sz w:val="18"/>
                <w:szCs w:val="18"/>
              </w:rPr>
              <w:t>P =</w:t>
            </w:r>
            <w:r w:rsidR="00815F94">
              <w:rPr>
                <w:rFonts w:cs="Minion Pro"/>
                <w:sz w:val="18"/>
                <w:szCs w:val="18"/>
              </w:rPr>
              <w:t xml:space="preserve"> 2</w:t>
            </w:r>
          </w:p>
        </w:tc>
        <w:tc>
          <w:tcPr>
            <w:tcW w:w="1170" w:type="dxa"/>
          </w:tcPr>
          <w:p w14:paraId="7B5C7252" w14:textId="27D0B6EB" w:rsidR="00C055DB" w:rsidRPr="00372083" w:rsidRDefault="00815F94" w:rsidP="0084274F">
            <w:pPr>
              <w:rPr>
                <w:b/>
                <w:sz w:val="18"/>
                <w:szCs w:val="18"/>
              </w:rPr>
            </w:pPr>
            <w:r>
              <w:rPr>
                <w:b/>
                <w:sz w:val="18"/>
                <w:szCs w:val="18"/>
              </w:rPr>
              <w:t xml:space="preserve">Low </w:t>
            </w:r>
          </w:p>
        </w:tc>
        <w:tc>
          <w:tcPr>
            <w:tcW w:w="2610" w:type="dxa"/>
            <w:gridSpan w:val="2"/>
          </w:tcPr>
          <w:p w14:paraId="249AA562" w14:textId="269EB32F" w:rsidR="00C055DB" w:rsidRPr="00372083" w:rsidRDefault="006B22B0" w:rsidP="0084274F">
            <w:pPr>
              <w:rPr>
                <w:b/>
                <w:sz w:val="18"/>
                <w:szCs w:val="18"/>
              </w:rPr>
            </w:pPr>
            <w:r>
              <w:rPr>
                <w:b/>
                <w:sz w:val="18"/>
                <w:szCs w:val="18"/>
              </w:rPr>
              <w:t xml:space="preserve">Responsible institution may not have the required capacities yet to meet all the obligations in the project. </w:t>
            </w:r>
          </w:p>
        </w:tc>
        <w:tc>
          <w:tcPr>
            <w:tcW w:w="4770" w:type="dxa"/>
            <w:gridSpan w:val="2"/>
          </w:tcPr>
          <w:p w14:paraId="5BC7622A" w14:textId="357429AB" w:rsidR="00C055DB" w:rsidRPr="00372083" w:rsidRDefault="006B22B0" w:rsidP="0084274F">
            <w:pPr>
              <w:rPr>
                <w:b/>
                <w:sz w:val="18"/>
                <w:szCs w:val="18"/>
              </w:rPr>
            </w:pPr>
            <w:r>
              <w:rPr>
                <w:b/>
                <w:sz w:val="18"/>
                <w:szCs w:val="18"/>
              </w:rPr>
              <w:t xml:space="preserve">Responsible institution is supported through capacity building and technical assistance to enhance its service delivery and effectiveness. </w:t>
            </w:r>
          </w:p>
        </w:tc>
      </w:tr>
      <w:tr w:rsidR="00C055DB" w14:paraId="112CD22E" w14:textId="77777777" w:rsidTr="002A2BCE">
        <w:tc>
          <w:tcPr>
            <w:tcW w:w="3510" w:type="dxa"/>
            <w:vAlign w:val="center"/>
          </w:tcPr>
          <w:p w14:paraId="290A1806" w14:textId="03B92325" w:rsidR="00C055DB" w:rsidRPr="00372083" w:rsidRDefault="00C055DB" w:rsidP="0084274F">
            <w:pPr>
              <w:rPr>
                <w:b/>
                <w:sz w:val="18"/>
                <w:szCs w:val="18"/>
              </w:rPr>
            </w:pPr>
            <w:r>
              <w:rPr>
                <w:sz w:val="18"/>
                <w:szCs w:val="18"/>
              </w:rPr>
              <w:t>Risk 2</w:t>
            </w:r>
            <w:r w:rsidR="00815F94">
              <w:rPr>
                <w:sz w:val="18"/>
                <w:szCs w:val="18"/>
              </w:rPr>
              <w:t>:</w:t>
            </w:r>
            <w:r>
              <w:rPr>
                <w:sz w:val="18"/>
                <w:szCs w:val="18"/>
              </w:rPr>
              <w:t xml:space="preserve"> </w:t>
            </w:r>
            <w:r w:rsidR="00815F94">
              <w:rPr>
                <w:rFonts w:eastAsia="Times New Roman"/>
                <w:sz w:val="18"/>
                <w:szCs w:val="18"/>
              </w:rPr>
              <w:t>Is there a risk that rights-holders do not have the capacity to claim their rights?</w:t>
            </w:r>
          </w:p>
        </w:tc>
        <w:tc>
          <w:tcPr>
            <w:tcW w:w="1080" w:type="dxa"/>
          </w:tcPr>
          <w:p w14:paraId="0348661D" w14:textId="4B375737" w:rsidR="00C055DB" w:rsidRPr="00C86F7C" w:rsidRDefault="00C055DB" w:rsidP="0084274F">
            <w:pPr>
              <w:rPr>
                <w:rFonts w:cs="Minion Pro"/>
                <w:sz w:val="18"/>
                <w:szCs w:val="18"/>
              </w:rPr>
            </w:pPr>
            <w:r w:rsidRPr="00C86F7C">
              <w:rPr>
                <w:rFonts w:cs="Minion Pro"/>
                <w:sz w:val="18"/>
                <w:szCs w:val="18"/>
              </w:rPr>
              <w:t xml:space="preserve">I = </w:t>
            </w:r>
            <w:r w:rsidR="00815F94">
              <w:rPr>
                <w:rFonts w:cs="Minion Pro"/>
                <w:sz w:val="18"/>
                <w:szCs w:val="18"/>
              </w:rPr>
              <w:t>2</w:t>
            </w:r>
          </w:p>
          <w:p w14:paraId="0B822867" w14:textId="44441399" w:rsidR="00C055DB" w:rsidRPr="00C86F7C" w:rsidRDefault="00C055DB" w:rsidP="0084274F">
            <w:pPr>
              <w:rPr>
                <w:sz w:val="18"/>
                <w:szCs w:val="18"/>
              </w:rPr>
            </w:pPr>
            <w:r w:rsidRPr="00C86F7C">
              <w:rPr>
                <w:rFonts w:cs="Minion Pro"/>
                <w:sz w:val="18"/>
                <w:szCs w:val="18"/>
              </w:rPr>
              <w:t xml:space="preserve">P = </w:t>
            </w:r>
            <w:r w:rsidR="00815F94">
              <w:rPr>
                <w:rFonts w:cs="Minion Pro"/>
                <w:sz w:val="18"/>
                <w:szCs w:val="18"/>
              </w:rPr>
              <w:t xml:space="preserve">2 </w:t>
            </w:r>
          </w:p>
        </w:tc>
        <w:tc>
          <w:tcPr>
            <w:tcW w:w="1170" w:type="dxa"/>
          </w:tcPr>
          <w:p w14:paraId="1B549DF0" w14:textId="2266F430" w:rsidR="00C055DB" w:rsidRPr="00372083" w:rsidRDefault="00815F94" w:rsidP="0084274F">
            <w:pPr>
              <w:rPr>
                <w:b/>
                <w:sz w:val="18"/>
                <w:szCs w:val="18"/>
              </w:rPr>
            </w:pPr>
            <w:r>
              <w:rPr>
                <w:b/>
                <w:sz w:val="18"/>
                <w:szCs w:val="18"/>
              </w:rPr>
              <w:t>Low</w:t>
            </w:r>
          </w:p>
        </w:tc>
        <w:tc>
          <w:tcPr>
            <w:tcW w:w="2610" w:type="dxa"/>
            <w:gridSpan w:val="2"/>
          </w:tcPr>
          <w:p w14:paraId="183BB23C" w14:textId="3243C343" w:rsidR="00C055DB" w:rsidRPr="00372083" w:rsidRDefault="006B22B0" w:rsidP="0084274F">
            <w:pPr>
              <w:rPr>
                <w:b/>
                <w:sz w:val="18"/>
                <w:szCs w:val="18"/>
              </w:rPr>
            </w:pPr>
            <w:r>
              <w:rPr>
                <w:b/>
                <w:sz w:val="18"/>
                <w:szCs w:val="18"/>
              </w:rPr>
              <w:t>The general population may not be sufficiently aware of their rights to claim their rights</w:t>
            </w:r>
          </w:p>
        </w:tc>
        <w:tc>
          <w:tcPr>
            <w:tcW w:w="4770" w:type="dxa"/>
            <w:gridSpan w:val="2"/>
          </w:tcPr>
          <w:p w14:paraId="453158EA" w14:textId="3B7314DA" w:rsidR="00C055DB" w:rsidRPr="00372083" w:rsidRDefault="006B22B0" w:rsidP="0084274F">
            <w:pPr>
              <w:rPr>
                <w:b/>
                <w:sz w:val="18"/>
                <w:szCs w:val="18"/>
              </w:rPr>
            </w:pPr>
            <w:r>
              <w:rPr>
                <w:b/>
                <w:sz w:val="18"/>
                <w:szCs w:val="18"/>
              </w:rPr>
              <w:t xml:space="preserve">Support is provided to CSOs in the field of accountable governance, not only to raise awareness but also to empower citizens to claim their rights and to be more actively involved in policy and planning processes. Several projects focus on fostering a more active </w:t>
            </w:r>
            <w:proofErr w:type="gramStart"/>
            <w:r>
              <w:rPr>
                <w:b/>
                <w:sz w:val="18"/>
                <w:szCs w:val="18"/>
              </w:rPr>
              <w:t>two way</w:t>
            </w:r>
            <w:proofErr w:type="gramEnd"/>
            <w:r>
              <w:rPr>
                <w:b/>
                <w:sz w:val="18"/>
                <w:szCs w:val="18"/>
              </w:rPr>
              <w:t xml:space="preserve"> dialogue between rights-holders and duty bearers. </w:t>
            </w:r>
          </w:p>
        </w:tc>
      </w:tr>
      <w:tr w:rsidR="00C055DB" w14:paraId="112B2C44" w14:textId="77777777" w:rsidTr="002A2BCE">
        <w:tc>
          <w:tcPr>
            <w:tcW w:w="3510" w:type="dxa"/>
            <w:vAlign w:val="center"/>
          </w:tcPr>
          <w:p w14:paraId="7F87DD50"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77777777" w:rsidR="00C055DB" w:rsidRPr="00C86F7C" w:rsidRDefault="00C055DB" w:rsidP="0084274F">
            <w:pPr>
              <w:rPr>
                <w:rFonts w:cs="Minion Pro"/>
                <w:sz w:val="18"/>
                <w:szCs w:val="18"/>
              </w:rPr>
            </w:pPr>
            <w:r w:rsidRPr="00C86F7C">
              <w:rPr>
                <w:rFonts w:cs="Minion Pro"/>
                <w:sz w:val="18"/>
                <w:szCs w:val="18"/>
              </w:rPr>
              <w:t xml:space="preserve">I = </w:t>
            </w:r>
          </w:p>
          <w:p w14:paraId="7B71B1BD"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3BCA93A" w14:textId="77777777" w:rsidR="00C055DB" w:rsidRPr="00372083" w:rsidRDefault="00C055DB" w:rsidP="0084274F">
            <w:pPr>
              <w:rPr>
                <w:b/>
                <w:sz w:val="18"/>
                <w:szCs w:val="18"/>
              </w:rPr>
            </w:pP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002A2BCE">
        <w:tc>
          <w:tcPr>
            <w:tcW w:w="3510" w:type="dxa"/>
            <w:vAlign w:val="center"/>
          </w:tcPr>
          <w:p w14:paraId="404DE640"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0786EBE9" w14:textId="77777777" w:rsidR="00C055DB" w:rsidRPr="00C86F7C" w:rsidRDefault="00C055DB" w:rsidP="0084274F">
            <w:pPr>
              <w:rPr>
                <w:rFonts w:cs="Minion Pro"/>
                <w:sz w:val="18"/>
                <w:szCs w:val="18"/>
              </w:rPr>
            </w:pPr>
            <w:r w:rsidRPr="00C86F7C">
              <w:rPr>
                <w:rFonts w:cs="Minion Pro"/>
                <w:sz w:val="18"/>
                <w:szCs w:val="18"/>
              </w:rPr>
              <w:t xml:space="preserve">I = </w:t>
            </w:r>
          </w:p>
          <w:p w14:paraId="5E150822"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67E5ECEC" w14:textId="77777777" w:rsidR="00C055DB" w:rsidRPr="00372083" w:rsidRDefault="00C055DB" w:rsidP="0084274F">
            <w:pPr>
              <w:rPr>
                <w:b/>
                <w:sz w:val="18"/>
                <w:szCs w:val="18"/>
              </w:rPr>
            </w:pPr>
          </w:p>
        </w:tc>
        <w:tc>
          <w:tcPr>
            <w:tcW w:w="2610"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507C659C" w14:textId="77777777" w:rsidTr="002A2BCE">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5"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47AD084F" w:rsidR="00C055DB" w:rsidRPr="00372083" w:rsidRDefault="00DD3614" w:rsidP="00C055DB">
            <w:pPr>
              <w:ind w:left="-2230" w:firstLine="2230"/>
              <w:rPr>
                <w:b/>
                <w:sz w:val="18"/>
                <w:szCs w:val="18"/>
              </w:rPr>
            </w:pPr>
            <w:r>
              <w:rPr>
                <w:rFonts w:ascii="Segoe UI Symbol" w:hAnsi="Segoe UI Symbol" w:cs="Segoe UI Symbol"/>
                <w:b/>
                <w:szCs w:val="20"/>
              </w:rPr>
              <w:t>x</w:t>
            </w:r>
          </w:p>
        </w:tc>
        <w:tc>
          <w:tcPr>
            <w:tcW w:w="4747" w:type="dxa"/>
          </w:tcPr>
          <w:p w14:paraId="6C195903" w14:textId="487B2567" w:rsidR="00C055DB" w:rsidRPr="00372083" w:rsidRDefault="00DD3614" w:rsidP="00C055DB">
            <w:pPr>
              <w:rPr>
                <w:b/>
                <w:sz w:val="18"/>
                <w:szCs w:val="18"/>
              </w:rPr>
            </w:pPr>
            <w:r>
              <w:rPr>
                <w:b/>
                <w:sz w:val="18"/>
                <w:szCs w:val="18"/>
              </w:rPr>
              <w:t xml:space="preserve">The activities of the </w:t>
            </w:r>
            <w:proofErr w:type="spellStart"/>
            <w:r>
              <w:rPr>
                <w:b/>
                <w:sz w:val="18"/>
                <w:szCs w:val="18"/>
              </w:rPr>
              <w:t>programme</w:t>
            </w:r>
            <w:proofErr w:type="spellEnd"/>
            <w:r>
              <w:rPr>
                <w:b/>
                <w:sz w:val="18"/>
                <w:szCs w:val="18"/>
              </w:rPr>
              <w:t xml:space="preserve"> have minimal to no risk of adverse social or environmental impacts. </w:t>
            </w: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52CF0CDC" w:rsidR="00F536BB" w:rsidRPr="00EF0E8F" w:rsidRDefault="00DD3614" w:rsidP="00C055DB">
            <w:pPr>
              <w:tabs>
                <w:tab w:val="left" w:pos="360"/>
              </w:tabs>
              <w:rPr>
                <w:sz w:val="18"/>
                <w:szCs w:val="18"/>
              </w:rPr>
            </w:pPr>
            <w:r>
              <w:rPr>
                <w:rFonts w:ascii="Segoe UI Symbol" w:hAnsi="Segoe UI Symbol" w:cs="Segoe UI Symbol"/>
                <w:b/>
                <w:szCs w:val="20"/>
              </w:rPr>
              <w:t>x</w:t>
            </w:r>
          </w:p>
        </w:tc>
        <w:tc>
          <w:tcPr>
            <w:tcW w:w="4747" w:type="dxa"/>
          </w:tcPr>
          <w:p w14:paraId="18E5603B" w14:textId="5AABDD01" w:rsidR="00F536BB" w:rsidRPr="00EF0E8F" w:rsidRDefault="00DD3614" w:rsidP="00C055DB">
            <w:pPr>
              <w:tabs>
                <w:tab w:val="left" w:pos="360"/>
              </w:tabs>
              <w:rPr>
                <w:sz w:val="18"/>
                <w:szCs w:val="18"/>
              </w:rPr>
            </w:pPr>
            <w:r>
              <w:rPr>
                <w:sz w:val="18"/>
                <w:szCs w:val="18"/>
              </w:rPr>
              <w:t xml:space="preserve">The risk is related to the potential lack of capacities of duty bearers to fulfill their obligations and the potential limited understanding of citizens of their own rights. </w:t>
            </w:r>
            <w:proofErr w:type="gramStart"/>
            <w:r>
              <w:rPr>
                <w:sz w:val="18"/>
                <w:szCs w:val="18"/>
              </w:rPr>
              <w:t>However</w:t>
            </w:r>
            <w:proofErr w:type="gramEnd"/>
            <w:r>
              <w:rPr>
                <w:sz w:val="18"/>
                <w:szCs w:val="18"/>
              </w:rPr>
              <w:t xml:space="preserve"> the </w:t>
            </w:r>
            <w:proofErr w:type="spellStart"/>
            <w:r>
              <w:rPr>
                <w:sz w:val="18"/>
                <w:szCs w:val="18"/>
              </w:rPr>
              <w:t>programme</w:t>
            </w:r>
            <w:proofErr w:type="spellEnd"/>
            <w:r>
              <w:rPr>
                <w:sz w:val="18"/>
                <w:szCs w:val="18"/>
              </w:rPr>
              <w:t xml:space="preserve"> actively intervenes in this area to address this low risk. </w:t>
            </w: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071FF224" w:rsidR="008F36AD" w:rsidRPr="002E0918" w:rsidRDefault="00750A53" w:rsidP="00D0789F">
            <w:pPr>
              <w:tabs>
                <w:tab w:val="left" w:pos="810"/>
              </w:tabs>
              <w:rPr>
                <w:sz w:val="18"/>
                <w:szCs w:val="18"/>
              </w:rPr>
            </w:pPr>
            <w:r>
              <w:rPr>
                <w:sz w:val="18"/>
                <w:szCs w:val="18"/>
              </w:rPr>
              <w:t xml:space="preserve">No </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77AC749F" w:rsidR="00F07AAC" w:rsidRPr="002E0918" w:rsidRDefault="00750A53" w:rsidP="00D0789F">
            <w:pPr>
              <w:tabs>
                <w:tab w:val="left" w:pos="810"/>
              </w:tabs>
              <w:rPr>
                <w:sz w:val="18"/>
                <w:szCs w:val="18"/>
              </w:rPr>
            </w:pPr>
            <w:r>
              <w:rPr>
                <w:sz w:val="18"/>
                <w:szCs w:val="18"/>
              </w:rPr>
              <w:t xml:space="preserve">No </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68BE3D53" w:rsidR="00F07AAC" w:rsidRPr="002E0918" w:rsidRDefault="00750A53" w:rsidP="00D0789F">
            <w:pPr>
              <w:tabs>
                <w:tab w:val="left" w:pos="810"/>
              </w:tabs>
              <w:rPr>
                <w:sz w:val="18"/>
                <w:szCs w:val="18"/>
              </w:rPr>
            </w:pPr>
            <w:r>
              <w:rPr>
                <w:sz w:val="18"/>
                <w:szCs w:val="18"/>
              </w:rPr>
              <w:t xml:space="preserve">No </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w:t>
            </w:r>
            <w:proofErr w:type="gramStart"/>
            <w:r w:rsidR="00F07AAC">
              <w:rPr>
                <w:rFonts w:eastAsia="Times New Roman"/>
                <w:sz w:val="18"/>
                <w:szCs w:val="18"/>
              </w:rPr>
              <w:t xml:space="preserve">in particular </w:t>
            </w:r>
            <w:r w:rsidR="00F07AAC" w:rsidRPr="002E0918">
              <w:rPr>
                <w:rFonts w:eastAsia="Times New Roman"/>
                <w:sz w:val="18"/>
                <w:szCs w:val="18"/>
              </w:rPr>
              <w:t>marginalized</w:t>
            </w:r>
            <w:proofErr w:type="gramEnd"/>
            <w:r w:rsidR="00F07AAC" w:rsidRPr="002E0918">
              <w:rPr>
                <w:rFonts w:eastAsia="Times New Roman"/>
                <w:sz w:val="18"/>
                <w:szCs w:val="18"/>
              </w:rPr>
              <w:t xml:space="preserve">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2D9C816E" w:rsidR="00F07AAC" w:rsidRPr="002E0918" w:rsidRDefault="00750A53"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14714166" w:rsidR="00F07AAC" w:rsidRPr="002E0918" w:rsidRDefault="00750A53" w:rsidP="00D0789F">
            <w:pPr>
              <w:tabs>
                <w:tab w:val="left" w:pos="810"/>
              </w:tabs>
              <w:rPr>
                <w:sz w:val="18"/>
                <w:szCs w:val="18"/>
              </w:rPr>
            </w:pPr>
            <w:r>
              <w:rPr>
                <w:sz w:val="18"/>
                <w:szCs w:val="18"/>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7354CEA1" w:rsidR="00F07AAC" w:rsidRPr="002E0918" w:rsidRDefault="00750A53" w:rsidP="00D0789F">
            <w:pPr>
              <w:tabs>
                <w:tab w:val="left" w:pos="810"/>
              </w:tabs>
              <w:rPr>
                <w:sz w:val="18"/>
                <w:szCs w:val="18"/>
              </w:rPr>
            </w:pPr>
            <w:r>
              <w:rPr>
                <w:sz w:val="18"/>
                <w:szCs w:val="18"/>
              </w:rPr>
              <w:t>Yes</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26CEC7FE" w:rsidR="00F07AAC" w:rsidRPr="002E0918" w:rsidRDefault="00750A53"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505563D8" w:rsidR="00F07AAC" w:rsidRPr="002E0918" w:rsidRDefault="00750A53"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2F2FD494" w:rsidR="00F07AAC" w:rsidRPr="002E0918" w:rsidRDefault="00750A53"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6FFD0DFF" w:rsidR="00F07AAC" w:rsidRPr="002E0918" w:rsidRDefault="00750A53"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23992F70" w:rsidR="008A7431" w:rsidRPr="002E0918" w:rsidRDefault="00750A53"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02DFE71A" w:rsidR="00F07AAC" w:rsidRPr="002E0918" w:rsidRDefault="00750A53"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6378B2A3" w:rsidR="00F07AAC" w:rsidRPr="00310835" w:rsidRDefault="00750A53" w:rsidP="00D0789F">
            <w:pP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5EC6E71B"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5357FB53" w:rsidR="00F07AAC" w:rsidRPr="00310835" w:rsidRDefault="00D96EE6"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10BBAFF3" w:rsidR="00C32720" w:rsidRPr="00310835" w:rsidRDefault="00D96EE6"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28F2664A"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0003C607"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4CEBE8FC"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11BEF4AF"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139AA3E9"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372C2F9A"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4955783A"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622D19D3"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4BE56481"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28725471"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6101C30B"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547DF160"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 xml:space="preserve">No </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7C15F9A7"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482AB4C0"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0A78C4FF"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9D8DDEF"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14433E67"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38331212"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0C6083B2"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235E4FEB"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2C96BF95"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1939D04F"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3A4066D5"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024AF2E9"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005564AA"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53BF4B34"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61ACDBEC"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29821628"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3E5ED7D6"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7ED6DBCA"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32AA50FC"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066AD14C"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35D683C2"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06F5E4A0"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1DB2834D" w:rsidR="00F07AAC" w:rsidRPr="00310835" w:rsidRDefault="00815F94"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61F38DB6" w:rsidR="00F07AAC" w:rsidRPr="00310835" w:rsidRDefault="00815F94"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7B0A3C96" w:rsidR="00F07AAC" w:rsidRPr="00310835" w:rsidRDefault="00815F94"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06CE0490"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138A69BE"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EDC5" w14:textId="77777777" w:rsidR="00ED5602" w:rsidRDefault="00ED5602" w:rsidP="00323A56">
      <w:r>
        <w:separator/>
      </w:r>
    </w:p>
  </w:endnote>
  <w:endnote w:type="continuationSeparator" w:id="0">
    <w:p w14:paraId="659F1B93" w14:textId="77777777" w:rsidR="00ED5602" w:rsidRDefault="00ED5602"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22B76806"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2B0">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8971" w14:textId="77777777" w:rsidR="00ED5602" w:rsidRDefault="00ED5602" w:rsidP="00323A56">
      <w:r>
        <w:separator/>
      </w:r>
    </w:p>
  </w:footnote>
  <w:footnote w:type="continuationSeparator" w:id="0">
    <w:p w14:paraId="2A832D3A" w14:textId="77777777" w:rsidR="00ED5602" w:rsidRDefault="00ED5602"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0E16"/>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0DEE"/>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3D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7FC"/>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4D77"/>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2E9B"/>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22B0"/>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0A53"/>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1250"/>
    <w:rsid w:val="00803AAF"/>
    <w:rsid w:val="00803BDB"/>
    <w:rsid w:val="00804B4D"/>
    <w:rsid w:val="008053C7"/>
    <w:rsid w:val="008064CB"/>
    <w:rsid w:val="008069AF"/>
    <w:rsid w:val="008112A3"/>
    <w:rsid w:val="0081229F"/>
    <w:rsid w:val="008128CB"/>
    <w:rsid w:val="008143F8"/>
    <w:rsid w:val="00814D73"/>
    <w:rsid w:val="0081555A"/>
    <w:rsid w:val="008158DE"/>
    <w:rsid w:val="00815F94"/>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262"/>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066B"/>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1C7"/>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6EE6"/>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3614"/>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5602"/>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librarypage/operations1/undp-social-and-environmental-screening-procedure.html"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intranet.undp.org/unit/bpps/DI/SES_Toolkit"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01f5ce79b3be727c45a78d16c5859918">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6f11db917b7d8899a94edff39d1f2c9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ATLASPDC-4-156430</_dlc_DocId>
    <_dlc_DocIdUrl xmlns="f1161f5b-24a3-4c2d-bc81-44cb9325e8ee">
      <Url>https://info.undp.org/docs/pdc/_layouts/DocIdRedir.aspx?ID=ATLASPDC-4-156430</Url>
      <Description>ATLASPDC-4-156430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39BC5983-FDDC-431E-A5A9-D012681535D5}">
  <ds:schemaRefs>
    <ds:schemaRef ds:uri="http://schemas.microsoft.com/sharepoint/events"/>
  </ds:schemaRefs>
</ds:datastoreItem>
</file>

<file path=customXml/itemProps3.xml><?xml version="1.0" encoding="utf-8"?>
<ds:datastoreItem xmlns:ds="http://schemas.openxmlformats.org/officeDocument/2006/customXml" ds:itemID="{25F8D127-3EB2-42BD-B769-1D3ACFF876EF}"/>
</file>

<file path=customXml/itemProps4.xml><?xml version="1.0" encoding="utf-8"?>
<ds:datastoreItem xmlns:ds="http://schemas.openxmlformats.org/officeDocument/2006/customXml" ds:itemID="{D97C7E1F-0D2E-4964-B398-5328A020D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DFD9B643-46CE-408B-804A-5E997BD6E2F0}">
  <ds:schemaRefs>
    <ds:schemaRef ds:uri="http://schemas.openxmlformats.org/officeDocument/2006/bibliography"/>
  </ds:schemaRefs>
</ds:datastoreItem>
</file>

<file path=customXml/itemProps7.xml><?xml version="1.0" encoding="utf-8"?>
<ds:datastoreItem xmlns:ds="http://schemas.openxmlformats.org/officeDocument/2006/customXml" ds:itemID="{3F8D85BB-C0C6-496B-9BB3-EF2C3143D8EA}"/>
</file>

<file path=docProps/app.xml><?xml version="1.0" encoding="utf-8"?>
<Properties xmlns="http://schemas.openxmlformats.org/officeDocument/2006/extended-properties" xmlns:vt="http://schemas.openxmlformats.org/officeDocument/2006/docPropsVTypes">
  <Template>Normal</Template>
  <TotalTime>136</TotalTime>
  <Pages>7</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Gertie Steukers</cp:lastModifiedBy>
  <cp:revision>6</cp:revision>
  <cp:lastPrinted>2014-12-09T19:35:00Z</cp:lastPrinted>
  <dcterms:created xsi:type="dcterms:W3CDTF">2018-06-27T12:47:00Z</dcterms:created>
  <dcterms:modified xsi:type="dcterms:W3CDTF">2018-10-11T05:48:00Z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2;#Programme and Project Management|dea4c69a-7909-43f6-8de1-50c95d5a9f3f</vt:lpwstr>
  </property>
  <property fmtid="{D5CDD505-2E9C-101B-9397-08002B2CF9AE}" pid="8" name="_dlc_DocIdItemGuid">
    <vt:lpwstr>bc338a60-6ce7-4d1b-8016-7f3e7b0e9168</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(SES)|7a9dffd9-0b1f-4966-9938-9886c04c9893;#1616;#RWA|ed3569a9-fc5c-42bf-88c1-ceda407a56be;#1;#English|7f98b732-4b5b-4b70-ba90-a0eff09b5d2d;#763;#Draft|121d40a5-e62e-4d42-82e4-d6d12003de0a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RWA|ed3569a9-fc5c-42bf-88c1-ceda407a56be</vt:lpwstr>
  </property>
  <property fmtid="{D5CDD505-2E9C-101B-9397-08002B2CF9AE}" pid="14" name="UNDPPublishedDate">
    <vt:filetime>2022-03-19T20:00:00Z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1616;#RWA|ed3569a9-fc5c-42bf-88c1-ceda407a56be</vt:lpwstr>
  </property>
  <property fmtid="{D5CDD505-2E9C-101B-9397-08002B2CF9AE}" pid="19" name="Atlas Document Status">
    <vt:lpwstr>763;#Draft|121d40a5-e62e-4d42-82e4-d6d12003de0a</vt:lpwstr>
  </property>
  <property fmtid="{D5CDD505-2E9C-101B-9397-08002B2CF9AE}" pid="20" name="UndpProjectNo">
    <vt:lpwstr>117198</vt:lpwstr>
  </property>
  <property fmtid="{D5CDD505-2E9C-101B-9397-08002B2CF9AE}" pid="21" name="Document Coverage Period End Date">
    <vt:filetime>2023-06-30T06:00:00Z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