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F704F4FC" Type="http://schemas.openxmlformats.org/officeDocument/2006/relationships/officeDocument" Target="word/document.xml"/><Relationship Id="rId1" Type="http://schemas.openxmlformats.org/officeDocument/2006/relationships/custom-properties" Target="docProps/custom.xml"/><Relationship Id="R1CB7BB36" Type="http://schemas.openxmlformats.org/package/2006/relationships/metadata/core-properties" Target="docProps/core.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87" w:lineRule="auto"/>
        <w:ind w:left="1800" w:right="2303" w:firstLine="0"/>
      </w:pPr>
      <w:r>
        <w:rPr>
          <w:rFonts w:cs="Calibri" w:hAnsi="Calibri" w:eastAsia="Calibri" w:ascii="Calibri"/>
          <w:sz w:val="22"/>
        </w:rPr>
        <w:t xml:space="preserve">                 	 </w:t>
      </w:r>
    </w:p>
    <w:p>
      <w:pPr>
        <w:spacing w:before="0" w:after="40" w:line="259" w:lineRule="auto"/>
        <w:ind w:left="-269" w:right="0" w:firstLine="0"/>
        <w:jc w:val="left"/>
      </w:pPr>
      <w:r>
        <w:rPr>
          <w:rFonts w:cs="Calibri" w:hAnsi="Calibri" w:eastAsia="Calibri" w:ascii="Calibri"/>
          <w:sz w:val="22"/>
        </w:rPr>
        <w:drawing>
          <wp:inline distT="0" distB="0" distL="0" distR="0">
            <wp:extent cx="6111240" cy="7296913"/>
            <wp:docPr id="129302" name="Group 129302"/>
            <wp:cNvGraphicFramePr/>
            <a:graphic>
              <a:graphicData uri="http://schemas.microsoft.com/office/word/2010/wordprocessingGroup">
                <wpg:wgp>
                  <wpg:cNvGrpSpPr/>
                  <wpg:grpSpPr>
                    <a:xfrm>
                      <a:off x="0" y="0"/>
                      <a:ext cx="6111240" cy="7296913"/>
                      <a:chOff x="0" y="0"/>
                      <a:chExt cx="6111240" cy="7296913"/>
                    </a:xfrm>
                  </wpg:grpSpPr>
                  <pic:pic xmlns:pic="http://schemas.openxmlformats.org/drawingml/2006/picture">
                    <pic:nvPicPr>
                      <pic:cNvPr id="173638" name="Picture 173638"/>
                      <pic:cNvPicPr/>
                    </pic:nvPicPr>
                    <pic:blipFill>
                      <a:blip r:embed="rId69"/>
                      <a:stretch>
                        <a:fillRect/>
                      </a:stretch>
                    </pic:blipFill>
                    <pic:spPr>
                      <a:xfrm>
                        <a:off x="-2031" y="-4063"/>
                        <a:ext cx="6114289" cy="3651504"/>
                      </a:xfrm>
                      <a:prstGeom prst="rect">
                        <a:avLst/>
                      </a:prstGeom>
                    </pic:spPr>
                  </pic:pic>
                  <pic:pic xmlns:pic="http://schemas.openxmlformats.org/drawingml/2006/picture">
                    <pic:nvPicPr>
                      <pic:cNvPr id="173639" name="Picture 173639"/>
                      <pic:cNvPicPr/>
                    </pic:nvPicPr>
                    <pic:blipFill>
                      <a:blip r:embed="rId70"/>
                      <a:stretch>
                        <a:fillRect/>
                      </a:stretch>
                    </pic:blipFill>
                    <pic:spPr>
                      <a:xfrm>
                        <a:off x="-2031" y="3644393"/>
                        <a:ext cx="6114289" cy="3651504"/>
                      </a:xfrm>
                      <a:prstGeom prst="rect">
                        <a:avLst/>
                      </a:prstGeom>
                    </pic:spPr>
                  </pic:pic>
                </wpg:wgp>
              </a:graphicData>
            </a:graphic>
          </wp:inline>
        </w:drawing>
      </w:r>
    </w:p>
    <w:p>
      <w:pPr>
        <w:spacing w:before="0" w:after="7" w:line="259" w:lineRule="auto"/>
        <w:ind w:left="3806" w:right="0" w:firstLine="0"/>
        <w:jc w:val="left"/>
      </w:pPr>
      <w:r>
        <w:rPr>
          <w:sz w:val="22"/>
        </w:rPr>
        <w:t xml:space="preserve"> </w:t>
      </w:r>
      <w:r>
        <w:rPr>
          <w:rFonts w:cs="Calibri" w:hAnsi="Calibri" w:eastAsia="Calibri" w:ascii="Calibri"/>
          <w:sz w:val="22"/>
        </w:rPr>
        <w:t xml:space="preserve">               </w:t>
      </w:r>
    </w:p>
    <w:p>
      <w:pPr>
        <w:spacing w:before="0" w:after="0" w:line="259" w:lineRule="auto"/>
        <w:ind w:left="0" w:right="456" w:firstLine="0"/>
        <w:jc w:val="center"/>
      </w:pPr>
      <w:r>
        <w:rPr>
          <w:sz w:val="22"/>
        </w:rPr>
        <w:t xml:space="preserve"> </w:t>
      </w:r>
    </w:p>
    <w:p>
      <w:pPr>
        <w:spacing w:before="0" w:after="20" w:line="259" w:lineRule="auto"/>
        <w:ind w:left="0" w:right="0" w:firstLine="0"/>
        <w:jc w:val="left"/>
      </w:pPr>
      <w:r>
        <w:rPr>
          <w:sz w:val="22"/>
        </w:rPr>
        <w:t xml:space="preserve"> 	 </w:t>
      </w:r>
    </w:p>
    <w:p>
      <w:pPr>
        <w:spacing w:before="0" w:after="0" w:line="259" w:lineRule="auto"/>
        <w:ind w:left="0" w:right="456" w:firstLine="0"/>
        <w:jc w:val="right"/>
      </w:pPr>
      <w:r>
        <w:rPr>
          <w:sz w:val="22"/>
        </w:rPr>
        <w:t xml:space="preserve"> </w:t>
      </w:r>
    </w:p>
    <w:p>
      <w:pPr>
        <w:spacing w:before="0" w:after="0" w:line="216" w:lineRule="auto"/>
        <w:ind w:left="0" w:right="0" w:firstLine="34"/>
      </w:pPr>
      <w:r>
        <w:rPr>
          <w:rFonts w:cs="Calibri" w:hAnsi="Calibri" w:eastAsia="Calibri" w:ascii="Calibri"/>
          <w:sz w:val="22"/>
        </w:rPr>
        <w:drawing>
          <wp:inline distT="0" distB="0" distL="0" distR="0">
            <wp:extent cx="6217921" cy="7610857"/>
            <wp:docPr id="129285" name="Group 129285"/>
            <wp:cNvGraphicFramePr/>
            <a:graphic>
              <a:graphicData uri="http://schemas.microsoft.com/office/word/2010/wordprocessingGroup">
                <wpg:wgp>
                  <wpg:cNvGrpSpPr/>
                  <wpg:grpSpPr>
                    <a:xfrm>
                      <a:off x="0" y="0"/>
                      <a:ext cx="6217921" cy="7610857"/>
                      <a:chOff x="0" y="0"/>
                      <a:chExt cx="6217921" cy="7610857"/>
                    </a:xfrm>
                  </wpg:grpSpPr>
                  <pic:pic xmlns:pic="http://schemas.openxmlformats.org/drawingml/2006/picture">
                    <pic:nvPicPr>
                      <pic:cNvPr id="173640" name="Picture 173640"/>
                      <pic:cNvPicPr/>
                    </pic:nvPicPr>
                    <pic:blipFill>
                      <a:blip r:embed="rId71"/>
                      <a:stretch>
                        <a:fillRect/>
                      </a:stretch>
                    </pic:blipFill>
                    <pic:spPr>
                      <a:xfrm>
                        <a:off x="-3047" y="-4063"/>
                        <a:ext cx="6220969" cy="2542032"/>
                      </a:xfrm>
                      <a:prstGeom prst="rect">
                        <a:avLst/>
                      </a:prstGeom>
                    </pic:spPr>
                  </pic:pic>
                  <pic:pic xmlns:pic="http://schemas.openxmlformats.org/drawingml/2006/picture">
                    <pic:nvPicPr>
                      <pic:cNvPr id="173641" name="Picture 173641"/>
                      <pic:cNvPicPr/>
                    </pic:nvPicPr>
                    <pic:blipFill>
                      <a:blip r:embed="rId72"/>
                      <a:stretch>
                        <a:fillRect/>
                      </a:stretch>
                    </pic:blipFill>
                    <pic:spPr>
                      <a:xfrm>
                        <a:off x="-3047" y="2535936"/>
                        <a:ext cx="6220969" cy="2542032"/>
                      </a:xfrm>
                      <a:prstGeom prst="rect">
                        <a:avLst/>
                      </a:prstGeom>
                    </pic:spPr>
                  </pic:pic>
                  <pic:pic xmlns:pic="http://schemas.openxmlformats.org/drawingml/2006/picture">
                    <pic:nvPicPr>
                      <pic:cNvPr id="173642" name="Picture 173642"/>
                      <pic:cNvPicPr/>
                    </pic:nvPicPr>
                    <pic:blipFill>
                      <a:blip r:embed="rId73"/>
                      <a:stretch>
                        <a:fillRect/>
                      </a:stretch>
                    </pic:blipFill>
                    <pic:spPr>
                      <a:xfrm>
                        <a:off x="-3047" y="5075936"/>
                        <a:ext cx="6220969" cy="2535936"/>
                      </a:xfrm>
                      <a:prstGeom prst="rect">
                        <a:avLst/>
                      </a:prstGeom>
                    </pic:spPr>
                  </pic:pic>
                </wpg:wgp>
              </a:graphicData>
            </a:graphic>
          </wp:inline>
        </w:drawing>
      </w:r>
      <w:r>
        <w:rPr>
          <w:sz w:val="22"/>
        </w:rPr>
        <w:t xml:space="preserve">  </w:t>
      </w:r>
    </w:p>
    <w:sdt>
      <w:sdtPr>
        <w:docPartObj>
          <w:docPartGallery w:val="Table of Contents"/>
        </w:docPartObj>
      </w:sdtPr>
      <w:sdtContent>
        <w:p>
          <w:pPr>
            <w:spacing w:before="0" w:after="0" w:line="259" w:lineRule="auto"/>
            <w:ind w:left="0" w:right="0" w:firstLine="0"/>
            <w:jc w:val="left"/>
          </w:pPr>
          <w:r>
            <w:rPr>
              <w:rFonts w:cs="Cambria" w:hAnsi="Cambria" w:eastAsia="Cambria" w:ascii="Cambria"/>
              <w:b w:val="1"/>
              <w:color w:val="365f91"/>
              <w:sz w:val="22"/>
            </w:rPr>
            <w:t xml:space="preserve">CONTENTS</w:t>
          </w:r>
          <w:r>
            <w:rPr>
              <w:rFonts w:cs="Cambria" w:hAnsi="Cambria" w:eastAsia="Cambria" w:ascii="Cambria"/>
              <w:b w:val="1"/>
              <w:color w:val="365f91"/>
              <w:sz w:val="22"/>
            </w:rPr>
            <w:t xml:space="preserve"> </w:t>
          </w:r>
        </w:p>
        <w:p>
          <w:pPr>
            <w:pStyle w:val="TOC1"/>
            <w:tabs>
              <w:tab w:leader="dot" w:val="end" w:pos="9865"/>
            </w:tabs>
          </w:pPr>
          <w:r>
            <w:fldChar w:fldCharType="begin" w:dirty="true"/>
          </w:r>
          <w:r>
            <w:instrText xml:space="preserve"> TOC \o "1-3" \h \z \u </w:instrText>
          </w:r>
          <w:r>
            <w:fldChar w:fldCharType="separate"/>
          </w:r>
          <w:hyperlink w:anchor="_Toc179031">
            <w:r>
              <w:rPr/>
              <w:t xml:space="preserve">Abbreviations and definitions</w:t>
            </w:r>
            <w:r>
              <w:tab/>
            </w:r>
            <w:r>
              <w:fldChar w:fldCharType="begin"/>
            </w:r>
            <w:r>
              <w:instrText> PAGEREF _Toc179031 \h </w:instrText>
            </w:r>
            <w:r>
              <w:fldChar w:fldCharType="separate"/>
            </w:r>
            <w:r>
              <w:rPr>
                <w:rFonts w:cs="Cambria" w:hAnsi="Cambria" w:eastAsia="Cambria" w:ascii="Cambria"/>
                <w:color w:val="000000"/>
                <w:sz w:val="22"/>
              </w:rPr>
              <w:t xml:space="preserve">iv </w:t>
            </w:r>
            <w:r>
              <w:fldChar w:fldCharType="end"/>
            </w:r>
          </w:hyperlink>
        </w:p>
        <w:p>
          <w:pPr>
            <w:pStyle w:val="TOC1"/>
            <w:tabs>
              <w:tab w:leader="dot" w:val="end" w:pos="9865"/>
            </w:tabs>
          </w:pPr>
          <w:hyperlink w:anchor="_Toc179032">
            <w:r>
              <w:rPr/>
              <w:t xml:space="preserve">1</w:t>
            </w:r>
            <w:r>
              <w:rPr/>
              <w:t xml:space="preserve">  </w:t>
            </w:r>
            <w:r>
              <w:rPr/>
              <w:t xml:space="preserve">Contextual analysis</w:t>
            </w:r>
            <w:r>
              <w:tab/>
            </w:r>
            <w:r>
              <w:fldChar w:fldCharType="begin"/>
            </w:r>
            <w:r>
              <w:instrText> PAGEREF _Toc179032 \h </w:instrText>
            </w:r>
            <w:r>
              <w:fldChar w:fldCharType="separate"/>
            </w:r>
            <w:r>
              <w:rPr>
                <w:rFonts w:cs="Cambria" w:hAnsi="Cambria" w:eastAsia="Cambria" w:ascii="Cambria"/>
                <w:color w:val="000000"/>
                <w:sz w:val="22"/>
              </w:rPr>
              <w:t xml:space="preserve">1 </w:t>
            </w:r>
            <w:r>
              <w:fldChar w:fldCharType="end"/>
            </w:r>
          </w:hyperlink>
        </w:p>
        <w:p>
          <w:pPr>
            <w:pStyle w:val="TOC1"/>
            <w:tabs>
              <w:tab w:leader="dot" w:val="end" w:pos="9865"/>
            </w:tabs>
          </w:pPr>
          <w:hyperlink w:anchor="_Toc179033">
            <w:r>
              <w:rPr/>
              <w:t xml:space="preserve">2</w:t>
            </w:r>
            <w:r>
              <w:rPr/>
              <w:t xml:space="preserve">  </w:t>
            </w:r>
            <w:r>
              <w:rPr/>
              <w:t xml:space="preserve">Recovery and redevelopment phase</w:t>
            </w:r>
            <w:r>
              <w:tab/>
            </w:r>
            <w:r>
              <w:fldChar w:fldCharType="begin"/>
            </w:r>
            <w:r>
              <w:instrText> PAGEREF _Toc179033 \h </w:instrText>
            </w:r>
            <w:r>
              <w:fldChar w:fldCharType="separate"/>
            </w:r>
            <w:r>
              <w:rPr>
                <w:rFonts w:cs="Cambria" w:hAnsi="Cambria" w:eastAsia="Cambria" w:ascii="Cambria"/>
                <w:color w:val="000000"/>
                <w:sz w:val="22"/>
              </w:rPr>
              <w:t xml:space="preserve">3 </w:t>
            </w:r>
            <w:r>
              <w:fldChar w:fldCharType="end"/>
            </w:r>
          </w:hyperlink>
        </w:p>
        <w:p>
          <w:pPr>
            <w:pStyle w:val="TOC1"/>
            <w:tabs>
              <w:tab w:leader="dot" w:val="end" w:pos="9865"/>
            </w:tabs>
          </w:pPr>
          <w:hyperlink w:anchor="_Toc179034">
            <w:r>
              <w:rPr/>
              <w:t xml:space="preserve">3</w:t>
            </w:r>
            <w:r>
              <w:rPr/>
              <w:t xml:space="preserve">  </w:t>
            </w:r>
            <w:r>
              <w:rPr/>
              <w:t xml:space="preserve">Risks and Opportunities</w:t>
            </w:r>
            <w:r>
              <w:tab/>
            </w:r>
            <w:r>
              <w:fldChar w:fldCharType="begin"/>
            </w:r>
            <w:r>
              <w:instrText> PAGEREF _Toc179034 \h </w:instrText>
            </w:r>
            <w:r>
              <w:fldChar w:fldCharType="separate"/>
            </w:r>
            <w:r>
              <w:rPr>
                <w:rFonts w:cs="Cambria" w:hAnsi="Cambria" w:eastAsia="Cambria" w:ascii="Cambria"/>
                <w:color w:val="000000"/>
                <w:sz w:val="22"/>
              </w:rPr>
              <w:t xml:space="preserve">6 </w:t>
            </w:r>
            <w:r>
              <w:fldChar w:fldCharType="end"/>
            </w:r>
          </w:hyperlink>
        </w:p>
        <w:p>
          <w:pPr>
            <w:pStyle w:val="TOC2"/>
            <w:tabs>
              <w:tab w:leader="dot" w:val="end" w:pos="9865"/>
            </w:tabs>
          </w:pPr>
          <w:hyperlink w:anchor="_Toc179035">
            <w:r>
              <w:rPr/>
              <w:t xml:space="preserve">3.1</w:t>
            </w:r>
            <w:r>
              <w:rPr/>
              <w:t xml:space="preserve">  </w:t>
            </w:r>
            <w:r>
              <w:rPr/>
              <w:t xml:space="preserve">Conflicts over land</w:t>
            </w:r>
            <w:r>
              <w:tab/>
            </w:r>
            <w:r>
              <w:fldChar w:fldCharType="begin"/>
            </w:r>
            <w:r>
              <w:instrText> PAGEREF _Toc179035 \h </w:instrText>
            </w:r>
            <w:r>
              <w:fldChar w:fldCharType="separate"/>
            </w:r>
            <w:r>
              <w:rPr>
                <w:rFonts w:cs="Cambria" w:hAnsi="Cambria" w:eastAsia="Cambria" w:ascii="Cambria"/>
                <w:color w:val="000000"/>
                <w:sz w:val="22"/>
              </w:rPr>
              <w:t xml:space="preserve">7 </w:t>
            </w:r>
            <w:r>
              <w:fldChar w:fldCharType="end"/>
            </w:r>
          </w:hyperlink>
        </w:p>
        <w:p>
          <w:pPr>
            <w:pStyle w:val="TOC2"/>
            <w:tabs>
              <w:tab w:leader="dot" w:val="end" w:pos="9865"/>
            </w:tabs>
          </w:pPr>
          <w:hyperlink w:anchor="_Toc179036">
            <w:r>
              <w:rPr/>
              <w:t xml:space="preserve">3.2</w:t>
            </w:r>
            <w:r>
              <w:rPr/>
              <w:t xml:space="preserve">  </w:t>
            </w:r>
            <w:r>
              <w:rPr/>
              <w:t xml:space="preserve">Governance of mining sector</w:t>
            </w:r>
            <w:r>
              <w:tab/>
            </w:r>
            <w:r>
              <w:fldChar w:fldCharType="begin"/>
            </w:r>
            <w:r>
              <w:instrText> PAGEREF _Toc179036 \h </w:instrText>
            </w:r>
            <w:r>
              <w:fldChar w:fldCharType="separate"/>
            </w:r>
            <w:r>
              <w:rPr>
                <w:rFonts w:cs="Cambria" w:hAnsi="Cambria" w:eastAsia="Cambria" w:ascii="Cambria"/>
                <w:color w:val="000000"/>
                <w:sz w:val="22"/>
              </w:rPr>
              <w:t xml:space="preserve">8 </w:t>
            </w:r>
            <w:r>
              <w:fldChar w:fldCharType="end"/>
            </w:r>
          </w:hyperlink>
        </w:p>
        <w:p>
          <w:pPr>
            <w:pStyle w:val="TOC2"/>
            <w:tabs>
              <w:tab w:leader="dot" w:val="end" w:pos="9865"/>
            </w:tabs>
          </w:pPr>
          <w:hyperlink w:anchor="_Toc179037">
            <w:r>
              <w:rPr/>
              <w:t xml:space="preserve">3.3</w:t>
            </w:r>
            <w:r>
              <w:rPr/>
              <w:t xml:space="preserve">  </w:t>
            </w:r>
            <w:r>
              <w:rPr/>
              <w:t xml:space="preserve">Ineffective conflict management, early warning and mediation mechanisms</w:t>
            </w:r>
            <w:r>
              <w:tab/>
            </w:r>
            <w:r>
              <w:fldChar w:fldCharType="begin"/>
            </w:r>
            <w:r>
              <w:instrText> PAGEREF _Toc179037 \h </w:instrText>
            </w:r>
            <w:r>
              <w:fldChar w:fldCharType="separate"/>
            </w:r>
            <w:r>
              <w:rPr>
                <w:rFonts w:cs="Cambria" w:hAnsi="Cambria" w:eastAsia="Cambria" w:ascii="Cambria"/>
                <w:color w:val="000000"/>
                <w:sz w:val="22"/>
              </w:rPr>
              <w:t xml:space="preserve">8 </w:t>
            </w:r>
            <w:r>
              <w:fldChar w:fldCharType="end"/>
            </w:r>
          </w:hyperlink>
        </w:p>
        <w:p>
          <w:pPr>
            <w:pStyle w:val="TOC2"/>
            <w:tabs>
              <w:tab w:leader="dot" w:val="end" w:pos="9865"/>
            </w:tabs>
          </w:pPr>
          <w:hyperlink w:anchor="_Toc179038">
            <w:r>
              <w:rPr/>
              <w:t xml:space="preserve">3.4</w:t>
            </w:r>
            <w:r>
              <w:rPr/>
              <w:t xml:space="preserve">  </w:t>
            </w:r>
            <w:r>
              <w:rPr/>
              <w:t xml:space="preserve">High levels of youth unemployment and lack of social and economic mobility</w:t>
            </w:r>
            <w:r>
              <w:tab/>
            </w:r>
            <w:r>
              <w:fldChar w:fldCharType="begin"/>
            </w:r>
            <w:r>
              <w:instrText> PAGEREF _Toc179038 \h </w:instrText>
            </w:r>
            <w:r>
              <w:fldChar w:fldCharType="separate"/>
            </w:r>
            <w:r>
              <w:rPr>
                <w:rFonts w:cs="Cambria" w:hAnsi="Cambria" w:eastAsia="Cambria" w:ascii="Cambria"/>
                <w:color w:val="000000"/>
                <w:sz w:val="22"/>
              </w:rPr>
              <w:t xml:space="preserve">9 </w:t>
            </w:r>
            <w:r>
              <w:fldChar w:fldCharType="end"/>
            </w:r>
          </w:hyperlink>
        </w:p>
        <w:p>
          <w:pPr>
            <w:pStyle w:val="TOC2"/>
            <w:tabs>
              <w:tab w:leader="dot" w:val="end" w:pos="9865"/>
            </w:tabs>
          </w:pPr>
          <w:hyperlink w:anchor="_Toc179039">
            <w:r>
              <w:rPr/>
              <w:t xml:space="preserve">3.5</w:t>
            </w:r>
            <w:r>
              <w:rPr/>
              <w:t xml:space="preserve">  </w:t>
            </w:r>
            <w:r>
              <w:rPr/>
              <w:t xml:space="preserve">Insufficient capacity to manage disaster and climatic risks and impacts</w:t>
            </w:r>
            <w:r>
              <w:tab/>
            </w:r>
            <w:r>
              <w:fldChar w:fldCharType="begin"/>
            </w:r>
            <w:r>
              <w:instrText> PAGEREF _Toc179039 \h </w:instrText>
            </w:r>
            <w:r>
              <w:fldChar w:fldCharType="separate"/>
            </w:r>
            <w:r>
              <w:rPr>
                <w:rFonts w:cs="Cambria" w:hAnsi="Cambria" w:eastAsia="Cambria" w:ascii="Cambria"/>
                <w:color w:val="000000"/>
                <w:sz w:val="22"/>
              </w:rPr>
              <w:t xml:space="preserve">10 </w:t>
            </w:r>
            <w:r>
              <w:fldChar w:fldCharType="end"/>
            </w:r>
          </w:hyperlink>
        </w:p>
        <w:p>
          <w:pPr>
            <w:pStyle w:val="TOC1"/>
            <w:tabs>
              <w:tab w:leader="dot" w:val="end" w:pos="9865"/>
            </w:tabs>
          </w:pPr>
          <w:hyperlink w:anchor="_Toc179040">
            <w:r>
              <w:rPr/>
              <w:t xml:space="preserve">4</w:t>
            </w:r>
            <w:r>
              <w:rPr/>
              <w:t xml:space="preserve">  </w:t>
            </w:r>
            <w:r>
              <w:rPr/>
              <w:t xml:space="preserve">Project strategy</w:t>
            </w:r>
            <w:r>
              <w:tab/>
            </w:r>
            <w:r>
              <w:fldChar w:fldCharType="begin"/>
            </w:r>
            <w:r>
              <w:instrText> PAGEREF _Toc179040 \h </w:instrText>
            </w:r>
            <w:r>
              <w:fldChar w:fldCharType="separate"/>
            </w:r>
            <w:r>
              <w:rPr>
                <w:rFonts w:cs="Cambria" w:hAnsi="Cambria" w:eastAsia="Cambria" w:ascii="Cambria"/>
                <w:color w:val="000000"/>
                <w:sz w:val="22"/>
              </w:rPr>
              <w:t xml:space="preserve">12 </w:t>
            </w:r>
            <w:r>
              <w:fldChar w:fldCharType="end"/>
            </w:r>
          </w:hyperlink>
        </w:p>
        <w:p>
          <w:pPr>
            <w:pStyle w:val="TOC2"/>
            <w:tabs>
              <w:tab w:leader="dot" w:val="end" w:pos="9865"/>
            </w:tabs>
          </w:pPr>
          <w:hyperlink w:anchor="_Toc179041">
            <w:r>
              <w:rPr/>
              <w:t xml:space="preserve">4.1 Scope of the Strategy</w:t>
            </w:r>
            <w:r>
              <w:tab/>
            </w:r>
            <w:r>
              <w:fldChar w:fldCharType="begin"/>
            </w:r>
            <w:r>
              <w:instrText> PAGEREF _Toc179041 \h </w:instrText>
            </w:r>
            <w:r>
              <w:fldChar w:fldCharType="separate"/>
            </w:r>
            <w:r>
              <w:rPr>
                <w:rFonts w:cs="Cambria" w:hAnsi="Cambria" w:eastAsia="Cambria" w:ascii="Cambria"/>
                <w:color w:val="000000"/>
                <w:sz w:val="22"/>
              </w:rPr>
              <w:t xml:space="preserve">15 </w:t>
            </w:r>
            <w:r>
              <w:fldChar w:fldCharType="end"/>
            </w:r>
          </w:hyperlink>
        </w:p>
        <w:p>
          <w:pPr>
            <w:pStyle w:val="TOC3"/>
            <w:tabs>
              <w:tab w:leader="dot" w:val="end" w:pos="9865"/>
            </w:tabs>
          </w:pPr>
          <w:hyperlink w:anchor="_Toc179042">
            <w:r>
              <w:rPr/>
              <w:t xml:space="preserve">4.1.1</w:t>
            </w:r>
            <w:r>
              <w:rPr/>
              <w:t xml:space="preserve">  </w:t>
            </w:r>
            <w:r>
              <w:rPr/>
              <w:t xml:space="preserve">Project scope</w:t>
            </w:r>
            <w:r>
              <w:tab/>
            </w:r>
            <w:r>
              <w:fldChar w:fldCharType="begin"/>
            </w:r>
            <w:r>
              <w:instrText> PAGEREF _Toc179042 \h </w:instrText>
            </w:r>
            <w:r>
              <w:fldChar w:fldCharType="separate"/>
            </w:r>
            <w:r>
              <w:rPr>
                <w:rFonts w:cs="Cambria" w:hAnsi="Cambria" w:eastAsia="Cambria" w:ascii="Cambria"/>
                <w:color w:val="000000"/>
                <w:sz w:val="22"/>
              </w:rPr>
              <w:t xml:space="preserve">15 </w:t>
            </w:r>
            <w:r>
              <w:fldChar w:fldCharType="end"/>
            </w:r>
          </w:hyperlink>
        </w:p>
        <w:p>
          <w:pPr>
            <w:pStyle w:val="TOC3"/>
            <w:tabs>
              <w:tab w:leader="dot" w:val="end" w:pos="9865"/>
            </w:tabs>
          </w:pPr>
          <w:hyperlink w:anchor="_Toc179043">
            <w:r>
              <w:rPr/>
              <w:t xml:space="preserve">4.1.2</w:t>
            </w:r>
            <w:r>
              <w:rPr/>
              <w:t xml:space="preserve">  </w:t>
            </w:r>
            <w:r>
              <w:rPr/>
              <w:t xml:space="preserve">Geographical scope</w:t>
            </w:r>
            <w:r>
              <w:tab/>
            </w:r>
            <w:r>
              <w:fldChar w:fldCharType="begin"/>
            </w:r>
            <w:r>
              <w:instrText> PAGEREF _Toc179043 \h </w:instrText>
            </w:r>
            <w:r>
              <w:fldChar w:fldCharType="separate"/>
            </w:r>
            <w:r>
              <w:rPr>
                <w:rFonts w:cs="Cambria" w:hAnsi="Cambria" w:eastAsia="Cambria" w:ascii="Cambria"/>
                <w:color w:val="000000"/>
                <w:sz w:val="22"/>
              </w:rPr>
              <w:t xml:space="preserve">15 </w:t>
            </w:r>
            <w:r>
              <w:fldChar w:fldCharType="end"/>
            </w:r>
          </w:hyperlink>
        </w:p>
        <w:p>
          <w:pPr>
            <w:pStyle w:val="TOC2"/>
            <w:tabs>
              <w:tab w:leader="dot" w:val="end" w:pos="9865"/>
            </w:tabs>
          </w:pPr>
          <w:hyperlink w:anchor="_Toc179044">
            <w:r>
              <w:rPr/>
              <w:t xml:space="preserve">4.2 Programme outputs</w:t>
            </w:r>
            <w:r>
              <w:tab/>
            </w:r>
            <w:r>
              <w:fldChar w:fldCharType="begin"/>
            </w:r>
            <w:r>
              <w:instrText> PAGEREF _Toc179044 \h </w:instrText>
            </w:r>
            <w:r>
              <w:fldChar w:fldCharType="separate"/>
            </w:r>
            <w:r>
              <w:rPr>
                <w:rFonts w:cs="Cambria" w:hAnsi="Cambria" w:eastAsia="Cambria" w:ascii="Cambria"/>
                <w:color w:val="000000"/>
                <w:sz w:val="22"/>
              </w:rPr>
              <w:t xml:space="preserve">16 </w:t>
            </w:r>
            <w:r>
              <w:fldChar w:fldCharType="end"/>
            </w:r>
          </w:hyperlink>
        </w:p>
        <w:p>
          <w:pPr>
            <w:pStyle w:val="TOC2"/>
            <w:tabs>
              <w:tab w:leader="dot" w:val="end" w:pos="9865"/>
            </w:tabs>
          </w:pPr>
          <w:hyperlink w:anchor="_Toc179045">
            <w:r>
              <w:rPr>
                <w:rFonts w:cs="Cambria" w:hAnsi="Cambria" w:eastAsia="Cambria" w:ascii="Cambria"/>
                <w:i w:val="1"/>
              </w:rPr>
              <w:t xml:space="preserve">Output 1: Community justice &amp; security, and social cohesion increased for peaceful resolution of </w:t>
            </w:r>
            <w:r>
              <w:rPr>
                <w:rFonts w:cs="Cambria" w:hAnsi="Cambria" w:eastAsia="Cambria" w:ascii="Cambria"/>
                <w:i w:val="1"/>
              </w:rPr>
              <w:t xml:space="preserve">disputes, in particular as related to land and women’s issues</w:t>
            </w:r>
            <w:r>
              <w:tab/>
            </w:r>
            <w:r>
              <w:fldChar w:fldCharType="begin"/>
            </w:r>
            <w:r>
              <w:instrText> PAGEREF _Toc179045 \h </w:instrText>
            </w:r>
            <w:r>
              <w:fldChar w:fldCharType="separate"/>
            </w:r>
            <w:r>
              <w:rPr>
                <w:rFonts w:cs="Cambria" w:hAnsi="Cambria" w:eastAsia="Cambria" w:ascii="Cambria"/>
                <w:color w:val="000000"/>
                <w:sz w:val="22"/>
              </w:rPr>
              <w:t xml:space="preserve">16 </w:t>
            </w:r>
            <w:r>
              <w:fldChar w:fldCharType="end"/>
            </w:r>
          </w:hyperlink>
        </w:p>
        <w:p>
          <w:pPr>
            <w:pStyle w:val="TOC2"/>
            <w:tabs>
              <w:tab w:leader="dot" w:val="end" w:pos="9865"/>
            </w:tabs>
          </w:pPr>
          <w:hyperlink w:anchor="_Toc179046">
            <w:r>
              <w:rPr>
                <w:rFonts w:cs="Cambria" w:hAnsi="Cambria" w:eastAsia="Cambria" w:ascii="Cambria"/>
                <w:i w:val="1"/>
              </w:rPr>
              <w:t xml:space="preserve">Output 2: Employment opportunities enhanced and economic recovery and reintegration initiatives </w:t>
            </w:r>
            <w:r>
              <w:rPr>
                <w:rFonts w:cs="Cambria" w:hAnsi="Cambria" w:eastAsia="Cambria" w:ascii="Cambria"/>
                <w:i w:val="1"/>
              </w:rPr>
              <w:t xml:space="preserve">developed targeting youth, crises</w:t>
            </w:r>
            <w:r>
              <w:rPr>
                <w:rFonts w:cs="Cambria" w:hAnsi="Cambria" w:eastAsia="Cambria" w:ascii="Cambria"/>
                <w:i w:val="1"/>
              </w:rPr>
              <w:t xml:space="preserve">-</w:t>
            </w:r>
            <w:r>
              <w:rPr>
                <w:rFonts w:cs="Cambria" w:hAnsi="Cambria" w:eastAsia="Cambria" w:ascii="Cambria"/>
                <w:i w:val="1"/>
              </w:rPr>
              <w:t xml:space="preserve">affected and vulnerable people</w:t>
            </w:r>
            <w:r>
              <w:tab/>
            </w:r>
            <w:r>
              <w:fldChar w:fldCharType="begin"/>
            </w:r>
            <w:r>
              <w:instrText> PAGEREF _Toc179046 \h </w:instrText>
            </w:r>
            <w:r>
              <w:fldChar w:fldCharType="separate"/>
            </w:r>
            <w:r>
              <w:rPr>
                <w:rFonts w:cs="Cambria" w:hAnsi="Cambria" w:eastAsia="Cambria" w:ascii="Cambria"/>
                <w:color w:val="000000"/>
                <w:sz w:val="22"/>
              </w:rPr>
              <w:t xml:space="preserve">24 </w:t>
            </w:r>
            <w:r>
              <w:fldChar w:fldCharType="end"/>
            </w:r>
          </w:hyperlink>
        </w:p>
        <w:p>
          <w:pPr>
            <w:pStyle w:val="TOC1"/>
            <w:tabs>
              <w:tab w:leader="dot" w:val="end" w:pos="9865"/>
            </w:tabs>
          </w:pPr>
          <w:hyperlink w:anchor="_Toc179047">
            <w:r>
              <w:rPr>
                <w:rFonts w:cs="Cambria" w:hAnsi="Cambria" w:eastAsia="Cambria" w:ascii="Cambria"/>
                <w:i w:val="1"/>
              </w:rPr>
              <w:t xml:space="preserve">Output 3: Building a peaceful and sustainable mining in Northern Uganda</w:t>
            </w:r>
            <w:r>
              <w:tab/>
            </w:r>
            <w:r>
              <w:fldChar w:fldCharType="begin"/>
            </w:r>
            <w:r>
              <w:instrText> PAGEREF _Toc179047 \h </w:instrText>
            </w:r>
            <w:r>
              <w:fldChar w:fldCharType="separate"/>
            </w:r>
            <w:r>
              <w:rPr>
                <w:rFonts w:cs="Cambria" w:hAnsi="Cambria" w:eastAsia="Cambria" w:ascii="Cambria"/>
                <w:color w:val="000000"/>
                <w:sz w:val="22"/>
              </w:rPr>
              <w:t xml:space="preserve">29 </w:t>
            </w:r>
            <w:r>
              <w:fldChar w:fldCharType="end"/>
            </w:r>
          </w:hyperlink>
        </w:p>
        <w:p>
          <w:pPr>
            <w:pStyle w:val="TOC2"/>
            <w:tabs>
              <w:tab w:leader="dot" w:val="end" w:pos="9865"/>
            </w:tabs>
          </w:pPr>
          <w:hyperlink w:anchor="_Toc179048">
            <w:r>
              <w:rPr>
                <w:rFonts w:cs="Cambria" w:hAnsi="Cambria" w:eastAsia="Cambria" w:ascii="Cambria"/>
                <w:i w:val="1"/>
              </w:rPr>
              <w:t xml:space="preserve">Output 4: Capacity of local authorities and civil society strengthened in civic engagement, </w:t>
            </w:r>
            <w:r>
              <w:rPr>
                <w:rFonts w:cs="Cambria" w:hAnsi="Cambria" w:eastAsia="Cambria" w:ascii="Cambria"/>
                <w:i w:val="1"/>
              </w:rPr>
              <w:t xml:space="preserve">coordination, and planning for economic recovery and peace consolidation</w:t>
            </w:r>
            <w:r>
              <w:tab/>
            </w:r>
            <w:r>
              <w:fldChar w:fldCharType="begin"/>
            </w:r>
            <w:r>
              <w:instrText> PAGEREF _Toc179048 \h </w:instrText>
            </w:r>
            <w:r>
              <w:fldChar w:fldCharType="separate"/>
            </w:r>
            <w:r>
              <w:rPr>
                <w:rFonts w:cs="Cambria" w:hAnsi="Cambria" w:eastAsia="Cambria" w:ascii="Cambria"/>
                <w:color w:val="000000"/>
                <w:sz w:val="22"/>
              </w:rPr>
              <w:t xml:space="preserve">31 </w:t>
            </w:r>
            <w:r>
              <w:fldChar w:fldCharType="end"/>
            </w:r>
          </w:hyperlink>
        </w:p>
        <w:p>
          <w:pPr>
            <w:pStyle w:val="TOC1"/>
            <w:tabs>
              <w:tab w:leader="dot" w:val="end" w:pos="9865"/>
            </w:tabs>
          </w:pPr>
          <w:hyperlink w:anchor="_Toc179049">
            <w:r>
              <w:rPr/>
              <w:t xml:space="preserve">1.</w:t>
            </w:r>
            <w:r>
              <w:rPr/>
              <w:t xml:space="preserve">  </w:t>
            </w:r>
            <w:r>
              <w:rPr/>
              <w:t xml:space="preserve">Results and Resources Framework</w:t>
            </w:r>
            <w:r>
              <w:tab/>
            </w:r>
            <w:r>
              <w:fldChar w:fldCharType="begin"/>
            </w:r>
            <w:r>
              <w:instrText> PAGEREF _Toc179049 \h </w:instrText>
            </w:r>
            <w:r>
              <w:fldChar w:fldCharType="separate"/>
            </w:r>
            <w:r>
              <w:rPr>
                <w:rFonts w:cs="Cambria" w:hAnsi="Cambria" w:eastAsia="Cambria" w:ascii="Cambria"/>
                <w:color w:val="000000"/>
                <w:sz w:val="22"/>
              </w:rPr>
              <w:t xml:space="preserve">36 </w:t>
            </w:r>
            <w:r>
              <w:fldChar w:fldCharType="end"/>
            </w:r>
          </w:hyperlink>
        </w:p>
        <w:p>
          <w:pPr>
            <w:pStyle w:val="TOC1"/>
            <w:tabs>
              <w:tab w:leader="dot" w:val="end" w:pos="9865"/>
            </w:tabs>
          </w:pPr>
          <w:hyperlink w:anchor="_Toc179050">
            <w:r>
              <w:rPr/>
              <w:t xml:space="preserve">2.</w:t>
            </w:r>
            <w:r>
              <w:rPr/>
              <w:t xml:space="preserve">  </w:t>
            </w:r>
            <w:r>
              <w:rPr/>
              <w:t xml:space="preserve">Annual Work Plan </w:t>
            </w:r>
            <w:r>
              <w:rPr/>
              <w:t xml:space="preserve">- </w:t>
            </w:r>
            <w:r>
              <w:rPr/>
              <w:t xml:space="preserve">2013</w:t>
            </w:r>
            <w:r>
              <w:tab/>
            </w:r>
            <w:r>
              <w:fldChar w:fldCharType="begin"/>
            </w:r>
            <w:r>
              <w:instrText> PAGEREF _Toc179050 \h </w:instrText>
            </w:r>
            <w:r>
              <w:fldChar w:fldCharType="separate"/>
            </w:r>
            <w:r>
              <w:rPr>
                <w:rFonts w:cs="Cambria" w:hAnsi="Cambria" w:eastAsia="Cambria" w:ascii="Cambria"/>
                <w:color w:val="000000"/>
                <w:sz w:val="22"/>
              </w:rPr>
              <w:t xml:space="preserve">46 </w:t>
            </w:r>
            <w:r>
              <w:fldChar w:fldCharType="end"/>
            </w:r>
          </w:hyperlink>
        </w:p>
        <w:p>
          <w:pPr>
            <w:pStyle w:val="TOC1"/>
            <w:tabs>
              <w:tab w:leader="dot" w:val="end" w:pos="9865"/>
            </w:tabs>
          </w:pPr>
          <w:hyperlink w:anchor="_Toc179051">
            <w:r>
              <w:rPr/>
              <w:t xml:space="preserve">3.</w:t>
            </w:r>
            <w:r>
              <w:rPr/>
              <w:t xml:space="preserve">  </w:t>
            </w:r>
            <w:r>
              <w:rPr/>
              <w:t xml:space="preserve">Annual Work Plan </w:t>
            </w:r>
            <w:r>
              <w:rPr/>
              <w:t xml:space="preserve">- </w:t>
            </w:r>
            <w:r>
              <w:rPr/>
              <w:t xml:space="preserve">2014</w:t>
            </w:r>
            <w:r>
              <w:tab/>
            </w:r>
            <w:r>
              <w:fldChar w:fldCharType="begin"/>
            </w:r>
            <w:r>
              <w:instrText> PAGEREF _Toc179051 \h </w:instrText>
            </w:r>
            <w:r>
              <w:fldChar w:fldCharType="separate"/>
            </w:r>
            <w:r>
              <w:rPr>
                <w:rFonts w:cs="Cambria" w:hAnsi="Cambria" w:eastAsia="Cambria" w:ascii="Cambria"/>
                <w:color w:val="000000"/>
                <w:sz w:val="22"/>
              </w:rPr>
              <w:t xml:space="preserve">56 </w:t>
            </w:r>
            <w:r>
              <w:fldChar w:fldCharType="end"/>
            </w:r>
          </w:hyperlink>
        </w:p>
        <w:p>
          <w:pPr>
            <w:pStyle w:val="TOC1"/>
            <w:tabs>
              <w:tab w:leader="dot" w:val="end" w:pos="9865"/>
            </w:tabs>
          </w:pPr>
          <w:hyperlink w:anchor="_Toc179052">
            <w:r>
              <w:rPr/>
              <w:t xml:space="preserve">5</w:t>
            </w:r>
            <w:r>
              <w:rPr>
                <w:rFonts w:cs="Calibri" w:hAnsi="Calibri" w:eastAsia="Calibri" w:ascii="Calibri"/>
              </w:rPr>
              <w:t xml:space="preserve">  </w:t>
            </w:r>
            <w:r>
              <w:rPr/>
              <w:t xml:space="preserve">Partnership strategy</w:t>
            </w:r>
            <w:r>
              <w:tab/>
            </w:r>
            <w:r>
              <w:fldChar w:fldCharType="begin"/>
            </w:r>
            <w:r>
              <w:instrText> PAGEREF _Toc179052 \h </w:instrText>
            </w:r>
            <w:r>
              <w:fldChar w:fldCharType="separate"/>
            </w:r>
            <w:r>
              <w:rPr>
                <w:rFonts w:cs="Cambria" w:hAnsi="Cambria" w:eastAsia="Cambria" w:ascii="Cambria"/>
                <w:color w:val="000000"/>
                <w:sz w:val="22"/>
              </w:rPr>
              <w:t xml:space="preserve">67 </w:t>
            </w:r>
            <w:r>
              <w:fldChar w:fldCharType="end"/>
            </w:r>
          </w:hyperlink>
        </w:p>
        <w:p>
          <w:pPr>
            <w:pStyle w:val="TOC1"/>
            <w:tabs>
              <w:tab w:leader="dot" w:val="end" w:pos="9865"/>
            </w:tabs>
          </w:pPr>
          <w:hyperlink w:anchor="_Toc179053">
            <w:r>
              <w:rPr/>
              <w:t xml:space="preserve">6</w:t>
            </w:r>
            <w:r>
              <w:rPr>
                <w:rFonts w:cs="Calibri" w:hAnsi="Calibri" w:eastAsia="Calibri" w:ascii="Calibri"/>
              </w:rPr>
              <w:t xml:space="preserve">  </w:t>
            </w:r>
            <w:r>
              <w:rPr/>
              <w:t xml:space="preserve">Management arrangements</w:t>
            </w:r>
            <w:r>
              <w:tab/>
            </w:r>
            <w:r>
              <w:fldChar w:fldCharType="begin"/>
            </w:r>
            <w:r>
              <w:instrText> PAGEREF _Toc179053 \h </w:instrText>
            </w:r>
            <w:r>
              <w:fldChar w:fldCharType="separate"/>
            </w:r>
            <w:r>
              <w:rPr>
                <w:rFonts w:cs="Cambria" w:hAnsi="Cambria" w:eastAsia="Cambria" w:ascii="Cambria"/>
                <w:color w:val="000000"/>
                <w:sz w:val="22"/>
              </w:rPr>
              <w:t xml:space="preserve">67 </w:t>
            </w:r>
            <w:r>
              <w:fldChar w:fldCharType="end"/>
            </w:r>
          </w:hyperlink>
        </w:p>
        <w:p>
          <w:pPr>
            <w:pStyle w:val="TOC1"/>
            <w:tabs>
              <w:tab w:leader="dot" w:val="end" w:pos="9865"/>
            </w:tabs>
          </w:pPr>
          <w:hyperlink w:anchor="_Toc179054">
            <w:r>
              <w:rPr/>
              <w:t xml:space="preserve">7</w:t>
            </w:r>
            <w:r>
              <w:rPr>
                <w:rFonts w:cs="Calibri" w:hAnsi="Calibri" w:eastAsia="Calibri" w:ascii="Calibri"/>
              </w:rPr>
              <w:t xml:space="preserve">  </w:t>
            </w:r>
            <w:r>
              <w:rPr/>
              <w:t xml:space="preserve">Monitoring and evaluation framework</w:t>
            </w:r>
            <w:r>
              <w:tab/>
            </w:r>
            <w:r>
              <w:fldChar w:fldCharType="begin"/>
            </w:r>
            <w:r>
              <w:instrText> PAGEREF _Toc179054 \h </w:instrText>
            </w:r>
            <w:r>
              <w:fldChar w:fldCharType="separate"/>
            </w:r>
            <w:r>
              <w:rPr>
                <w:rFonts w:cs="Cambria" w:hAnsi="Cambria" w:eastAsia="Cambria" w:ascii="Cambria"/>
                <w:color w:val="000000"/>
                <w:sz w:val="22"/>
              </w:rPr>
              <w:t xml:space="preserve">69 </w:t>
            </w:r>
            <w:r>
              <w:fldChar w:fldCharType="end"/>
            </w:r>
          </w:hyperlink>
        </w:p>
        <w:p>
          <w:pPr>
            <w:pStyle w:val="TOC1"/>
            <w:tabs>
              <w:tab w:leader="dot" w:val="end" w:pos="9865"/>
            </w:tabs>
          </w:pPr>
          <w:hyperlink w:anchor="_Toc179055">
            <w:r>
              <w:rPr/>
              <w:t xml:space="preserve">8</w:t>
            </w:r>
            <w:r>
              <w:rPr>
                <w:rFonts w:cs="Calibri" w:hAnsi="Calibri" w:eastAsia="Calibri" w:ascii="Calibri"/>
              </w:rPr>
              <w:t xml:space="preserve">  </w:t>
            </w:r>
            <w:r>
              <w:rPr/>
              <w:t xml:space="preserve">Legal Context</w:t>
            </w:r>
            <w:r>
              <w:tab/>
            </w:r>
            <w:r>
              <w:fldChar w:fldCharType="begin"/>
            </w:r>
            <w:r>
              <w:instrText> PAGEREF _Toc179055 \h </w:instrText>
            </w:r>
            <w:r>
              <w:fldChar w:fldCharType="separate"/>
            </w:r>
            <w:r>
              <w:rPr>
                <w:rFonts w:cs="Cambria" w:hAnsi="Cambria" w:eastAsia="Cambria" w:ascii="Cambria"/>
                <w:color w:val="000000"/>
                <w:sz w:val="22"/>
              </w:rPr>
              <w:t xml:space="preserve">79 </w:t>
            </w:r>
            <w:r>
              <w:fldChar w:fldCharType="end"/>
            </w:r>
          </w:hyperlink>
        </w:p>
        <w:p>
          <w:pPr>
            <w:pStyle w:val="TOC1"/>
            <w:tabs>
              <w:tab w:leader="dot" w:val="end" w:pos="9865"/>
            </w:tabs>
          </w:pPr>
          <w:hyperlink w:anchor="_Toc179056">
            <w:r>
              <w:rPr/>
              <w:t xml:space="preserve">9</w:t>
            </w:r>
            <w:r>
              <w:rPr>
                <w:rFonts w:cs="Calibri" w:hAnsi="Calibri" w:eastAsia="Calibri" w:ascii="Calibri"/>
              </w:rPr>
              <w:t xml:space="preserve">  </w:t>
            </w:r>
            <w:r>
              <w:rPr/>
              <w:t xml:space="preserve">ANNEXES</w:t>
            </w:r>
            <w:r>
              <w:tab/>
            </w:r>
            <w:r>
              <w:fldChar w:fldCharType="begin"/>
            </w:r>
            <w:r>
              <w:instrText> PAGEREF _Toc179056 \h </w:instrText>
            </w:r>
            <w:r>
              <w:fldChar w:fldCharType="separate"/>
            </w:r>
            <w:r>
              <w:rPr>
                <w:rFonts w:cs="Cambria" w:hAnsi="Cambria" w:eastAsia="Cambria" w:ascii="Cambria"/>
                <w:color w:val="000000"/>
                <w:sz w:val="22"/>
              </w:rPr>
              <w:t xml:space="preserve">80 </w:t>
            </w:r>
            <w:r>
              <w:fldChar w:fldCharType="end"/>
            </w:r>
          </w:hyperlink>
        </w:p>
        <w:p>
          <w:pPr>
            <w:pStyle w:val="TOC1"/>
            <w:tabs>
              <w:tab w:leader="dot" w:val="end" w:pos="9865"/>
            </w:tabs>
          </w:pPr>
          <w:hyperlink w:anchor="_Toc179057">
            <w:r>
              <w:rPr/>
              <w:t xml:space="preserve">Risk Management Matrix</w:t>
            </w:r>
            <w:r>
              <w:tab/>
            </w:r>
            <w:r>
              <w:fldChar w:fldCharType="begin"/>
            </w:r>
            <w:r>
              <w:instrText> PAGEREF _Toc179057 \h </w:instrText>
            </w:r>
            <w:r>
              <w:fldChar w:fldCharType="separate"/>
            </w:r>
            <w:r>
              <w:rPr>
                <w:rFonts w:cs="Cambria" w:hAnsi="Cambria" w:eastAsia="Cambria" w:ascii="Cambria"/>
                <w:color w:val="000000"/>
                <w:sz w:val="22"/>
              </w:rPr>
              <w:t xml:space="preserve">80 </w:t>
            </w:r>
            <w:r>
              <w:fldChar w:fldCharType="end"/>
            </w:r>
          </w:hyperlink>
        </w:p>
        <w:p>
          <w:r>
            <w:fldChar w:fldCharType="end"/>
          </w:r>
        </w:p>
      </w:sdtContent>
    </w:sdt>
    <w:p>
      <w:pPr>
        <w:spacing w:before="0" w:after="24" w:line="259" w:lineRule="auto"/>
        <w:ind w:left="0" w:right="0" w:firstLine="0"/>
        <w:jc w:val="left"/>
      </w:pPr>
      <w:r>
        <w:rPr>
          <w:sz w:val="22"/>
        </w:rPr>
        <w:t xml:space="preserve"> </w:t>
      </w:r>
    </w:p>
    <w:p>
      <w:pPr>
        <w:spacing w:before="0" w:after="0" w:line="259" w:lineRule="auto"/>
        <w:ind w:left="0" w:right="0" w:firstLine="0"/>
        <w:jc w:val="left"/>
      </w:pPr>
      <w:r>
        <w:rPr>
          <w:sz w:val="22"/>
        </w:rPr>
        <w:t xml:space="preserve"> 	</w:t>
      </w:r>
      <w:r>
        <w:rPr>
          <w:color w:val="365f91"/>
          <w:sz w:val="22"/>
        </w:rPr>
        <w:t xml:space="preserve"> </w:t>
      </w:r>
    </w:p>
    <w:p>
      <w:pPr>
        <w:pStyle w:val="heading1"/>
        <w:spacing w:before="0" w:after="0" w:line="259" w:lineRule="auto"/>
        <w:ind w:left="-5"/>
      </w:pPr>
      <w:bookmarkStart w:id="179031" w:name="_Toc179031"/>
      <w:r>
        <w:rPr/>
        <w:t xml:space="preserve">Abbreviations and definitions</w:t>
      </w:r>
      <w:r>
        <w:rPr/>
        <w:t xml:space="preserve"> </w:t>
      </w:r>
      <w:bookmarkEnd w:id="179031"/>
    </w:p>
    <w:tbl>
      <w:tblPr>
        <w:tblStyle w:val="TableGrid"/>
        <w:tblW w:w="9364" w:type="dxa"/>
        <w:tblInd w:w="0" w:type="dxa"/>
        <w:tblCellMar>
          <w:top w:w="0" w:type="dxa"/>
          <w:left w:w="0" w:type="dxa"/>
          <w:bottom w:w="0" w:type="dxa"/>
          <w:right w:w="0" w:type="dxa"/>
        </w:tblCellMar>
      </w:tblPr>
      <w:tblGrid>
        <w:gridCol w:w="1440"/>
        <w:gridCol w:w="5909"/>
        <w:gridCol w:w="1286"/>
        <w:gridCol w:w="729"/>
      </w:tblGrid>
      <w:tr>
        <w:trPr>
          <w:trHeight w:val="240"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ADR</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Alternative Dispute Resolution</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57"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AMISOM</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African Mission in Somalia</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57"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CEDOVIP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Centre for Domestic Violence Prevention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59"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CHA</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Cessation of Hostilities Agreement</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59"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CPA</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Comprehensive Peace Agreement</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76"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CPAP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Country Programme Assistance Plan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CSO</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Civil Society Organisation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DRC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Democratic Republic of the Congo</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FAO</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Food and Agriculture Organization of the United Nations</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GOU</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Government of Uganda</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GOSS</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Government of South Sudan</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HIV</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Human Immunodeficiency Virus</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HUMC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Health Unit Management Committee</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IDP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Internally Displaced Population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ICRR</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International Climate Risk Report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JLOS</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Justice, Law and Order Sector</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LCC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Local council Courts</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LRA</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Lord’s Resistance Army</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MES</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Ministry of Education and Sports</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MGLSD</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Ministry of Gender, Labour, and Social Development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MLHUD</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Ministry of Lands, Housing and Urban Development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M</w:t>
            </w:r>
            <w:r>
              <w:rPr>
                <w:sz w:val="22"/>
              </w:rPr>
              <w:t xml:space="preserve">o</w:t>
            </w:r>
            <w:r>
              <w:rPr>
                <w:sz w:val="22"/>
              </w:rPr>
              <w:t xml:space="preserve">FPED</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Ministry of Finance Planning and Economic Development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MOLG</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Ministry of Local Government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MTR</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Midterm Review</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NAPA</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National Adaptation Plan of Action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NGO</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Non</w:t>
            </w:r>
            <w:r>
              <w:rPr>
                <w:sz w:val="22"/>
              </w:rPr>
              <w:t xml:space="preserve">-</w:t>
            </w:r>
            <w:r>
              <w:rPr>
                <w:sz w:val="22"/>
              </w:rPr>
              <w:t xml:space="preserve">Governmental Organization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NRM</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National Resistance Movement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NUERP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Northern Uganda early recovery Project</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OPM</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Office for the Prime Minister</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PDC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Parish Development Committee</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PEAP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Poverty Eradication Action Plan</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PRDP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Peace and Recovery Development Plan</w:t>
            </w:r>
            <w:r>
              <w:rPr>
                <w:sz w:val="22"/>
              </w:rPr>
              <w:t xml:space="preserve"> </w:t>
            </w:r>
          </w:p>
        </w:tc>
        <w:tc>
          <w:tcPr>
            <w:tcW w:w="1286" w:type="dxa"/>
            <w:tcBorders>
              <w:top w:val="nil"/>
              <w:left w:val="nil"/>
              <w:bottom w:val="nil"/>
              <w:right w:val="nil"/>
            </w:tcBorders>
            <w:vAlign w:val="bottom"/>
          </w:tcPr>
          <w:p>
            <w:pPr>
              <w:bidi w:val="0"/>
              <w:spacing w:before="0" w:after="160" w:line="259" w:lineRule="auto"/>
              <w:ind w:left="0" w:right="0" w:firstLine="0"/>
              <w:jc w:val="left"/>
            </w:pPr>
          </w:p>
        </w:tc>
        <w:tc>
          <w:tcPr>
            <w:tcW w:w="729" w:type="dxa"/>
            <w:tcBorders>
              <w:top w:val="nil"/>
              <w:left w:val="nil"/>
              <w:bottom w:val="nil"/>
              <w:right w:val="nil"/>
            </w:tcBorders>
            <w:vAlign w:val="center"/>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PTA</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Parents and Teachers Association</w:t>
            </w:r>
            <w:r>
              <w:rPr>
                <w:sz w:val="22"/>
              </w:rPr>
              <w:t xml:space="preserve"> </w:t>
            </w:r>
          </w:p>
        </w:tc>
        <w:tc>
          <w:tcPr>
            <w:tcW w:w="1286" w:type="dxa"/>
            <w:tcBorders>
              <w:top w:val="nil"/>
              <w:left w:val="nil"/>
              <w:bottom w:val="nil"/>
              <w:right w:val="nil"/>
            </w:tcBorders>
            <w:vAlign w:val="center"/>
          </w:tcPr>
          <w:p>
            <w:pPr>
              <w:bidi w:val="0"/>
              <w:spacing w:before="0" w:after="160" w:line="259" w:lineRule="auto"/>
              <w:ind w:left="0" w:right="0" w:firstLine="0"/>
              <w:jc w:val="left"/>
            </w:pPr>
          </w:p>
        </w:tc>
        <w:tc>
          <w:tcPr>
            <w:tcW w:w="729" w:type="dxa"/>
            <w:tcBorders>
              <w:top w:val="nil"/>
              <w:left w:val="nil"/>
              <w:bottom w:val="nil"/>
              <w:right w:val="nil"/>
            </w:tcBorders>
            <w:vAlign w:val="bottom"/>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PWD</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People with Disability</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SALW</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Small Arms and Light Weapons</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SGBV</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Sexually Gender Based Violence</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SMC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School Management Committee</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SPLA/M</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Sudanese Peoples Liberation Army/Movement</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ULRC</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Uganda Law reform Commission</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UN</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United Nations</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5"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UNDAF</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United Nations Development Assistance Framework</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98" w:hRule="atLeast"/>
        </w:trPr>
        <w:tc>
          <w:tcPr>
            <w:tcW w:w="1440" w:type="dxa"/>
            <w:tcBorders>
              <w:top w:val="nil"/>
              <w:left w:val="nil"/>
              <w:bottom w:val="nil"/>
              <w:right w:val="nil"/>
            </w:tcBorders>
            <w:vAlign w:val="top"/>
          </w:tcPr>
          <w:p>
            <w:pPr>
              <w:spacing w:before="0" w:after="0" w:line="259" w:lineRule="auto"/>
              <w:ind w:left="0" w:right="0" w:firstLine="0"/>
              <w:jc w:val="left"/>
            </w:pPr>
            <w:r>
              <w:rPr>
                <w:sz w:val="22"/>
              </w:rPr>
              <w:t xml:space="preserve">UNDP</w:t>
            </w:r>
            <w:r>
              <w:rPr>
                <w:sz w:val="22"/>
              </w:rPr>
              <w:t xml:space="preserve">  </w:t>
            </w:r>
          </w:p>
        </w:tc>
        <w:tc>
          <w:tcPr>
            <w:tcW w:w="5909" w:type="dxa"/>
            <w:tcBorders>
              <w:top w:val="nil"/>
              <w:left w:val="nil"/>
              <w:bottom w:val="nil"/>
              <w:right w:val="nil"/>
            </w:tcBorders>
            <w:vAlign w:val="top"/>
          </w:tcPr>
          <w:p>
            <w:pPr>
              <w:spacing w:before="0" w:after="0" w:line="259" w:lineRule="auto"/>
              <w:ind w:left="0" w:right="0" w:firstLine="0"/>
              <w:jc w:val="left"/>
            </w:pPr>
            <w:r>
              <w:rPr>
                <w:sz w:val="22"/>
              </w:rPr>
              <w:t xml:space="preserve">United Nations Development Programme</w:t>
            </w:r>
            <w:r>
              <w:rPr>
                <w:sz w:val="22"/>
              </w:rPr>
              <w:t xml:space="preserve"> </w:t>
            </w:r>
          </w:p>
        </w:tc>
        <w:tc>
          <w:tcPr>
            <w:tcW w:w="1286" w:type="dxa"/>
            <w:tcBorders>
              <w:top w:val="nil"/>
              <w:left w:val="nil"/>
              <w:bottom w:val="nil"/>
              <w:right w:val="nil"/>
            </w:tcBorders>
            <w:vAlign w:val="top"/>
          </w:tcPr>
          <w:p>
            <w:pPr>
              <w:bidi w:val="0"/>
              <w:spacing w:before="0" w:after="160" w:line="259" w:lineRule="auto"/>
              <w:ind w:left="0" w:right="0" w:firstLine="0"/>
              <w:jc w:val="left"/>
            </w:pPr>
          </w:p>
        </w:tc>
        <w:tc>
          <w:tcPr>
            <w:tcW w:w="729" w:type="dxa"/>
            <w:tcBorders>
              <w:top w:val="nil"/>
              <w:left w:val="nil"/>
              <w:bottom w:val="nil"/>
              <w:right w:val="nil"/>
            </w:tcBorders>
            <w:vAlign w:val="top"/>
          </w:tcPr>
          <w:p>
            <w:pPr>
              <w:bidi w:val="0"/>
              <w:spacing w:before="0" w:after="160" w:line="259" w:lineRule="auto"/>
              <w:ind w:left="0" w:right="0" w:firstLine="0"/>
              <w:jc w:val="left"/>
            </w:pPr>
          </w:p>
        </w:tc>
      </w:tr>
      <w:tr>
        <w:trPr>
          <w:trHeight w:val="259" w:hRule="atLeast"/>
        </w:trPr>
        <w:tc>
          <w:tcPr>
            <w:tcW w:w="1440" w:type="dxa"/>
            <w:tcBorders>
              <w:top w:val="nil"/>
              <w:left w:val="nil"/>
              <w:bottom w:val="nil"/>
              <w:right w:val="nil"/>
            </w:tcBorders>
            <w:vAlign w:val="top"/>
          </w:tcPr>
          <w:p>
            <w:pPr>
              <w:tabs>
                <w:tab w:val="center" w:pos="720"/>
              </w:tabs>
              <w:spacing w:before="0" w:after="0" w:line="259" w:lineRule="auto"/>
              <w:ind w:left="0" w:right="0" w:firstLine="0"/>
              <w:jc w:val="left"/>
            </w:pPr>
            <w:r>
              <w:rPr>
                <w:sz w:val="22"/>
              </w:rPr>
              <w:t xml:space="preserve">WFP</w:t>
            </w:r>
            <w:r>
              <w:rPr>
                <w:sz w:val="22"/>
              </w:rPr>
              <w:t xml:space="preserve"> 	 </w:t>
            </w:r>
          </w:p>
        </w:tc>
        <w:tc>
          <w:tcPr>
            <w:tcW w:w="5909" w:type="dxa"/>
            <w:tcBorders>
              <w:top w:val="nil"/>
              <w:left w:val="nil"/>
              <w:bottom w:val="nil"/>
              <w:right w:val="nil"/>
            </w:tcBorders>
            <w:vAlign w:val="top"/>
          </w:tcPr>
          <w:p>
            <w:pPr>
              <w:tabs>
                <w:tab w:val="center" w:pos="1475"/>
                <w:tab w:val="center" w:pos="2919"/>
                <w:tab w:val="center" w:pos="4214"/>
                <w:tab w:val="center" w:pos="5111"/>
              </w:tabs>
              <w:spacing w:before="0" w:after="0" w:line="259" w:lineRule="auto"/>
              <w:ind w:left="0" w:right="0" w:firstLine="0"/>
              <w:jc w:val="left"/>
            </w:pPr>
            <w:r>
              <w:rPr>
                <w:sz w:val="22"/>
              </w:rPr>
              <w:t xml:space="preserve">World 	Food 	Programme 	of 	the </w:t>
            </w:r>
          </w:p>
        </w:tc>
        <w:tc>
          <w:tcPr>
            <w:tcW w:w="1286" w:type="dxa"/>
            <w:tcBorders>
              <w:top w:val="nil"/>
              <w:left w:val="nil"/>
              <w:bottom w:val="nil"/>
              <w:right w:val="nil"/>
            </w:tcBorders>
            <w:vAlign w:val="top"/>
          </w:tcPr>
          <w:p>
            <w:pPr>
              <w:spacing w:before="0" w:after="0" w:line="259" w:lineRule="auto"/>
              <w:ind w:left="0" w:right="0" w:firstLine="0"/>
              <w:jc w:val="left"/>
            </w:pPr>
            <w:r>
              <w:rPr>
                <w:sz w:val="22"/>
              </w:rPr>
              <w:t xml:space="preserve">United </w:t>
            </w:r>
          </w:p>
        </w:tc>
        <w:tc>
          <w:tcPr>
            <w:tcW w:w="729" w:type="dxa"/>
            <w:tcBorders>
              <w:top w:val="nil"/>
              <w:left w:val="nil"/>
              <w:bottom w:val="nil"/>
              <w:right w:val="nil"/>
            </w:tcBorders>
            <w:vAlign w:val="top"/>
          </w:tcPr>
          <w:p>
            <w:pPr>
              <w:spacing w:before="0" w:after="0" w:line="259" w:lineRule="auto"/>
              <w:ind w:left="0" w:right="0" w:firstLine="0"/>
            </w:pPr>
            <w:r>
              <w:rPr>
                <w:sz w:val="22"/>
              </w:rPr>
              <w:t xml:space="preserve">Nations</w:t>
            </w:r>
          </w:p>
        </w:tc>
      </w:tr>
    </w:tbl>
    <w:p>
      <w:pPr>
        <w:sectPr>
          <w:footerReference w:type="even" r:id="rId3"/>
          <w:footerReference w:type="default" r:id="rId2"/>
          <w:footerReference w:type="first" r:id="rId1"/>
          <w:pgSz w:w="12240" w:h="15840" w:orient="portrait"/>
          <w:pgMar w:footer="762" w:left="1440" w:top="1475" w:right="935" w:bottom="1449"/>
          <w:pgNumType w:fmt="lowerRoman"/>
          <w:cols/>
        </w:sectPr>
      </w:pPr>
    </w:p>
    <w:p>
      <w:pPr>
        <w:pStyle w:val="heading1"/>
        <w:tabs>
          <w:tab w:val="center" w:pos="2153"/>
        </w:tabs>
        <w:spacing w:before="0" w:after="0" w:line="259" w:lineRule="auto"/>
        <w:ind w:left="-15" w:firstLine="0"/>
      </w:pPr>
      <w:bookmarkStart w:id="179032" w:name="_Toc179032"/>
      <w:r>
        <w:rPr/>
        <w:t xml:space="preserve">1</w:t>
      </w:r>
      <w:r>
        <w:rPr/>
        <w:t xml:space="preserve"> 	</w:t>
      </w:r>
      <w:r>
        <w:rPr/>
        <w:t xml:space="preserve">Contextual analysis</w:t>
      </w:r>
      <w:r>
        <w:rPr/>
        <w:t xml:space="preserve"> </w:t>
      </w:r>
      <w:bookmarkEnd w:id="179032"/>
    </w:p>
    <w:p>
      <w:pPr>
        <w:pStyle w:val="normal"/>
        <w:spacing w:before="0" w:after="5" w:line="268" w:lineRule="auto"/>
        <w:ind w:left="-5" w:right="0"/>
      </w:pPr>
      <w:r>
        <w:rPr/>
        <w:t xml:space="preserve">The post</w:t>
      </w:r>
      <w:r>
        <w:rPr/>
        <w:t xml:space="preserve">-</w:t>
      </w:r>
      <w:r>
        <w:rPr/>
        <w:t xml:space="preserve">colonial history of Uganda is characterized by conflict and wide spread instability, which largely explains the current political framework in the country. It is a history of coup d'état’s, regional and ethnic competition, civil war, and a cross</w:t>
      </w:r>
      <w:r>
        <w:rPr/>
        <w:t xml:space="preserve">-</w:t>
      </w:r>
      <w:r>
        <w:rPr/>
        <w:t xml:space="preserve">border war with Tanzania</w:t>
      </w:r>
      <w:r>
        <w:rPr/>
        <w:t xml:space="preserve">.</w:t>
      </w:r>
      <w:r>
        <w:rPr/>
        <w:t xml:space="preserve">  </w:t>
      </w:r>
      <w:r>
        <w:rPr/>
        <w:t xml:space="preserve">The victory of the National Resistance Movement (NRM) in 1986 under the leadership of the current President Yoweri Kaguta Museveni ushered the longest period of relative political stability in Uganda’s history</w:t>
      </w:r>
      <w:r>
        <w:rPr/>
        <w:t xml:space="preserve">.</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However, from the time it came to power in January 1986, the government of the NRM</w:t>
      </w:r>
      <w:r>
        <w:rPr/>
        <w:t xml:space="preserve"> </w:t>
      </w:r>
      <w:r>
        <w:rPr/>
        <w:t xml:space="preserve">government</w:t>
      </w:r>
      <w:r>
        <w:rPr/>
        <w:t xml:space="preserve"> </w:t>
      </w:r>
      <w:r>
        <w:rPr/>
        <w:t xml:space="preserve">faced several armed rebellions in Acholi, Lango, Teso and West Nile sub</w:t>
      </w:r>
      <w:r>
        <w:rPr/>
        <w:t xml:space="preserve"/>
      </w:r>
      <w:r>
        <w:rPr/>
        <w:t xml:space="preserve">regions, as well as having to contend with resurgent violent livestock raiding in Karamoja and neighbouring districts. The complexities of these different armed conflicts generated differential impacts on every aspect of the livelihoods of the populations in the affected communities. It did not only lead to massive population displacement into internally displaced persons (IDP</w:t>
      </w:r>
      <w:r>
        <w:rPr/>
        <w:t xml:space="preserve">) </w:t>
      </w:r>
      <w:r>
        <w:rPr/>
        <w:t xml:space="preserve">camps but also loss of life of tens of  thousands of people, massive destruction of property and breakdown of the social, economic and other infrastructures and networks.</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While the Lord’s Resistance Army (LRA</w:t>
      </w:r>
      <w:r>
        <w:rPr/>
        <w:t xml:space="preserve">) </w:t>
      </w:r>
      <w:r>
        <w:rPr/>
        <w:t xml:space="preserve">were the main cause of internal displacement in much of Northern Uganda, in sub</w:t>
      </w:r>
      <w:r>
        <w:rPr/>
        <w:t xml:space="preserve">-</w:t>
      </w:r>
      <w:r>
        <w:rPr/>
        <w:t xml:space="preserve">counties neighbouring Karamoja in Acholi, Lango and Teso sub</w:t>
      </w:r>
      <w:r>
        <w:rPr/>
        <w:t xml:space="preserve">-</w:t>
      </w:r>
      <w:r>
        <w:rPr/>
        <w:t xml:space="preserve">regions, internal displacement was also associated with armed Karimojong livestock raiding. Armed Karimojong warriors (cattle rustlers) extended to Lango</w:t>
      </w:r>
      <w:r>
        <w:rPr/>
        <w:t xml:space="preserve"> </w:t>
      </w:r>
      <w:r>
        <w:rPr/>
        <w:t xml:space="preserve">for the first time between 1985 and 1988</w:t>
      </w:r>
      <w:r>
        <w:rPr/>
        <w:t xml:space="preserve"> </w:t>
      </w:r>
      <w:r>
        <w:rPr/>
        <w:t xml:space="preserve">and rustled cattle from as far as Akokoro Sub County in Apac district on the shores of Lake Kwania which is bordered by Nakasongola District to the South and the current Kiryandongo District to the West</w:t>
      </w:r>
      <w:r>
        <w:rPr/>
        <w:t xml:space="preserve">.</w:t>
      </w:r>
      <w:r>
        <w:rPr/>
        <w:t xml:space="preserve"> </w:t>
      </w:r>
      <w:r>
        <w:rPr/>
        <w:t xml:space="preserve">They left in their wake destruction of life and property and above all a population dispossessed of their major source of livelihood </w:t>
      </w:r>
      <w:r>
        <w:rPr/>
        <w:t xml:space="preserve">– </w:t>
      </w:r>
      <w:r>
        <w:rPr/>
        <w:t xml:space="preserve">cattle.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By 1996, the most formidable rebellion that the government of Uganda had to deal with was the LRA. Until 200</w:t>
      </w:r>
      <w:r>
        <w:rPr/>
        <w:t xml:space="preserve">0</w:t>
      </w:r>
      <w:r>
        <w:rPr/>
        <w:t xml:space="preserve">, the insurgency was largely confined to Acholi sub region where hundreds of thousands of the civilian population had already been moved to internally displaced persons camps. However, between</w:t>
      </w:r>
      <w:r>
        <w:rPr/>
        <w:t xml:space="preserve"> </w:t>
      </w:r>
      <w:r>
        <w:rPr/>
        <w:t xml:space="preserve">2001 and 2003</w:t>
      </w:r>
      <w:r>
        <w:rPr/>
        <w:t xml:space="preserve">,</w:t>
      </w:r>
      <w:r>
        <w:rPr/>
        <w:t xml:space="preserve"> </w:t>
      </w:r>
      <w:r>
        <w:rPr/>
        <w:t xml:space="preserve">LRA rebel incursions into Lango increased. Between 2003 and 2004, insecurity engulfed Acholi, Lango and Teso sub</w:t>
      </w:r>
      <w:r>
        <w:rPr/>
        <w:t xml:space="preserve"/>
      </w:r>
      <w:r>
        <w:rPr/>
        <w:t xml:space="preserve">regions. In 2004, 2 massacres took place in Lira district, one at Abia where over 60 IDPs were killed, and at Barlonyo, where over 300 civilians were killed on 21 February 2004. This led to massive displacement of people from the villages into the safety of Lira town and its outskirts</w:t>
      </w:r>
      <w:r>
        <w:rPr/>
        <w:t xml:space="preserv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The signing of the Comprehensive Peace Agreement (CPA) between</w:t>
      </w:r>
      <w:r>
        <w:rPr/>
        <w:t xml:space="preserve"> </w:t>
      </w:r>
      <w:r>
        <w:rPr/>
        <w:t xml:space="preserve">the Khartoum government and the Sudanese Peoples Liberation Army (SPLA/SPLM)) in January 2005 greatly curtailed the hitherto unfettered existence of the LRA in southern Sudan. The LRA shifted its base to DRC in September 2005. Peace talks between the government of Uganda and the LRA began in 2006, and were mediated by the Government of South Sudan (GOSS). On</w:t>
      </w:r>
      <w:r>
        <w:rPr/>
        <w:t xml:space="preserve"> </w:t>
      </w:r>
      <w:r>
        <w:rPr/>
        <w:t xml:space="preserve">August </w:t>
      </w:r>
      <w:r>
        <w:rPr/>
        <w:t xml:space="preserve">26</w:t>
      </w:r>
      <w:r>
        <w:rPr>
          <w:vertAlign w:val="superscript"/>
        </w:rPr>
        <w:t xml:space="preserve">th</w:t>
      </w:r>
      <w:r>
        <w:rPr/>
        <w:t xml:space="preserve"> </w:t>
      </w:r>
      <w:r>
        <w:rPr/>
        <w:t xml:space="preserve">2006, the Cessation of Hostilities (CoH) Agreement was signed between the GoU and the LRA.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Despite the failure by Kony to sign the Final Peace Agreement on 10 April 2008 and a couple of times thereafter (in May and June 2008), the Juba peace negotiations were credited for ushering relative peace and calm in Northern Uganda</w:t>
      </w:r>
      <w:r>
        <w:rPr/>
        <w:t xml:space="preserve">. </w:t>
      </w:r>
      <w:r>
        <w:rPr/>
        <w:t xml:space="preserve">Sections of IDPs began relocating from ‘Mother’ IDP camps either under the government</w:t>
      </w:r>
      <w:r>
        <w:rPr/>
        <w:t xml:space="preserve">-</w:t>
      </w:r>
      <w:r>
        <w:rPr/>
        <w:t xml:space="preserve">initiated ‘de</w:t>
      </w:r>
      <w:r>
        <w:rPr/>
        <w:t xml:space="preserve">-</w:t>
      </w:r>
      <w:r>
        <w:rPr/>
        <w:t xml:space="preserve">congestion’ programme, or left IDP camps ‘spontaneously’. Some former IDPs returned straight to their former villages, while the majority first settled in satellite camps near their former villages.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In the areas of return, and former villages, government and humanitarian agencies had ceased providing emergency assistance, and yet the former IDPs either lacked food or were not able to</w:t>
      </w:r>
      <w:r>
        <w:rPr/>
        <w:t xml:space="preserve"> </w:t>
      </w:r>
      <w:r>
        <w:rPr/>
        <w:t xml:space="preserve">grow the food quickly. Without sufficient food rations, returnees faced significant food shortages. The delivery of government promises of food relief as well as planting materials and seeds for returning IDPs for the initial six months encountered a lot of challenges, which led to widespread food insecurity and high malnutrition levels in almost all areas of return, initially in Lango, but also in Acholi where there was return. Many of those who returned to their homes lacked requisite agricultural implements for crop production.</w:t>
      </w:r>
      <w:r>
        <w:rPr/>
        <w:t xml:space="preserve"> </w:t>
      </w:r>
      <w:r>
        <w:rPr/>
        <w:t xml:space="preserve">While there was less congestion in return areas, basic social services (e.g. primary health care services, safe water, education institutions, and access</w:t>
      </w:r>
      <w:r>
        <w:rPr/>
        <w:t xml:space="preserve"> </w:t>
      </w:r>
      <w:r>
        <w:rPr/>
        <w:t xml:space="preserve">to sufficient food, protection from crime and personal safety and shelter) were seriously lacking for the majority of the population</w:t>
      </w:r>
      <w:r>
        <w:rPr>
          <w:vertAlign w:val="superscript"/>
        </w:rPr>
        <w:footnoteReference w:id="13"/>
      </w:r>
      <w:r>
        <w:rPr/>
        <w:t xml:space="preserve">.</w:t>
      </w:r>
      <w:r>
        <w:rPr/>
        <w:t xml:space="preserve"> </w:t>
      </w:r>
      <w:r>
        <w:rPr/>
        <w:t xml:space="preserve">This exposed the population to a lot of serious risks including disease</w:t>
      </w:r>
      <w:r>
        <w:rPr/>
        <w:t xml:space="preserve"> </w:t>
      </w:r>
      <w:r>
        <w:rPr/>
        <w:t xml:space="preserve">as the health system had collapsed.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In all the areas of return, land conflicts between households and clans/communities were rife, with the most serious conflicts being manifested in Amuru district. Due to inadequate presence of institutions of the state such as police and local councils, criminality was rife in all areas of return, associated mainly with large numbers of unaccounted for small arms and ammunition in illegal hands.</w:t>
      </w:r>
      <w:r>
        <w:rPr>
          <w:vertAlign w:val="superscript"/>
        </w:rPr>
        <w:footnoteReference w:id="14"/>
      </w:r>
      <w:r>
        <w:rPr>
          <w:vertAlign w:val="superscript"/>
        </w:rPr>
        <w:footnoteReference w:id="68"/>
      </w:r>
      <w:r>
        <w:rPr/>
        <w:t xml:space="preserve"> </w:t>
      </w:r>
      <w:r>
        <w:rPr/>
        <w:t xml:space="preserve">The prolonged exposure to armed conflicts and the conditions in the IDP camps had accelerated a crisis in social values and systems. </w:t>
      </w:r>
      <w:r>
        <w:rPr/>
        <w:t xml:space="preserve"> </w:t>
      </w:r>
    </w:p>
    <w:p>
      <w:pPr>
        <w:spacing w:before="0" w:after="15" w:line="259" w:lineRule="auto"/>
        <w:ind w:left="0" w:right="0" w:firstLine="0"/>
        <w:jc w:val="left"/>
      </w:pPr>
      <w:r>
        <w:rPr>
          <w:rFonts w:cs="Cambria" w:hAnsi="Cambria" w:eastAsia="Cambria" w:ascii="Cambria"/>
          <w:b w:val="1"/>
        </w:rPr>
        <w:t xml:space="preserve"> </w:t>
      </w:r>
    </w:p>
    <w:p>
      <w:pPr>
        <w:pStyle w:val="normal"/>
        <w:spacing w:before="0" w:after="5" w:line="268" w:lineRule="auto"/>
        <w:ind w:left="-5" w:right="0"/>
      </w:pPr>
      <w:r>
        <w:rPr/>
        <w:t xml:space="preserve">Not only were land conflict common</w:t>
      </w:r>
      <w:r>
        <w:rPr/>
        <w:t xml:space="preserve"> </w:t>
      </w:r>
      <w:r>
        <w:rPr/>
        <w:t xml:space="preserve">and bloody, natural disasters in the form of floods and diseases struck. Floods as a result of heavy rains received between August and October </w:t>
      </w:r>
      <w:r>
        <w:rPr/>
        <w:t xml:space="preserve">2007</w:t>
      </w:r>
      <w:r>
        <w:rPr/>
        <w:t xml:space="preserve"> </w:t>
      </w:r>
      <w:r>
        <w:rPr/>
        <w:t xml:space="preserve">led to displacement in Lango and destroyed infrastructure in both Lango and Acholi. Ebola haemorrhagic epidemic and of recent the nodding syndrome have affected mainly Acholi</w:t>
      </w:r>
      <w:r>
        <w:rPr/>
        <w:t xml:space="preserve"> </w:t>
      </w:r>
      <w:r>
        <w:rPr/>
        <w:t xml:space="preserve">and led to death of scores of people.</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Meanwhile in</w:t>
      </w:r>
      <w:r>
        <w:rPr/>
        <w:t xml:space="preserve"> </w:t>
      </w:r>
      <w:r>
        <w:rPr/>
        <w:t xml:space="preserve">Karamoja, conflict and insecurity had existed from time immemorial</w:t>
      </w:r>
      <w:r>
        <w:rPr/>
        <w:t xml:space="preserve"> </w:t>
      </w:r>
      <w:r>
        <w:rPr/>
        <w:t xml:space="preserve">although</w:t>
      </w:r>
      <w:r>
        <w:rPr/>
        <w:t xml:space="preserve"> </w:t>
      </w:r>
      <w:r>
        <w:rPr/>
        <w:t xml:space="preserve">it</w:t>
      </w:r>
      <w:r>
        <w:rPr/>
        <w:t xml:space="preserve"> </w:t>
      </w:r>
      <w:r>
        <w:rPr/>
        <w:t xml:space="preserve">was exacerbated when the</w:t>
      </w:r>
      <w:r>
        <w:rPr/>
        <w:t xml:space="preserve"> </w:t>
      </w:r>
      <w:r>
        <w:rPr/>
        <w:t xml:space="preserve">Karimojong warriors</w:t>
      </w:r>
      <w:r>
        <w:rPr/>
        <w:t xml:space="preserve"> </w:t>
      </w:r>
      <w:r>
        <w:rPr/>
        <w:t xml:space="preserve">acquired automatic weapons from the departing Uganda Army soldiers at the fall of President Idi Amin in 1979. When the soldiers departed, the warriors raided</w:t>
      </w:r>
      <w:r>
        <w:rPr/>
        <w:t xml:space="preserve"> </w:t>
      </w:r>
      <w:r>
        <w:rPr/>
        <w:t xml:space="preserve">an unguarded armoury in Moroto Military barracks and made off with thousands of arms and ammunitions. This was shortly followed by influx of arms and ammunition from the volatile areas across the border including arms from Somalia and South Sudan. From then on, the nature and form of conflict and insecurity changed with massive armed parties of Karimojong warriors moving at will to rustle cattle from communities within and in the neighbouring sub regions of Lango, Teso, Acholi, Sebei and Bugisu. They even carried out cross</w:t>
      </w:r>
      <w:r>
        <w:rPr/>
        <w:t xml:space="preserve">-</w:t>
      </w:r>
      <w:r>
        <w:rPr/>
        <w:t xml:space="preserve">border raids into Kenya and South Sudan.</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It</w:t>
      </w:r>
      <w:r>
        <w:rPr/>
        <w:t xml:space="preserve"> </w:t>
      </w:r>
      <w:r>
        <w:rPr/>
        <w:t xml:space="preserve">is worth noting that Karamoja</w:t>
      </w:r>
      <w:r>
        <w:rPr/>
        <w:t xml:space="preserve"> </w:t>
      </w:r>
      <w:r>
        <w:rPr/>
        <w:t xml:space="preserve">suffered</w:t>
      </w:r>
      <w:r>
        <w:rPr/>
        <w:t xml:space="preserve"> </w:t>
      </w:r>
      <w:r>
        <w:rPr/>
        <w:t xml:space="preserve">and still suffers</w:t>
      </w:r>
      <w:r>
        <w:rPr/>
        <w:t xml:space="preserve"> </w:t>
      </w:r>
      <w:r>
        <w:rPr/>
        <w:t xml:space="preserve">from a myriad of problems ranging from food insecurity and inadequate infrastructure to poor governance and poor delivery of all basic social services, resulting from decades of social, political, economic and cultural marginalization and exclusion. These problems have been compounded by chronic armed conflict, due to not only the uncontrolled proliferation of small arms and light weapons</w:t>
      </w:r>
      <w:r>
        <w:rPr/>
        <w:t xml:space="preserve"> </w:t>
      </w:r>
      <w:r>
        <w:rPr/>
        <w:t xml:space="preserve">until recently when a semblance of normalcy was restored by the disarmament programme which was launched in May 2006 and is still being sustained. Nevertheless, these factors conspired to make Karamoja extremely vulnerable to different forms of crises both natural and manmade. </w:t>
      </w:r>
      <w:r>
        <w:rPr/>
        <w:t xml:space="preserve"> </w:t>
      </w:r>
    </w:p>
    <w:p>
      <w:pPr>
        <w:spacing w:before="0" w:after="100" w:line="259" w:lineRule="auto"/>
        <w:ind w:left="0" w:right="0" w:firstLine="0"/>
        <w:jc w:val="left"/>
      </w:pPr>
      <w:r>
        <w:rPr/>
        <w:t xml:space="preserve"> </w:t>
      </w:r>
    </w:p>
    <w:p>
      <w:pPr>
        <w:pStyle w:val="heading1"/>
        <w:tabs>
          <w:tab w:val="center" w:pos="3355"/>
        </w:tabs>
        <w:spacing w:before="0" w:after="0" w:line="259" w:lineRule="auto"/>
        <w:ind w:left="-15" w:firstLine="0"/>
      </w:pPr>
      <w:bookmarkStart w:id="179033" w:name="_Toc179033"/>
      <w:r>
        <w:rPr/>
        <w:t xml:space="preserve">2</w:t>
      </w:r>
      <w:r>
        <w:rPr/>
        <w:t xml:space="preserve"> 	</w:t>
      </w:r>
      <w:r>
        <w:rPr/>
        <w:t xml:space="preserve">Recovery and redevelopment phase</w:t>
      </w:r>
      <w:r>
        <w:rPr/>
        <w:t xml:space="preserve"> </w:t>
      </w:r>
      <w:bookmarkEnd w:id="179033"/>
    </w:p>
    <w:p>
      <w:pPr>
        <w:pStyle w:val="normal"/>
        <w:spacing w:before="0" w:after="5" w:line="268" w:lineRule="auto"/>
        <w:ind w:left="-5" w:right="0"/>
      </w:pPr>
      <w:r>
        <w:rPr/>
        <w:t xml:space="preserve">With return and resettlement in earnest as a result of the respite brought about</w:t>
      </w:r>
      <w:r>
        <w:rPr/>
        <w:t xml:space="preserve"> </w:t>
      </w:r>
      <w:r>
        <w:rPr/>
        <w:t xml:space="preserve">by the CHA and the improving security situation in Karamoja, in 2007, the Government of Uganda developed the</w:t>
      </w:r>
      <w:r>
        <w:rPr/>
        <w:t xml:space="preserve"> </w:t>
      </w:r>
      <w:r>
        <w:rPr/>
        <w:t xml:space="preserve">Peace, Recovery and Development Plan for Uganda (PRDP</w:t>
      </w:r>
      <w:r>
        <w:rPr/>
        <w:t xml:space="preserve">)</w:t>
      </w:r>
      <w:r>
        <w:rPr/>
        <w:t xml:space="preserve">, as a framework through which northern</w:t>
      </w:r>
      <w:r>
        <w:rPr/>
        <w:t xml:space="preserve"> </w:t>
      </w:r>
      <w:r>
        <w:rPr/>
        <w:t xml:space="preserve">Uganda would be helped to recover from the effects of the two decades if armed conflict. The PRDP was preceded and accompanied by other measures to protect the civilian population and promote development. These were expressed in the GoU's Poverty Eradication Action Plan (PEAP), an IDP policy and various humanitarian and emergency relief responses that targeted</w:t>
      </w:r>
      <w:r>
        <w:rPr/>
        <w:t xml:space="preserve"> </w:t>
      </w:r>
      <w:r>
        <w:rPr/>
        <w:t xml:space="preserve">Northern Uganda.</w:t>
      </w:r>
      <w:r>
        <w:rPr/>
        <w:t xml:space="preserve"> </w:t>
      </w:r>
      <w:r>
        <w:rPr/>
        <w:t xml:space="preserve">Since then different development partners and GoU have implemented a number of initiatives within the </w:t>
      </w:r>
      <w:r>
        <w:rPr/>
        <w:t xml:space="preserve">region, some of which were specific to certain sub regions while others cut across</w:t>
      </w:r>
      <w:r>
        <w:rPr/>
        <w:t xml:space="preserve"> </w:t>
      </w:r>
      <w:r>
        <w:rPr/>
        <w:t xml:space="preserve">sub regions. Initiatives implemented range from governance to community infrastructure.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United Nations Development Programme (UNDP) has supported PRDP areas through several projects: the </w:t>
      </w:r>
      <w:r>
        <w:rPr>
          <w:rFonts w:cs="Cambria" w:hAnsi="Cambria" w:eastAsia="Cambria" w:ascii="Cambria"/>
          <w:i w:val="1"/>
        </w:rPr>
        <w:t xml:space="preserve">Strengthening Recovery, Reconciliation, Peacebuilding and Development project</w:t>
      </w:r>
      <w:r>
        <w:rPr/>
        <w:t xml:space="preserve"> </w:t>
      </w:r>
      <w:r>
        <w:rPr/>
        <w:t xml:space="preserve">focused on social cohesion and livelihoods initiatives in Nwoya, Lamwo, Pader and Agago; the </w:t>
      </w:r>
      <w:r>
        <w:rPr>
          <w:rFonts w:cs="Cambria" w:hAnsi="Cambria" w:eastAsia="Cambria" w:ascii="Cambria"/>
          <w:i w:val="1"/>
        </w:rPr>
        <w:t xml:space="preserve">Karamoja</w:t>
      </w:r>
      <w:r>
        <w:rPr>
          <w:rFonts w:cs="Cambria" w:hAnsi="Cambria" w:eastAsia="Cambria" w:ascii="Cambria"/>
          <w:i w:val="1"/>
        </w:rPr>
        <w:t xml:space="preserve"> </w:t>
      </w:r>
      <w:r>
        <w:rPr>
          <w:rFonts w:cs="Cambria" w:hAnsi="Cambria" w:eastAsia="Cambria" w:ascii="Cambria"/>
          <w:i w:val="1"/>
        </w:rPr>
        <w:t xml:space="preserve">Peacebuilding and Development project </w:t>
      </w:r>
      <w:r>
        <w:rPr/>
        <w:t xml:space="preserve">provided livelihoods and governance support in Karamoja; the</w:t>
      </w:r>
      <w:r>
        <w:rPr/>
        <w:t xml:space="preserve"> </w:t>
      </w:r>
      <w:r>
        <w:rPr>
          <w:rFonts w:cs="Cambria" w:hAnsi="Cambria" w:eastAsia="Cambria" w:ascii="Cambria"/>
          <w:i w:val="1"/>
        </w:rPr>
        <w:t xml:space="preserve">Civic</w:t>
      </w:r>
      <w:r>
        <w:rPr>
          <w:rFonts w:cs="Cambria" w:hAnsi="Cambria" w:eastAsia="Cambria" w:ascii="Cambria"/>
          <w:i w:val="1"/>
        </w:rPr>
        <w:t xml:space="preserve"> </w:t>
      </w:r>
      <w:r>
        <w:rPr>
          <w:rFonts w:cs="Cambria" w:hAnsi="Cambria" w:eastAsia="Cambria" w:ascii="Cambria"/>
          <w:i w:val="1"/>
        </w:rPr>
        <w:t xml:space="preserve">and Political Participation project </w:t>
      </w:r>
      <w:r>
        <w:rPr/>
        <w:t xml:space="preserve">promoted rights awareness in Amalator and Dokolo; the </w:t>
      </w:r>
      <w:r>
        <w:rPr>
          <w:rFonts w:cs="Cambria" w:hAnsi="Cambria" w:eastAsia="Cambria" w:ascii="Cambria"/>
          <w:i w:val="1"/>
        </w:rPr>
        <w:t xml:space="preserve">Gender Budget project </w:t>
      </w:r>
      <w:r>
        <w:rPr/>
        <w:t xml:space="preserve">supported gender responsive budgeting for the PRDP; the </w:t>
      </w:r>
      <w:r>
        <w:rPr>
          <w:rFonts w:cs="Cambria" w:hAnsi="Cambria" w:eastAsia="Cambria" w:ascii="Cambria"/>
          <w:i w:val="1"/>
        </w:rPr>
        <w:t xml:space="preserve">Karamoja</w:t>
      </w:r>
      <w:r>
        <w:rPr>
          <w:rFonts w:cs="Cambria" w:hAnsi="Cambria" w:eastAsia="Cambria" w:ascii="Cambria"/>
          <w:i w:val="1"/>
        </w:rPr>
        <w:t xml:space="preserve"> </w:t>
      </w:r>
      <w:r>
        <w:rPr>
          <w:rFonts w:cs="Cambria" w:hAnsi="Cambria" w:eastAsia="Cambria" w:ascii="Cambria"/>
          <w:i w:val="1"/>
        </w:rPr>
        <w:t xml:space="preserve">Youth Empowerment project </w:t>
      </w:r>
      <w:r>
        <w:rPr/>
        <w:t xml:space="preserve">fostered livelihoods for youth in Karamoja. UNDP also contributed to joint UN programmes supporting elements of the PRDP 1 such as the </w:t>
      </w:r>
      <w:r>
        <w:rPr>
          <w:rFonts w:cs="Cambria" w:hAnsi="Cambria" w:eastAsia="Cambria" w:ascii="Cambria"/>
          <w:i w:val="1"/>
        </w:rPr>
        <w:t xml:space="preserve">Programme for Gender Equality; the Peacebuilding through justice for all and human rights </w:t>
      </w:r>
      <w:r>
        <w:rPr/>
        <w:t xml:space="preserve">in Acholi</w:t>
      </w:r>
      <w:r>
        <w:rPr>
          <w:rFonts w:cs="Cambria" w:hAnsi="Cambria" w:eastAsia="Cambria" w:ascii="Cambria"/>
          <w:i w:val="1"/>
        </w:rPr>
        <w:t xml:space="preserve">; the Livelihoods and Economic Recovery project </w:t>
      </w:r>
      <w:r>
        <w:rPr/>
        <w:t xml:space="preserve">in Acholi</w:t>
      </w:r>
      <w:r>
        <w:rPr>
          <w:rFonts w:cs="Cambria" w:hAnsi="Cambria" w:eastAsia="Cambria" w:ascii="Cambria"/>
          <w:i w:val="1"/>
        </w:rPr>
        <w:t xml:space="preserve">; the Resettlement, Recovery, Livelihoods and Peacebuilding project </w:t>
      </w:r>
      <w:r>
        <w:rPr/>
        <w:t xml:space="preserve">in Acholi</w:t>
      </w:r>
      <w:r>
        <w:rPr/>
        <w:t xml:space="preserve"> </w:t>
      </w:r>
      <w:r>
        <w:rPr/>
        <w:t xml:space="preserve">and </w:t>
      </w:r>
      <w:r>
        <w:rPr>
          <w:rFonts w:cs="Cambria" w:hAnsi="Cambria" w:eastAsia="Cambria" w:ascii="Cambria"/>
          <w:i w:val="1"/>
        </w:rPr>
        <w:t xml:space="preserve">the Joint Northern Uganda Early Recovery Project</w:t>
      </w:r>
      <w:r>
        <w:rPr/>
        <w:t xml:space="preserve"> </w:t>
      </w:r>
      <w:r>
        <w:rPr/>
        <w:t xml:space="preserve">in Oyam, Lira,</w:t>
      </w:r>
      <w:r>
        <w:rPr/>
        <w:t xml:space="preserve"> </w:t>
      </w:r>
      <w:r>
        <w:rPr/>
        <w:t xml:space="preserve">Alebtong and Otuke Districts. These projects are coming to an end along with the end of PRDP 1.</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PRDP, combined with other interventions targeting PRDP areas have therefore laid the foundation for recovery in Northern Uganda. Collectively, these efforts have resulted into a significant drop in the absolute poverty gap by 1</w:t>
      </w:r>
      <w:r>
        <w:rPr/>
        <w:t xml:space="preserve">3</w:t>
      </w:r>
      <w:r>
        <w:rPr/>
        <w:t xml:space="preserve">% since the start of the PRDP 1</w:t>
      </w:r>
      <w:r>
        <w:rPr/>
        <w:t xml:space="preserve"> </w:t>
      </w:r>
      <w:r>
        <w:rPr/>
        <w:t xml:space="preserve">in 2007</w:t>
      </w:r>
      <w:r>
        <w:rPr/>
        <w:t xml:space="preserve">. </w:t>
      </w:r>
      <w:r>
        <w:rPr/>
        <w:t xml:space="preserve">The Figure below shows poverty trends in Northern Uganda from 1992</w:t>
      </w:r>
      <w:r>
        <w:rPr/>
        <w:t xml:space="preserve">-</w:t>
      </w:r>
      <w:r>
        <w:rPr/>
        <w:t xml:space="preserve">2009.</w:t>
      </w: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Cambria" w:hAnsi="Cambria" w:eastAsia="Cambria" w:ascii="Cambria"/>
          <w:b w:val="1"/>
          <w:sz w:val="18"/>
        </w:rPr>
        <w:t xml:space="preserve">Figure </w:t>
      </w:r>
      <w:r>
        <w:rPr>
          <w:rFonts w:cs="Cambria" w:hAnsi="Cambria" w:eastAsia="Cambria" w:ascii="Cambria"/>
          <w:b w:val="1"/>
          <w:sz w:val="18"/>
        </w:rPr>
        <w:t xml:space="preserve">1</w:t>
      </w:r>
      <w:r>
        <w:rPr>
          <w:rFonts w:cs="Cambria" w:hAnsi="Cambria" w:eastAsia="Cambria" w:ascii="Cambria"/>
          <w:b w:val="1"/>
          <w:sz w:val="18"/>
        </w:rPr>
        <w:t xml:space="preserve"> </w:t>
      </w:r>
      <w:r>
        <w:rPr>
          <w:rFonts w:cs="Cambria" w:hAnsi="Cambria" w:eastAsia="Cambria" w:ascii="Cambria"/>
          <w:b w:val="1"/>
          <w:sz w:val="18"/>
        </w:rPr>
        <w:t xml:space="preserve">Poverty trend in Northern Uganda since 1992</w:t>
      </w:r>
      <w:r>
        <w:rPr>
          <w:rFonts w:cs="Cambria" w:hAnsi="Cambria" w:eastAsia="Cambria" w:ascii="Cambria"/>
          <w:b w:val="1"/>
          <w:sz w:val="18"/>
        </w:rPr>
        <w:t xml:space="preserve"> </w:t>
      </w:r>
    </w:p>
    <w:p>
      <w:pPr>
        <w:spacing w:before="0" w:after="58" w:line="259" w:lineRule="auto"/>
        <w:ind w:left="3" w:right="0" w:firstLine="0"/>
        <w:jc w:val="left"/>
      </w:pPr>
      <w:r>
        <w:drawing>
          <wp:inline distT="0" distB="0" distL="0" distR="0">
            <wp:extent cx="5903977" cy="2240280"/>
            <wp:effectExtent l="0" t="0" r="0" b="0"/>
            <wp:docPr id="173643" name="Picture 173643"/>
            <wp:cNvGraphicFramePr/>
            <a:graphic>
              <a:graphicData uri="http://schemas.openxmlformats.org/drawingml/2006/picture">
                <pic:pic xmlns:pic="http://schemas.openxmlformats.org/drawingml/2006/picture">
                  <pic:nvPicPr>
                    <pic:cNvPr id="173643" name="Picture 173643"/>
                    <pic:cNvPicPr/>
                  </pic:nvPicPr>
                  <pic:blipFill>
                    <a:blip r:embed="rId74"/>
                    <a:stretch>
                      <a:fillRect/>
                    </a:stretch>
                  </pic:blipFill>
                  <pic:spPr>
                    <a:xfrm>
                      <a:off x="0" y="0"/>
                      <a:ext cx="5903977" cy="2240280"/>
                    </a:xfrm>
                    <a:prstGeom prst="rect">
                      <a:avLst/>
                    </a:prstGeom>
                  </pic:spPr>
                </pic:pic>
              </a:graphicData>
            </a:graphic>
          </wp:inline>
        </w:drawing>
      </w:r>
    </w:p>
    <w:p>
      <w:pPr>
        <w:spacing w:before="0" w:after="14" w:line="259" w:lineRule="auto"/>
        <w:ind w:left="-5" w:right="0"/>
        <w:jc w:val="left"/>
      </w:pPr>
      <w:r>
        <w:rPr>
          <w:rFonts w:cs="Cambria" w:hAnsi="Cambria" w:eastAsia="Cambria" w:ascii="Cambria"/>
          <w:i w:val="1"/>
          <w:sz w:val="20"/>
        </w:rPr>
        <w:t xml:space="preserve">Source: EDPRD of Ministry of Finance, Planning and Economic Development, MAY 2012</w:t>
      </w:r>
      <w:r>
        <w:rPr>
          <w:rFonts w:cs="Cambria" w:hAnsi="Cambria" w:eastAsia="Cambria" w:ascii="Cambria"/>
          <w:i w:val="1"/>
          <w:sz w:val="20"/>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However, poverty still remains a big issue in Northern Uganda. Sub regional comparison of poverty status puts in Northern Uganda far behind the rest of the country. As can be seen in Figure 1 above, up to 46.2% of the population still live in absolute poverty.</w:t>
      </w:r>
      <w:r>
        <w:rPr/>
        <w:t xml:space="preserve"> </w:t>
      </w:r>
    </w:p>
    <w:p>
      <w:pPr>
        <w:pStyle w:val="normal"/>
        <w:spacing w:before="0" w:after="5" w:line="268" w:lineRule="auto"/>
        <w:ind w:left="-5" w:right="0"/>
      </w:pPr>
      <w:r>
        <w:rPr/>
        <w:t xml:space="preserve">Also in terms of security, significant progress has been made.</w:t>
      </w:r>
      <w:r>
        <w:rPr/>
        <w:t xml:space="preserve"> </w:t>
      </w:r>
      <w:r>
        <w:rPr/>
        <w:t xml:space="preserve">The PRDP areas have enjoyed relative security since the signing of the CHA</w:t>
      </w:r>
      <w:r>
        <w:rPr/>
        <w:t xml:space="preserve"> </w:t>
      </w:r>
      <w:r>
        <w:rPr/>
        <w:t xml:space="preserve">between the Government of Uganda (GOU) and the Lord’s Resistance Army (LRA) in August 2006</w:t>
      </w:r>
      <w:r>
        <w:rPr/>
        <w:t xml:space="preserve">. </w:t>
      </w:r>
      <w:r>
        <w:rPr/>
        <w:t xml:space="preserve">Noteworthy are also the successful disarmament efforts in Karamoja led by the Uganda Police and Army, resulting in a significant reduction of arms in the Northern parts of Uganda directly leading to increased security.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Between May to</w:t>
      </w:r>
      <w:r>
        <w:rPr/>
        <w:t xml:space="preserve">  </w:t>
      </w:r>
    </w:p>
    <w:p>
      <w:pPr>
        <w:pStyle w:val="normal"/>
        <w:spacing w:before="0" w:after="5" w:line="268" w:lineRule="auto"/>
        <w:ind w:left="-5" w:right="0"/>
      </w:pPr>
      <w:r>
        <w:rPr/>
        <w:t xml:space="preserve">August 2011</w:t>
      </w:r>
      <w:r>
        <w:rPr/>
        <w:t xml:space="preserve">,</w:t>
      </w:r>
      <w:r>
        <w:rPr/>
        <w:t xml:space="preserve"> </w:t>
      </w:r>
      <w:r>
        <w:rPr/>
        <w:t xml:space="preserve">a Mid</w:t>
      </w:r>
      <w:r>
        <w:rPr/>
        <w:t xml:space="preserve">-</w:t>
      </w:r>
      <w:r>
        <w:rPr/>
        <w:t xml:space="preserve">Term Review (MTR) and Needs Assessment were carried out to assess the progress against PRDP 1 and to measure whether the current PRDP Strategic Objectives and Programme Areas remain relevant for a potential follow up PRDP 2. The analyses concluded that the areas covered by PRDP 1 have shifted from an immediate post</w:t>
      </w:r>
      <w:r>
        <w:rPr/>
        <w:t xml:space="preserve"/>
      </w:r>
      <w:r>
        <w:rPr/>
        <w:t xml:space="preserve">conflict emergency phase to</w:t>
      </w:r>
      <w:r>
        <w:rPr/>
        <w:t xml:space="preserve"> </w:t>
      </w:r>
      <w:r>
        <w:rPr/>
        <w:t xml:space="preserve">a reconstruction and recovery phase. It was also concluded that given the scale of the gap between the PRDP areas and the rest of the country, additional increased attention remains necessary. </w:t>
      </w: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Cambria" w:hAnsi="Cambria" w:eastAsia="Cambria" w:ascii="Cambria"/>
          <w:b w:val="1"/>
          <w:sz w:val="18"/>
        </w:rPr>
        <w:t xml:space="preserve">Figure </w:t>
      </w:r>
      <w:r>
        <w:rPr>
          <w:rFonts w:cs="Cambria" w:hAnsi="Cambria" w:eastAsia="Cambria" w:ascii="Cambria"/>
          <w:b w:val="1"/>
          <w:sz w:val="18"/>
        </w:rPr>
        <w:t xml:space="preserve">2</w:t>
      </w:r>
      <w:r>
        <w:rPr>
          <w:rFonts w:cs="Cambria" w:hAnsi="Cambria" w:eastAsia="Cambria" w:ascii="Cambria"/>
          <w:b w:val="1"/>
          <w:sz w:val="18"/>
        </w:rPr>
        <w:t xml:space="preserve">  </w:t>
      </w:r>
      <w:r>
        <w:rPr>
          <w:rFonts w:cs="Cambria" w:hAnsi="Cambria" w:eastAsia="Cambria" w:ascii="Cambria"/>
          <w:b w:val="1"/>
          <w:sz w:val="20"/>
        </w:rPr>
        <w:t xml:space="preserve">Sub</w:t>
      </w:r>
      <w:r>
        <w:rPr>
          <w:rFonts w:cs="Cambria" w:hAnsi="Cambria" w:eastAsia="Cambria" w:ascii="Cambria"/>
          <w:b w:val="1"/>
          <w:sz w:val="20"/>
        </w:rPr>
        <w:t xml:space="preserve">-</w:t>
      </w:r>
      <w:r>
        <w:rPr>
          <w:rFonts w:cs="Cambria" w:hAnsi="Cambria" w:eastAsia="Cambria" w:ascii="Cambria"/>
          <w:b w:val="1"/>
          <w:sz w:val="20"/>
        </w:rPr>
        <w:t xml:space="preserve">national picture in 2</w:t>
      </w:r>
      <w:r>
        <w:rPr>
          <w:rFonts w:cs="Cambria" w:hAnsi="Cambria" w:eastAsia="Cambria" w:ascii="Cambria"/>
          <w:b w:val="1"/>
          <w:sz w:val="20"/>
        </w:rPr>
        <w:t xml:space="preserve">009/2010</w:t>
      </w:r>
      <w:r>
        <w:rPr>
          <w:rFonts w:cs="Cambria" w:hAnsi="Cambria" w:eastAsia="Cambria" w:ascii="Cambria"/>
          <w:b w:val="1"/>
          <w:sz w:val="20"/>
          <w:vertAlign w:val="superscript"/>
        </w:rPr>
        <w:footnoteReference w:id="15"/>
      </w:r>
      <w:r>
        <w:rPr>
          <w:rFonts w:cs="Cambria" w:hAnsi="Cambria" w:eastAsia="Cambria" w:ascii="Cambria"/>
          <w:b w:val="1"/>
          <w:sz w:val="20"/>
        </w:rPr>
        <w:t xml:space="preserve"> </w:t>
      </w:r>
    </w:p>
    <w:p>
      <w:pPr>
        <w:spacing w:before="0" w:after="61" w:line="259" w:lineRule="auto"/>
        <w:ind w:left="3" w:right="0" w:firstLine="0"/>
        <w:jc w:val="left"/>
      </w:pPr>
      <w:r>
        <w:drawing>
          <wp:inline distT="0" distB="0" distL="0" distR="0">
            <wp:extent cx="5900929" cy="2304289"/>
            <wp:effectExtent l="0" t="0" r="0" b="0"/>
            <wp:docPr id="173645" name="Picture 173645"/>
            <wp:cNvGraphicFramePr/>
            <a:graphic>
              <a:graphicData uri="http://schemas.openxmlformats.org/drawingml/2006/picture">
                <pic:pic xmlns:pic="http://schemas.openxmlformats.org/drawingml/2006/picture">
                  <pic:nvPicPr>
                    <pic:cNvPr id="173645" name="Picture 173645"/>
                    <pic:cNvPicPr/>
                  </pic:nvPicPr>
                  <pic:blipFill>
                    <a:blip r:embed="rId75"/>
                    <a:stretch>
                      <a:fillRect/>
                    </a:stretch>
                  </pic:blipFill>
                  <pic:spPr>
                    <a:xfrm>
                      <a:off x="0" y="0"/>
                      <a:ext cx="5900929" cy="2304289"/>
                    </a:xfrm>
                    <a:prstGeom prst="rect">
                      <a:avLst/>
                    </a:prstGeom>
                  </pic:spPr>
                </pic:pic>
              </a:graphicData>
            </a:graphic>
          </wp:inline>
        </w:drawing>
      </w:r>
    </w:p>
    <w:p>
      <w:pPr>
        <w:spacing w:before="0" w:after="14" w:line="259" w:lineRule="auto"/>
        <w:ind w:left="-5" w:right="0"/>
        <w:jc w:val="left"/>
      </w:pPr>
      <w:r>
        <w:rPr>
          <w:sz w:val="20"/>
        </w:rPr>
        <w:t xml:space="preserve">Source: </w:t>
      </w:r>
      <w:r>
        <w:rPr>
          <w:rFonts w:cs="Cambria" w:hAnsi="Cambria" w:eastAsia="Cambria" w:ascii="Cambria"/>
          <w:i w:val="1"/>
          <w:sz w:val="20"/>
        </w:rPr>
        <w:t xml:space="preserve">Source: EDPRD of Ministry of Finance, Planning and Economic Development, MAY 2012</w:t>
      </w:r>
      <w:r>
        <w:rPr>
          <w:rFonts w:cs="Cambria" w:hAnsi="Cambria" w:eastAsia="Cambria" w:ascii="Cambria"/>
          <w:i w:val="1"/>
          <w:sz w:val="20"/>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To support this fragile recovery phase, the Government of Uganda designed PRDP 2 with the objective to complete the post</w:t>
      </w:r>
      <w:r>
        <w:rPr/>
        <w:t xml:space="preserve">-</w:t>
      </w:r>
      <w:r>
        <w:rPr/>
        <w:t xml:space="preserve">conflict recovery process; to strengthen the foundation for development in Northern Uganda; and to narrow the gap between Northern Uganda and the national average level of the main socio</w:t>
      </w:r>
      <w:r>
        <w:rPr/>
        <w:t xml:space="preserve">-</w:t>
      </w:r>
      <w:r>
        <w:rPr/>
        <w:t xml:space="preserve">economic indicators. PRDP 2 runs from July 2012 to June 2015, enabling future plans for the North to be integrated in the next National Development Plan.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Parallel to this, UNDP Uganda undertook several management and portfolio reviews which confirmed the need and added value for continued UNDP engagement in PDRP Districts</w:t>
      </w:r>
      <w:r>
        <w:rPr>
          <w:vertAlign w:val="superscript"/>
        </w:rPr>
        <w:footnoteReference w:id="16"/>
      </w:r>
      <w:r>
        <w:rPr/>
        <w:t xml:space="preserve">. It was also recommended to integrate support to the PRDP Districts into one comprehensive programme in line with PRDP 2.</w:t>
      </w:r>
      <w:r>
        <w:rPr/>
        <w:t xml:space="preserve"> </w:t>
      </w:r>
    </w:p>
    <w:p>
      <w:pPr>
        <w:spacing w:before="0" w:after="100" w:line="259" w:lineRule="auto"/>
        <w:ind w:left="0" w:right="0" w:firstLine="0"/>
        <w:jc w:val="left"/>
      </w:pPr>
      <w:r>
        <w:rPr/>
        <w:t xml:space="preserve"> </w:t>
      </w:r>
    </w:p>
    <w:p>
      <w:pPr>
        <w:pStyle w:val="heading1"/>
        <w:tabs>
          <w:tab w:val="center" w:pos="2502"/>
        </w:tabs>
        <w:spacing w:before="0" w:after="0" w:line="259" w:lineRule="auto"/>
        <w:ind w:left="-15" w:firstLine="0"/>
      </w:pPr>
      <w:bookmarkStart w:id="179034" w:name="_Toc179034"/>
      <w:r>
        <w:rPr/>
        <w:t xml:space="preserve">3</w:t>
      </w:r>
      <w:r>
        <w:rPr/>
        <w:t xml:space="preserve"> 	</w:t>
      </w:r>
      <w:r>
        <w:rPr/>
        <w:t xml:space="preserve">Risks and Opportunities</w:t>
      </w:r>
      <w:r>
        <w:rPr/>
        <w:t xml:space="preserve"> </w:t>
      </w:r>
      <w:bookmarkEnd w:id="179034"/>
    </w:p>
    <w:p>
      <w:pPr>
        <w:pStyle w:val="normal"/>
        <w:spacing w:before="0" w:after="5" w:line="268" w:lineRule="auto"/>
        <w:ind w:left="-5" w:right="0"/>
      </w:pPr>
      <w:r>
        <w:rPr/>
        <w:t xml:space="preserve">With relative stability and an influx of donor aid, the country has recorded an impressive economic growth and the emergence of a middle</w:t>
      </w:r>
      <w:r>
        <w:rPr/>
        <w:t xml:space="preserve">-</w:t>
      </w:r>
      <w:r>
        <w:rPr/>
        <w:t xml:space="preserve">class. The country has made a considerable progress in reducing poverty and is on target to meet key MDG goals relating to poverty, gender;</w:t>
      </w:r>
      <w:r>
        <w:rPr/>
        <w:t xml:space="preserve"> </w:t>
      </w:r>
      <w:r>
        <w:rPr/>
        <w:t xml:space="preserve">safe drinking water and sanitation</w:t>
      </w:r>
      <w:r>
        <w:rPr/>
        <w:t xml:space="preserve"> </w:t>
      </w:r>
      <w:r>
        <w:rPr/>
        <w:t xml:space="preserve">(see </w:t>
      </w:r>
      <w:r>
        <w:rPr>
          <w:rFonts w:cs="Cambria" w:hAnsi="Cambria" w:eastAsia="Cambria" w:ascii="Cambria"/>
          <w:b w:val="1"/>
        </w:rPr>
        <w:t xml:space="preserve">Figure 1</w:t>
      </w:r>
      <w:r>
        <w:rPr/>
        <w:t xml:space="preserve">)</w:t>
      </w:r>
      <w:r>
        <w:rPr/>
        <w:t xml:space="preserve">. </w:t>
      </w:r>
      <w:r>
        <w:rPr/>
        <w:t xml:space="preserve">As already noted, the Northern region of the country continues to perform poorly on all social and economic indicators</w:t>
      </w:r>
      <w:r>
        <w:rPr/>
        <w:t xml:space="preserve"> </w:t>
      </w:r>
      <w:r>
        <w:rPr/>
        <w:t xml:space="preserve">(see </w:t>
      </w:r>
      <w:r>
        <w:rPr>
          <w:rFonts w:cs="Cambria" w:hAnsi="Cambria" w:eastAsia="Cambria" w:ascii="Cambria"/>
          <w:b w:val="1"/>
        </w:rPr>
        <w:t xml:space="preserve">Figure 2</w:t>
      </w:r>
      <w:r>
        <w:rPr/>
        <w:t xml:space="preserve">)</w:t>
      </w:r>
      <w:r>
        <w:rPr/>
        <w:t xml:space="preserve">. According to the government’s mid</w:t>
      </w:r>
      <w:r>
        <w:rPr/>
        <w:t xml:space="preserve">-</w:t>
      </w:r>
      <w:r>
        <w:rPr/>
        <w:t xml:space="preserve">term review of the Peace, Recovery and Development Plan for Northern Uganda (PRDP), the </w:t>
      </w:r>
      <w:r>
        <w:rPr>
          <w:rFonts w:cs="Cambria" w:hAnsi="Cambria" w:eastAsia="Cambria" w:ascii="Cambria"/>
          <w:i w:val="1"/>
        </w:rPr>
        <w:t xml:space="preserve">“North is now four times poorer than the Central region, more than twice as poor as the Western region, and almost twice as poor as the Eastern region. In 2009/10, the number of poor people living in Northern Uganda stood at 2.84 million, as compared to 2.6 million in 1992”. </w:t>
      </w:r>
      <w:r>
        <w:rPr/>
        <w:t xml:space="preserve">The state of poverty in northern Uganda has</w:t>
      </w:r>
      <w:r>
        <w:rPr/>
        <w:t xml:space="preserve"> </w:t>
      </w:r>
      <w:r>
        <w:rPr/>
        <w:t xml:space="preserve">a potential for conflict that when not addressed is likely to stir conflict</w:t>
      </w:r>
      <w:r>
        <w:rPr>
          <w:vertAlign w:val="superscript"/>
        </w:rPr>
        <w:t xml:space="preserve">5</w:t>
      </w:r>
      <w:r>
        <w:rPr/>
        <w:t xml:space="preserve">. So far calls for secession have been made by sections of the population in northern Uganda. Additionally, the discovery of oil and minerals in the Albertine Rift has already triggered disputes between landowners, local government and oil companies that could easily spill over to violence.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Another source of potential instability is the rampant unemployment among Uganda’s youth</w:t>
      </w:r>
      <w:r>
        <w:rPr/>
        <w:t xml:space="preserve">,</w:t>
      </w:r>
      <w:r>
        <w:rPr/>
        <w:t xml:space="preserve"> </w:t>
      </w:r>
      <w:r>
        <w:rPr/>
        <w:t xml:space="preserve">which has been estimated at 32.2%</w:t>
      </w:r>
      <w:r>
        <w:rPr>
          <w:vertAlign w:val="superscript"/>
        </w:rPr>
        <w:t xml:space="preserve">6</w:t>
      </w:r>
      <w:r>
        <w:rPr/>
        <w:t xml:space="preserve">, </w:t>
      </w:r>
      <w:r>
        <w:rPr/>
        <w:t xml:space="preserve">while for those</w:t>
      </w:r>
      <w:r>
        <w:rPr/>
        <w:t xml:space="preserve"> </w:t>
      </w:r>
      <w:r>
        <w:rPr/>
        <w:t xml:space="preserve">who have University degrees is 36 per cent and national unemployment was estimated at 3.5%</w:t>
      </w:r>
      <w:r>
        <w:rPr>
          <w:vertAlign w:val="superscript"/>
        </w:rPr>
        <w:t xml:space="preserve">7</w:t>
      </w:r>
      <w:r>
        <w:rPr/>
        <w:t xml:space="preserve">.   According to the World Bank report in 2008, Uganda has the highest youth unemployment rate among what is also the youngest population in the world. Youth unemployment in Uganda is becoming worse with 400,000 youth entering the labour market every year.  2012 World Bank report calls </w:t>
      </w:r>
      <w:r>
        <w:rPr/>
        <w:t xml:space="preserve">youth unemployment and underemployment </w:t>
      </w:r>
      <w:r>
        <w:rPr>
          <w:rFonts w:cs="Cambria" w:hAnsi="Cambria" w:eastAsia="Cambria" w:ascii="Cambria"/>
          <w:i w:val="1"/>
        </w:rPr>
        <w:t xml:space="preserve">‘social bombs,’</w:t>
      </w:r>
      <w:r>
        <w:rPr/>
        <w:t xml:space="preserve"> </w:t>
      </w:r>
      <w:r>
        <w:rPr/>
        <w:t xml:space="preserve">particularly in urban areas where inequality is perceptible</w:t>
      </w:r>
      <w:r>
        <w:rPr>
          <w:vertAlign w:val="superscript"/>
        </w:rPr>
        <w:footnoteReference w:id="17"/>
      </w:r>
      <w:r>
        <w:rPr/>
        <w:t xml:space="preserve">.</w:t>
      </w:r>
      <w:r>
        <w:rPr/>
        <w:t xml:space="preserve"> </w:t>
      </w:r>
      <w:r>
        <w:rPr/>
        <w:t xml:space="preserve">If the above state of affairs is not corrected it could easily reverse the hard won gains and might be the trigger that ushers a new era of political volatility that would certainly threaten peace and stability in the country.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Uganda’s role in East African’s economic and security well</w:t>
      </w:r>
      <w:r>
        <w:rPr/>
        <w:t xml:space="preserve">-</w:t>
      </w:r>
      <w:r>
        <w:rPr/>
        <w:t xml:space="preserve">being is essential.  Uganda currently provides the bulk of forces</w:t>
      </w:r>
      <w:r>
        <w:rPr/>
        <w:t xml:space="preserve"> </w:t>
      </w:r>
      <w:r>
        <w:rPr/>
        <w:t xml:space="preserve">to the AMISOM stabilization force in Somalia, and the country is a key economic and political actor in both East Africa and the Great Lakes Region. Uganda is also a hub and transit point for goods and services to South Sudan and Eastern Democratic Republic of Congo. Therefore the political, economic and social health of Uganda has wider regional ramifications.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Uganda still continues to enjoy positive economic growth, freedom</w:t>
      </w:r>
      <w:r>
        <w:rPr/>
        <w:t xml:space="preserve"> </w:t>
      </w:r>
      <w:r>
        <w:rPr/>
        <w:t xml:space="preserve">of speech and expression, despite some harsh security responses to public demands and protests. Most analysts concur that Uganda is unlikely to see a mass social upsurge akin to the Arab Spring, or a large</w:t>
      </w:r>
      <w:r>
        <w:rPr/>
        <w:t xml:space="preserve">-</w:t>
      </w:r>
      <w:r>
        <w:rPr/>
        <w:t xml:space="preserve">scale violent civil conflict, in the near</w:t>
      </w:r>
      <w:r>
        <w:rPr/>
        <w:t xml:space="preserve">-</w:t>
      </w:r>
      <w:r>
        <w:rPr/>
        <w:t xml:space="preserve">to</w:t>
      </w:r>
      <w:r>
        <w:rPr/>
        <w:t xml:space="preserve">-</w:t>
      </w:r>
      <w:r>
        <w:rPr/>
        <w:t xml:space="preserve">mid</w:t>
      </w:r>
      <w:r>
        <w:rPr/>
        <w:t xml:space="preserve">-</w:t>
      </w:r>
      <w:r>
        <w:rPr/>
        <w:t xml:space="preserve">term. However, there are growing risks of renewed local</w:t>
      </w:r>
      <w:r>
        <w:rPr/>
        <w:t xml:space="preserve">-</w:t>
      </w:r>
      <w:r>
        <w:rPr/>
        <w:t xml:space="preserve">level violence in parts of the country, and of prolonged political deadlock and political conflict at the national level, both adversely affecting Uganda’s quest for sustainable development. There are</w:t>
      </w:r>
      <w:r>
        <w:rPr/>
        <w:t xml:space="preserve"> </w:t>
      </w:r>
      <w:r>
        <w:rPr/>
        <w:t xml:space="preserve">therefore</w:t>
      </w:r>
      <w:r>
        <w:rPr/>
        <w:t xml:space="preserve"> </w:t>
      </w:r>
      <w:r>
        <w:rPr/>
        <w:t xml:space="preserve">six key structural risks to Northern Uganda’s peace and stability that need urgent attention. These are:</w:t>
      </w:r>
      <w:r>
        <w:rPr/>
        <w:t xml:space="preserve"> </w:t>
      </w:r>
    </w:p>
    <w:p>
      <w:pPr>
        <w:spacing w:before="0" w:after="29" w:line="259" w:lineRule="auto"/>
        <w:ind w:left="0" w:right="0" w:firstLine="0"/>
        <w:jc w:val="left"/>
      </w:pPr>
      <w:r>
        <w:rPr/>
        <w:t xml:space="preserve"> </w:t>
      </w:r>
    </w:p>
    <w:p>
      <w:pPr>
        <w:pStyle w:val="heading2"/>
        <w:tabs>
          <w:tab w:val="center" w:pos="1747"/>
        </w:tabs>
        <w:spacing w:before="0" w:after="16" w:line="259" w:lineRule="auto"/>
        <w:ind w:left="-15" w:firstLine="0"/>
      </w:pPr>
      <w:bookmarkStart w:id="179035" w:name="_Toc179035"/>
      <w:r>
        <w:rPr/>
        <w:t xml:space="preserve">3.1</w:t>
      </w:r>
      <w:r>
        <w:rPr/>
        <w:t xml:space="preserve"> 	</w:t>
      </w:r>
      <w:r>
        <w:rPr/>
        <w:t xml:space="preserve">Conflicts over land</w:t>
      </w:r>
      <w:r>
        <w:rPr/>
        <w:t xml:space="preserve"> </w:t>
      </w:r>
      <w:bookmarkEnd w:id="179035"/>
    </w:p>
    <w:p>
      <w:pPr>
        <w:pStyle w:val="normal"/>
        <w:spacing w:before="0" w:after="5" w:line="268" w:lineRule="auto"/>
        <w:ind w:left="-5" w:right="0"/>
      </w:pPr>
      <w:r>
        <w:rPr/>
        <w:t xml:space="preserve">Land disputes play a role in many more conflicts in Uganda today than other factors, but are often under reported, and their significance for inciting violence is not fully appreciated. In Northern Uganda, mass return of IDPs following decades</w:t>
      </w:r>
      <w:r>
        <w:rPr/>
        <w:t xml:space="preserve"> </w:t>
      </w:r>
      <w:r>
        <w:rPr/>
        <w:t xml:space="preserve">of absence together with accelerated rates of urbanization especially among the landless and unemployed</w:t>
      </w:r>
      <w:r>
        <w:rPr/>
        <w:t xml:space="preserve"> </w:t>
      </w:r>
      <w:r>
        <w:rPr/>
        <w:t xml:space="preserve">can put tremendous pressure on peace and stability. If not adequately addressed, grievances related to land and the most important livelihoods asset for the majority may threaten to unravel a hard</w:t>
      </w:r>
      <w:r>
        <w:rPr/>
        <w:t xml:space="preserve">-</w:t>
      </w:r>
      <w:r>
        <w:rPr/>
        <w:t xml:space="preserve">won stability especially in the region.</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Uganda has made strides in policy development on the issue of land, and land</w:t>
      </w:r>
      <w:r>
        <w:rPr/>
        <w:t xml:space="preserve">-</w:t>
      </w:r>
      <w:r>
        <w:rPr/>
        <w:t xml:space="preserve">related conflicts</w:t>
      </w:r>
      <w:r>
        <w:rPr>
          <w:vertAlign w:val="superscript"/>
        </w:rPr>
        <w:footnoteReference w:id="18"/>
      </w:r>
      <w:r>
        <w:rPr/>
        <w:t xml:space="preserve">. A country</w:t>
      </w:r>
      <w:r>
        <w:rPr/>
        <w:t xml:space="preserve">-</w:t>
      </w:r>
      <w:r>
        <w:rPr/>
        <w:t xml:space="preserve">wide effort has been launched, for instance, to assist communities to establish titles over customary land. However, these efforts have run afoul of traditional ownership practices in certain areas. In others, the pressure to convert land to commercial use (for large</w:t>
      </w:r>
      <w:r>
        <w:rPr/>
        <w:t xml:space="preserve">-</w:t>
      </w:r>
      <w:r>
        <w:rPr/>
        <w:t xml:space="preserve">scale agriculture or the extraction of minerals) has generated tensions and violence. In some instances, local political leadership have become embroiled in these conflicts. While the problem has been most pronounced in northern Uganda, it has also </w:t>
      </w:r>
      <w:r>
        <w:rPr/>
        <w:t xml:space="preserve">manifested itself to a greater degree in other parts of the country over the past five years, often as a result of accelerated foreign direct investment. </w:t>
      </w:r>
      <w:r>
        <w:rPr/>
        <w:t xml:space="preserve"> </w:t>
      </w:r>
    </w:p>
    <w:p>
      <w:pPr>
        <w:spacing w:before="0" w:after="24" w:line="259" w:lineRule="auto"/>
        <w:ind w:left="0" w:right="0" w:firstLine="0"/>
        <w:jc w:val="left"/>
      </w:pPr>
      <w:r>
        <w:rPr/>
        <w:t xml:space="preserve"> </w:t>
      </w:r>
    </w:p>
    <w:p>
      <w:pPr>
        <w:pStyle w:val="heading2"/>
        <w:tabs>
          <w:tab w:val="center" w:pos="2295"/>
        </w:tabs>
        <w:spacing w:before="0" w:after="16" w:line="259" w:lineRule="auto"/>
        <w:ind w:left="-15" w:firstLine="0"/>
      </w:pPr>
      <w:bookmarkStart w:id="179036" w:name="_Toc179036"/>
      <w:r>
        <w:rPr/>
        <w:t xml:space="preserve">3.2</w:t>
      </w:r>
      <w:r>
        <w:rPr/>
        <w:t xml:space="preserve"> 	</w:t>
      </w:r>
      <w:r>
        <w:rPr/>
        <w:t xml:space="preserve">Governance of mining sector</w:t>
      </w:r>
      <w:r>
        <w:rPr/>
        <w:t xml:space="preserve"> </w:t>
      </w:r>
      <w:bookmarkEnd w:id="179036"/>
    </w:p>
    <w:p>
      <w:pPr>
        <w:pStyle w:val="normal"/>
        <w:spacing w:before="0" w:after="5" w:line="268" w:lineRule="auto"/>
        <w:ind w:left="-5" w:right="0"/>
      </w:pPr>
      <w:r>
        <w:rPr/>
        <w:t xml:space="preserve">The management of natural resources such as oil and minerals is one of the most critical challenges facing developing countries today. The exploitation of non</w:t>
      </w:r>
      <w:r>
        <w:rPr/>
        <w:t xml:space="preserve">-</w:t>
      </w:r>
      <w:r>
        <w:rPr/>
        <w:t xml:space="preserve">renewable natural resources has often been cited as a key factor in triggering, escalating or sustaining violent conflicts around the globe. Liberia, Sierra Leone, The Democratic Republic of the Congo (DRC), and Nigeria are some of the examples where mineral exploration has manifested itself as a source of conflict.</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Given its relative stability, and given that there is still time to “get it right” before oil and mineral revenues start to flow, Uganda is in a unique position to benefit from the experiences of other countries and ensure that it succeeds where others have failed in harnessing its natural resources to the benefit of the society as a whole. If it is to succeed, however, it will require concerted actions at all levels of society as well as the support and encouragement of the International community. Already conflicts between landowners, local government and companies involved in the oil and mining sector have intermittently spilled over into violence.</w:t>
      </w:r>
      <w:r>
        <w:rPr/>
        <w:t xml:space="preserve"> </w:t>
      </w:r>
      <w:r>
        <w:rPr/>
        <w:t xml:space="preserve">Stand offs have been reported in Karamoja between the local population and the investors. This has not been helped by the secrecy surrounding mineral exploration and the apparent barring of the local population from accessing exploration sites.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Karamoja region of Uganda is endowed with yet to be fully exploited mineral resources such as gold, limestone, uranium, marble, graphite, gypsum,</w:t>
      </w:r>
      <w:r>
        <w:rPr/>
        <w:t xml:space="preserve"> </w:t>
      </w:r>
      <w:r>
        <w:rPr/>
        <w:t xml:space="preserve">iron, wolfram, nickel, copper, cobalt, lithium, tin, base metals, and lead. Such riches have</w:t>
      </w:r>
      <w:r>
        <w:rPr/>
        <w:t xml:space="preserve"> </w:t>
      </w:r>
      <w:r>
        <w:rPr/>
        <w:t xml:space="preserve">already attracted artisanal mining which traditionally is high risk, individualistic and intricately linked to conflict, gender</w:t>
      </w:r>
      <w:r>
        <w:rPr/>
        <w:t xml:space="preserve">-</w:t>
      </w:r>
      <w:r>
        <w:rPr/>
        <w:t xml:space="preserve">based violence, environmental degradation, and health and social related problems. Therefore, the natural resource sector</w:t>
      </w:r>
      <w:r>
        <w:rPr/>
        <w:t xml:space="preserve"> </w:t>
      </w:r>
      <w:r>
        <w:rPr/>
        <w:t xml:space="preserve">if mismanaged</w:t>
      </w:r>
      <w:r>
        <w:rPr/>
        <w:t xml:space="preserve"> </w:t>
      </w:r>
      <w:r>
        <w:rPr/>
        <w:t xml:space="preserve">poses a critical challenge to Uganda’s future stability and its ambition to be a middle income country by 2030. </w:t>
      </w:r>
      <w:r>
        <w:rPr/>
        <w:t xml:space="preserve"> </w:t>
      </w:r>
    </w:p>
    <w:p>
      <w:pPr>
        <w:spacing w:before="0" w:after="29" w:line="259" w:lineRule="auto"/>
        <w:ind w:left="0" w:right="0" w:firstLine="0"/>
        <w:jc w:val="left"/>
      </w:pPr>
      <w:r>
        <w:rPr/>
        <w:t xml:space="preserve"> </w:t>
      </w:r>
    </w:p>
    <w:p>
      <w:pPr>
        <w:pStyle w:val="heading2"/>
        <w:tabs>
          <w:tab w:val="center" w:pos="4860"/>
        </w:tabs>
        <w:spacing w:before="0" w:after="16" w:line="259" w:lineRule="auto"/>
        <w:ind w:left="-15" w:firstLine="0"/>
      </w:pPr>
      <w:bookmarkStart w:id="179037" w:name="_Toc179037"/>
      <w:r>
        <w:rPr/>
        <w:t xml:space="preserve">3.3</w:t>
      </w:r>
      <w:r>
        <w:rPr/>
        <w:t xml:space="preserve"> 	</w:t>
      </w:r>
      <w:r>
        <w:rPr/>
        <w:t xml:space="preserve">Ineffective conflict management, early warning and mediation mechanisms</w:t>
      </w:r>
      <w:r>
        <w:rPr/>
        <w:t xml:space="preserve"> </w:t>
      </w:r>
      <w:bookmarkEnd w:id="179037"/>
    </w:p>
    <w:p>
      <w:pPr>
        <w:pStyle w:val="normal"/>
        <w:spacing w:before="0" w:after="5" w:line="268" w:lineRule="auto"/>
        <w:ind w:left="-5" w:right="0"/>
      </w:pPr>
      <w:r>
        <w:rPr/>
        <w:t xml:space="preserve">The northern part of the country has seen violence related to cattle</w:t>
      </w:r>
      <w:r>
        <w:rPr/>
        <w:t xml:space="preserve">-</w:t>
      </w:r>
      <w:r>
        <w:rPr/>
        <w:t xml:space="preserve">rustling significantly</w:t>
      </w:r>
      <w:r>
        <w:rPr/>
        <w:t xml:space="preserve"> </w:t>
      </w:r>
      <w:r>
        <w:rPr/>
        <w:t xml:space="preserve">reduced in Karamoja, partly due to international recovery assistance</w:t>
      </w:r>
      <w:r>
        <w:rPr/>
        <w:t xml:space="preserve"> </w:t>
      </w:r>
      <w:r>
        <w:rPr/>
        <w:t xml:space="preserve">but largely due to deliberate government effort to contain lawlessness and insecurity. Similarly, the bulks of IDPs in the Acholi and Lango sub</w:t>
      </w:r>
      <w:r>
        <w:rPr/>
        <w:t xml:space="preserve">-</w:t>
      </w:r>
      <w:r>
        <w:rPr/>
        <w:t xml:space="preserve">regions have</w:t>
      </w:r>
      <w:r>
        <w:rPr/>
        <w:t xml:space="preserve"> </w:t>
      </w:r>
      <w:r>
        <w:rPr/>
        <w:t xml:space="preserve">been resettled in their own or host communities. However, there is credible evidence from local governments and civic leadership that the physical and psychological scars of violence are largely unaddressed, and provide the potential for renewed bouts of violence. Added to new cycles of conflict </w:t>
      </w:r>
      <w:r>
        <w:rPr/>
        <w:t xml:space="preserve">over land ownership and use, administrative boundary related issues, these scars may impede</w:t>
      </w:r>
      <w:r>
        <w:rPr/>
        <w:t xml:space="preserve"> </w:t>
      </w:r>
      <w:r>
        <w:rPr/>
        <w:t xml:space="preserve">full recovery.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While northern Uganda did see a significant increase in public spending just prior to the 2011 elections, the levels of development</w:t>
      </w:r>
      <w:r>
        <w:rPr/>
        <w:t xml:space="preserve">-</w:t>
      </w:r>
      <w:r>
        <w:rPr/>
        <w:t xml:space="preserve">related activity in the north remain significantly below those for the remainder of the country, and the region lags in every important indicator of social and economic development. As indicated earlier, these factors could combine to heighten local levels of violence.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In the medium</w:t>
      </w:r>
      <w:r>
        <w:rPr/>
        <w:t xml:space="preserve">-</w:t>
      </w:r>
      <w:r>
        <w:rPr/>
        <w:t xml:space="preserve">term, the lack of a framework for compensation for procurement of land for extractive industries, and growing resistance to appropriation of customary land for commercial purposes, could fuel collective grievance among communities in the Karamoja region</w:t>
      </w:r>
      <w:r>
        <w:rPr/>
        <w:t xml:space="preserve"> </w:t>
      </w:r>
      <w:r>
        <w:rPr/>
        <w:t xml:space="preserve">and Acholi, and spark violence, given the flow of small arms into the region, and given the proclivity of local communities to use violence as means for resolving disputes.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Recent experience from countries as diverse as Ghana, Kenya, Timor Leste and Kyrgyzstan shows that one of the most effective deterrents of politically</w:t>
      </w:r>
      <w:r>
        <w:rPr/>
        <w:t xml:space="preserve">-</w:t>
      </w:r>
      <w:r>
        <w:rPr/>
        <w:t xml:space="preserve">oriented or other forms of organized violence is a functional early</w:t>
      </w:r>
      <w:r>
        <w:rPr/>
        <w:t xml:space="preserve">-</w:t>
      </w:r>
      <w:r>
        <w:rPr/>
        <w:t xml:space="preserve">warning</w:t>
      </w:r>
      <w:r>
        <w:rPr/>
        <w:t xml:space="preserve">-</w:t>
      </w:r>
      <w:r>
        <w:rPr/>
        <w:t xml:space="preserve">and</w:t>
      </w:r>
      <w:r>
        <w:rPr/>
        <w:t xml:space="preserve">-</w:t>
      </w:r>
      <w:r>
        <w:rPr/>
        <w:t xml:space="preserve">response system that brings together communities, local government, and the security services. Ideally, such a system should be able to identify emerging “hotspots,” and use a combination of law enforcement, local</w:t>
      </w:r>
      <w:r>
        <w:rPr/>
        <w:t xml:space="preserve">-</w:t>
      </w:r>
      <w:r>
        <w:rPr/>
        <w:t xml:space="preserve">level mediation, and grievance redress by local governments to resolve and mitigate local conflicts, or to provide for more cross</w:t>
      </w:r>
      <w:r>
        <w:rPr/>
        <w:t xml:space="preserve">-</w:t>
      </w:r>
      <w:r>
        <w:rPr/>
        <w:t xml:space="preserve">party dialogue and increased security in urban settings. Local peace committees, elders’ forums, and similar instruments should also be able to promote sufficient social cohesion such that communities, youth, and other groups are not easily susceptible to exhortations from political groups to engage in violence.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Uganda currently lacks such a system. Ad hoc efforts have been conducted in this regard by elders and religious leaders in parts of the country, but have not led to sustained results. Local mediation and alternative dispute resolution (ADR</w:t>
      </w:r>
      <w:r>
        <w:rPr/>
        <w:t xml:space="preserve">) </w:t>
      </w:r>
      <w:r>
        <w:rPr/>
        <w:t xml:space="preserve">initiatives have helped resolve land conflicts in some parts of the country, especially the Acholi region, but are inadequate compared to the scale of the challenge and lack a firm institutional base and sustained resources.</w:t>
      </w:r>
      <w:r>
        <w:rPr/>
        <w:t xml:space="preserve"> </w:t>
      </w:r>
    </w:p>
    <w:p>
      <w:pPr>
        <w:spacing w:before="0" w:after="20" w:line="259" w:lineRule="auto"/>
        <w:ind w:left="0" w:right="0" w:firstLine="0"/>
        <w:jc w:val="left"/>
      </w:pPr>
      <w:r>
        <w:rPr/>
        <w:t xml:space="preserve"> </w:t>
      </w:r>
    </w:p>
    <w:p>
      <w:pPr>
        <w:pStyle w:val="heading2"/>
        <w:spacing w:before="0" w:after="5" w:line="268" w:lineRule="auto"/>
        <w:ind w:left="-5"/>
        <w:jc w:val="both"/>
      </w:pPr>
      <w:bookmarkStart w:id="179038" w:name="_Toc179038"/>
      <w:r>
        <w:rPr/>
        <w:t xml:space="preserve">3.4</w:t>
      </w:r>
      <w:r>
        <w:rPr/>
        <w:t xml:space="preserve"> </w:t>
      </w:r>
      <w:r>
        <w:rPr/>
        <w:t xml:space="preserve">High levels of youth unemployment</w:t>
      </w:r>
      <w:r>
        <w:rPr/>
        <w:t xml:space="preserve"> </w:t>
      </w:r>
      <w:r>
        <w:rPr/>
        <w:t xml:space="preserve">and</w:t>
      </w:r>
      <w:r>
        <w:rPr/>
        <w:t xml:space="preserve"> </w:t>
      </w:r>
      <w:r>
        <w:rPr/>
        <w:t xml:space="preserve">lack of social and economic mobility</w:t>
      </w:r>
      <w:r>
        <w:rPr/>
        <w:t xml:space="preserve"> </w:t>
      </w:r>
      <w:bookmarkEnd w:id="179038"/>
    </w:p>
    <w:p>
      <w:pPr>
        <w:spacing w:before="0" w:after="5" w:line="268" w:lineRule="auto"/>
        <w:ind w:left="-5" w:right="0"/>
      </w:pPr>
      <w:r>
        <w:rPr/>
        <w:t xml:space="preserve">A report by Population Reference Bureau shows that Uganda is world’s second youngest population after Niger, with up to 48.7 per cent of the country’s populace under the age of 15. This coupled high rate of unemployment for</w:t>
      </w:r>
      <w:r>
        <w:rPr/>
        <w:t xml:space="preserve"> </w:t>
      </w:r>
      <w:r>
        <w:rPr/>
        <w:t xml:space="preserve">Ugandans under the age of 35 represents a </w:t>
      </w:r>
      <w:r>
        <w:rPr/>
        <w:t xml:space="preserve">‘</w:t>
      </w:r>
      <w:r>
        <w:rPr>
          <w:rFonts w:cs="Cambria" w:hAnsi="Cambria" w:eastAsia="Cambria" w:ascii="Cambria"/>
          <w:i w:val="1"/>
        </w:rPr>
        <w:t xml:space="preserve">social bomb’ </w:t>
      </w:r>
      <w:r>
        <w:rPr/>
        <w:t xml:space="preserve">that could undermine stability. Unqualified regional data from</w:t>
      </w:r>
      <w:r>
        <w:rPr/>
        <w:t xml:space="preserve"> </w:t>
      </w:r>
      <w:r>
        <w:rPr/>
        <w:t xml:space="preserve">various sources (local authorities, NGOs and business community) show that unemployment</w:t>
      </w:r>
      <w:r>
        <w:rPr/>
        <w:t xml:space="preserve"> </w:t>
      </w:r>
      <w:r>
        <w:rPr/>
        <w:t xml:space="preserve">is concentrated in urban areas, or in fragile regions such as Acholi, Karamoja, and the </w:t>
      </w:r>
      <w:r>
        <w:rPr/>
        <w:t xml:space="preserve">Albertine Rift Valley.</w:t>
      </w:r>
      <w:r>
        <w:rPr/>
        <w:t xml:space="preserve"> </w:t>
      </w:r>
      <w:r>
        <w:rPr/>
        <w:t xml:space="preserve">While levels of unemployment are not necessarily a political risk on their own (the informal economy, and especially bike riders or </w:t>
      </w:r>
      <w:r>
        <w:rPr>
          <w:rFonts w:cs="Cambria" w:hAnsi="Cambria" w:eastAsia="Cambria" w:ascii="Cambria"/>
          <w:i w:val="1"/>
        </w:rPr>
        <w:t xml:space="preserve">bodabodas</w:t>
      </w:r>
      <w:r>
        <w:rPr/>
        <w:t xml:space="preserve"> </w:t>
      </w:r>
      <w:r>
        <w:rPr/>
        <w:t xml:space="preserve">who ferry commuters, provide a safety valve), there are indications of a greater willingness on the part of political actors to use unemployed youth for political ends, especially in urban areas. In several parts of the country, youth have been witnessed carrying out political activities, including organizing protests, demonstrations, and even violence</w:t>
      </w:r>
      <w:r>
        <w:rPr/>
        <w:t xml:space="preserve">—</w:t>
      </w:r>
      <w:r>
        <w:rPr/>
        <w:t xml:space="preserve">sometimes wearing the paraphernalia of opposing parties on the same day</w:t>
      </w:r>
      <w:r>
        <w:rPr/>
        <w:t xml:space="preserve">—</w:t>
      </w:r>
      <w:r>
        <w:rPr/>
        <w:t xml:space="preserve">for competing actors in return for cash payments. Such high level of unemployment is already precipitating</w:t>
      </w:r>
      <w:r>
        <w:rPr/>
        <w:t xml:space="preserve"> </w:t>
      </w:r>
      <w:r>
        <w:rPr/>
        <w:t xml:space="preserve">heightened levels of local violence outside of customary patterns thus deterring further investment and development in these regions.</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In Northern Uganda such levels of unemployment undermines the value of peace. If the violence of war is only to be replaced by the violence of poverty and hopelessness </w:t>
      </w:r>
      <w:r>
        <w:rPr/>
        <w:t xml:space="preserve">– </w:t>
      </w:r>
      <w:r>
        <w:rPr/>
        <w:t xml:space="preserve">then peace itself loses its worth. It is therefore of upmost importance to ensure the peace dividends</w:t>
      </w:r>
      <w:r>
        <w:rPr/>
        <w:t xml:space="preserve"> </w:t>
      </w:r>
      <w:r>
        <w:rPr/>
        <w:t xml:space="preserve">are</w:t>
      </w:r>
      <w:r>
        <w:rPr/>
        <w:t xml:space="preserve"> </w:t>
      </w:r>
      <w:r>
        <w:rPr/>
        <w:t xml:space="preserve">realized if the north to avoid some sort of a relapse to conflict. </w:t>
      </w:r>
      <w:r>
        <w:rPr/>
        <w:t xml:space="preserve"> </w:t>
      </w:r>
    </w:p>
    <w:p>
      <w:pPr>
        <w:spacing w:before="0" w:after="29" w:line="259" w:lineRule="auto"/>
        <w:ind w:left="0" w:right="0" w:firstLine="0"/>
        <w:jc w:val="left"/>
      </w:pPr>
      <w:r>
        <w:rPr/>
        <w:t xml:space="preserve"> </w:t>
      </w:r>
    </w:p>
    <w:p>
      <w:pPr>
        <w:pStyle w:val="heading2"/>
        <w:tabs>
          <w:tab w:val="center" w:pos="4605"/>
        </w:tabs>
        <w:spacing w:before="0" w:after="16" w:line="259" w:lineRule="auto"/>
        <w:ind w:left="-15" w:firstLine="0"/>
      </w:pPr>
      <w:bookmarkStart w:id="179039" w:name="_Toc179039"/>
      <w:r>
        <w:rPr/>
        <w:t xml:space="preserve">3.5</w:t>
      </w:r>
      <w:r>
        <w:rPr/>
        <w:t xml:space="preserve"> 	</w:t>
      </w:r>
      <w:r>
        <w:rPr/>
        <w:t xml:space="preserve">Insufficient capacity to manage disaster and climatic risks and impacts</w:t>
      </w:r>
      <w:r>
        <w:rPr/>
        <w:t xml:space="preserve"> </w:t>
      </w:r>
      <w:bookmarkEnd w:id="179039"/>
    </w:p>
    <w:p>
      <w:pPr>
        <w:spacing w:before="0" w:after="0" w:line="274" w:lineRule="auto"/>
        <w:ind w:left="0" w:right="7" w:firstLine="0"/>
      </w:pPr>
      <w:r>
        <w:rPr>
          <w:rFonts w:cs="Times New Roman" w:hAnsi="Times New Roman" w:eastAsia="Times New Roman" w:ascii="Times New Roman"/>
        </w:rPr>
        <w:t xml:space="preserve">The International Climate Risk Report (CIGI, 2007) identified Uganda as one of the least prepared and most vulnerable countries in the world. Many parts of Uganda are already experiencing the impacts of climate change such as frequent droughts, famine, floods and landslides, and their knock on consequences on natural resources, agriculture, food security and livelihoods. According to the government of Uganda’s 2007 National Adaptation Programmes of Action (NAPA), drought is the most prominent effect of climate change in Uganda. The NAPA suggests that the frequency of drought is on the increase with seven serious droughts experienced between 1991 and 2000 (Government of Uganda, 2007). In the north</w:t>
      </w:r>
      <w:r>
        <w:rPr>
          <w:rFonts w:cs="Times New Roman" w:hAnsi="Times New Roman" w:eastAsia="Times New Roman" w:ascii="Times New Roman"/>
        </w:rPr>
        <w:t xml:space="preserve">-</w:t>
      </w:r>
      <w:r>
        <w:rPr>
          <w:rFonts w:cs="Times New Roman" w:hAnsi="Times New Roman" w:eastAsia="Times New Roman" w:ascii="Times New Roman"/>
        </w:rPr>
        <w:t xml:space="preserve">eastern Karamoja region, consecutive years of crop failure and low livestock productivity due to erratic weather conditions and below normal rainfall have had a strong and adverse impact on food security throughout the sub</w:t>
      </w:r>
      <w:r>
        <w:rPr>
          <w:rFonts w:cs="Times New Roman" w:hAnsi="Times New Roman" w:eastAsia="Times New Roman" w:ascii="Times New Roman"/>
        </w:rPr>
        <w:t xml:space="preserve">-</w:t>
      </w:r>
      <w:r>
        <w:rPr>
          <w:rFonts w:cs="Times New Roman" w:hAnsi="Times New Roman" w:eastAsia="Times New Roman" w:ascii="Times New Roman"/>
        </w:rPr>
        <w:t xml:space="preserve">region.</w:t>
      </w:r>
      <w:r>
        <w:rPr>
          <w:rFonts w:cs="Times New Roman" w:hAnsi="Times New Roman" w:eastAsia="Times New Roman" w:ascii="Times New Roman"/>
        </w:rPr>
        <w:t xml:space="preserve">  </w:t>
      </w:r>
    </w:p>
    <w:p>
      <w:pPr>
        <w:spacing w:before="0" w:after="16" w:line="259" w:lineRule="auto"/>
        <w:ind w:left="0" w:right="0" w:firstLine="0"/>
        <w:jc w:val="left"/>
      </w:pPr>
      <w:r>
        <w:rPr>
          <w:rFonts w:cs="Times New Roman" w:hAnsi="Times New Roman" w:eastAsia="Times New Roman" w:ascii="Times New Roman"/>
        </w:rPr>
        <w:t xml:space="preserve"> </w:t>
      </w:r>
    </w:p>
    <w:p>
      <w:pPr>
        <w:pStyle w:val="normal"/>
        <w:spacing w:before="0" w:after="5" w:line="268" w:lineRule="auto"/>
        <w:ind w:left="-5" w:right="0"/>
      </w:pPr>
      <w:r>
        <w:rPr>
          <w:rFonts w:cs="Times New Roman" w:hAnsi="Times New Roman" w:eastAsia="Times New Roman" w:ascii="Times New Roman"/>
        </w:rPr>
        <w:t xml:space="preserve">Floods have wrecked havoc in part of Lango, Teso and Acholi and in some cases led to internal displacement of the people.</w:t>
      </w:r>
      <w:r>
        <w:rPr/>
        <w:t xml:space="preserve"> </w:t>
      </w:r>
      <w:r>
        <w:rPr/>
        <w:t xml:space="preserve">Even before communities in areas of return could settle down, disaster struck again in form of heavy rains received between August and October 2007. These rains led to severe flooding in several districts in the war</w:t>
      </w:r>
      <w:r>
        <w:rPr/>
        <w:t xml:space="preserve">-</w:t>
      </w:r>
      <w:r>
        <w:rPr/>
        <w:t xml:space="preserve">affected districts of Northern Uganda. The rains displaced several thousands of households, including former IDPs who had moved out of ‘Mother’ IDP camps. The flush floods washed away not only crops, but also basic social infrastructure in much of Teso, but also parts of Lango and Acholi. All major rivers</w:t>
      </w:r>
      <w:r>
        <w:rPr/>
        <w:t xml:space="preserve"> </w:t>
      </w:r>
      <w:r>
        <w:rPr/>
        <w:t xml:space="preserve">in Acholi (including River Aswa) and Lango burst their banks, sub</w:t>
      </w:r>
      <w:r>
        <w:rPr/>
        <w:t xml:space="preserve"/>
      </w:r>
      <w:r>
        <w:rPr/>
        <w:t xml:space="preserve">merging of roads and destroying bridges.</w:t>
      </w:r>
      <w:r>
        <w:rPr>
          <w:vertAlign w:val="superscript"/>
        </w:rPr>
        <w:footnoteReference w:id="19"/>
      </w:r>
      <w:r>
        <w:rPr/>
        <w:t xml:space="preserve"> </w:t>
      </w:r>
      <w:r>
        <w:rPr/>
        <w:t xml:space="preserve">In Lira district, Moroto County was the most affected.</w:t>
      </w:r>
      <w:r>
        <w:rPr>
          <w:vertAlign w:val="superscript"/>
        </w:rPr>
        <w:footnoteReference w:id="20"/>
      </w:r>
      <w:r>
        <w:rPr/>
        <w:t xml:space="preserve"> </w:t>
      </w:r>
      <w:r>
        <w:rPr/>
        <w:t xml:space="preserve">Teso sub</w:t>
      </w:r>
      <w:r>
        <w:rPr/>
        <w:t xml:space="preserve">-</w:t>
      </w:r>
      <w:r>
        <w:rPr/>
        <w:t xml:space="preserve">region was worst hit, affecting districts such as Amuria, Katakwi, Soroti, Kumi and Bukedea, where hundreds of thousands of homesteads were deserted leading to some temporary internal displacement.</w:t>
      </w:r>
      <w:r>
        <w:rPr>
          <w:vertAlign w:val="superscript"/>
        </w:rPr>
        <w:footnoteReference w:id="21"/>
      </w:r>
      <w:r>
        <w:rPr/>
        <w:t xml:space="preserve"> </w:t>
      </w:r>
      <w:r>
        <w:rPr/>
        <w:t xml:space="preserve">The floods created temporary displacement in all the districts, as well as making many of the return areas inaccessible for humanitarian agencies. By September 2007, 80% of Amuria district and 50% of Katakwi had flooded</w:t>
      </w:r>
      <w:r>
        <w:rPr>
          <w:vertAlign w:val="superscript"/>
        </w:rPr>
        <w:footnoteReference w:id="22"/>
      </w:r>
      <w:r>
        <w:rPr/>
        <w:t xml:space="preserve">. These floods have often repeated themselves in the subsequent years.</w:t>
      </w:r>
      <w:r>
        <w:rPr>
          <w:rFonts w:cs="Times New Roman" w:hAnsi="Times New Roman" w:eastAsia="Times New Roman" w:ascii="Times New Roman"/>
        </w:rPr>
        <w:t xml:space="preserve"> </w:t>
      </w:r>
    </w:p>
    <w:p>
      <w:pPr>
        <w:spacing w:before="0" w:after="26" w:line="259" w:lineRule="auto"/>
        <w:ind w:left="0" w:right="0" w:firstLine="0"/>
        <w:jc w:val="left"/>
      </w:pPr>
      <w:r>
        <w:rPr>
          <w:rFonts w:cs="Times New Roman" w:hAnsi="Times New Roman" w:eastAsia="Times New Roman" w:ascii="Times New Roman"/>
        </w:rPr>
        <w:t xml:space="preserve"> </w:t>
      </w:r>
    </w:p>
    <w:p>
      <w:pPr>
        <w:pStyle w:val="normal"/>
        <w:spacing w:before="0" w:after="5" w:line="268" w:lineRule="auto"/>
        <w:ind w:left="-5" w:right="0"/>
      </w:pPr>
      <w:r>
        <w:rPr/>
        <w:t xml:space="preserve">Disasters and climatic risks and impacts are a critical impediment to development and social stability in Uganda. Natural hazards and climate vulnerability coalesce to heighten the risk profile. Uganda is susceptible to both hydrological and geological hazards, and high vulnerability translates into recurrent disasters affecting people’s lives and livelihoods. Accentuated by climate variability and change, disasters in Uganda are increasing in numbers, frequency, and geographical spread and intensity, thus resulting in high mortality, loss of livelihoods, devastation of social and community infrastructure and significant economic stress. Increasing temperatures and shifting rainfall patterns can have a potentially far</w:t>
      </w:r>
      <w:r>
        <w:rPr/>
        <w:t xml:space="preserve">-</w:t>
      </w:r>
      <w:r>
        <w:rPr/>
        <w:t xml:space="preserve">reaching impact on the primarily agrarian Ugandan economy, and its traditional socio</w:t>
      </w:r>
      <w:r>
        <w:rPr/>
        <w:t xml:space="preserve">-</w:t>
      </w:r>
      <w:r>
        <w:rPr/>
        <w:t xml:space="preserve">economic activities and livelihood patterns, and lead in some instances to not just the disruption of economic and community life, but also violence over scarce resources.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Increasing natural hazards and climatic stressors have the potential to induce intra</w:t>
      </w:r>
      <w:r>
        <w:rPr/>
        <w:t xml:space="preserve">-</w:t>
      </w:r>
      <w:r>
        <w:rPr/>
        <w:t xml:space="preserve">and</w:t>
      </w:r>
      <w:r>
        <w:rPr/>
        <w:t xml:space="preserve"/>
      </w:r>
      <w:r>
        <w:rPr/>
        <w:t xml:space="preserve">inter</w:t>
      </w:r>
      <w:r>
        <w:rPr/>
        <w:t xml:space="preserve">-</w:t>
      </w:r>
      <w:r>
        <w:rPr/>
        <w:t xml:space="preserve">country migration, loss of livelihoods, and an</w:t>
      </w:r>
      <w:r>
        <w:rPr/>
        <w:t xml:space="preserve"> </w:t>
      </w:r>
      <w:r>
        <w:rPr/>
        <w:t xml:space="preserve">increasing level of stress and conflict over</w:t>
      </w:r>
      <w:r>
        <w:rPr/>
        <w:t xml:space="preserve"> </w:t>
      </w:r>
      <w:r>
        <w:rPr/>
        <w:t xml:space="preserve">natural resources. This can lead to greater competition for land, water and natural resources, thus undermining community livelihoods, social security and sustainable development. It could accentuate social vulnerabilities and widen social inequities by entrenching poverty. This low resilience and adaptive capacity on the part of average citizens could be compounded in the case of Uganda by low income and livelihood diversity, illiteracy, HIV/AIDS, weak governance structures and administration, and the absence of social security. Susceptibility to disasters and climate impacts is heightening Uganda’s vulnerability, eroding the social construct</w:t>
      </w:r>
      <w:r>
        <w:rPr/>
        <w:t xml:space="preserve"> </w:t>
      </w:r>
      <w:r>
        <w:rPr/>
        <w:t xml:space="preserve">and hampering the achievement of resilient and stable development goals.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These vulnerabilities are compounded by structural and systemic deficiencies and the country’s ability to develop more effective responses and resilience to natural disasters has </w:t>
      </w:r>
      <w:r>
        <w:rPr/>
        <w:t xml:space="preserve">been partly impeded by an ineffective institutional architecture, and partly by an inadequate resource allocation for disaster risk reduction. While natural disasters and climatic impacts are unlikely to cause widespread instability in the immediate future, they add significant</w:t>
      </w:r>
      <w:r>
        <w:rPr/>
        <w:t xml:space="preserve"> </w:t>
      </w:r>
      <w:r>
        <w:rPr/>
        <w:t xml:space="preserve">to an already boiling brew of public anger and frustration and can become the proverbial last straw on the camel’s back.</w:t>
      </w:r>
      <w:r>
        <w:rPr/>
        <w:t xml:space="preserve"> </w:t>
      </w:r>
    </w:p>
    <w:p>
      <w:pPr>
        <w:spacing w:before="0" w:after="100" w:line="259" w:lineRule="auto"/>
        <w:ind w:left="0" w:right="0" w:firstLine="0"/>
        <w:jc w:val="left"/>
      </w:pPr>
      <w:r>
        <w:rPr/>
        <w:t xml:space="preserve"> </w:t>
      </w:r>
    </w:p>
    <w:p>
      <w:pPr>
        <w:pStyle w:val="heading1"/>
        <w:tabs>
          <w:tab w:val="center" w:pos="1890"/>
        </w:tabs>
        <w:spacing w:before="0" w:after="0" w:line="259" w:lineRule="auto"/>
        <w:ind w:left="-15" w:firstLine="0"/>
      </w:pPr>
      <w:bookmarkStart w:id="179040" w:name="_Toc179040"/>
      <w:r>
        <w:rPr/>
        <w:t xml:space="preserve">4</w:t>
      </w:r>
      <w:r>
        <w:rPr/>
        <w:t xml:space="preserve"> 	</w:t>
      </w:r>
      <w:r>
        <w:rPr/>
        <w:t xml:space="preserve">Project strategy</w:t>
      </w:r>
      <w:r>
        <w:rPr/>
        <w:t xml:space="preserve"> </w:t>
      </w:r>
      <w:bookmarkEnd w:id="179040"/>
    </w:p>
    <w:p>
      <w:pPr>
        <w:pStyle w:val="normal"/>
        <w:spacing w:before="0" w:after="5" w:line="268" w:lineRule="auto"/>
        <w:ind w:left="-5" w:right="0"/>
      </w:pPr>
      <w:r>
        <w:rPr/>
        <w:t xml:space="preserve">This project for Northern Uganda shall be guided by the National Development Plan (2012</w:t>
      </w:r>
      <w:r>
        <w:rPr/>
        <w:t xml:space="preserve"/>
      </w:r>
      <w:r>
        <w:rPr/>
        <w:t xml:space="preserve">2015), the Peace, Recovery and Development Plan (PRDP2), the UN Development Assistant Framework (UNDAF), the UNDP Country Programme Document (CPD)</w:t>
      </w:r>
      <w:r>
        <w:rPr/>
        <w:t xml:space="preserve"> </w:t>
      </w:r>
      <w:r>
        <w:rPr/>
        <w:t xml:space="preserve">and the Country Programme Action Plan (CPAP)</w:t>
      </w:r>
      <w:r>
        <w:rPr/>
        <w:t xml:space="preserve">.</w:t>
      </w:r>
      <w:r>
        <w:rPr/>
        <w:t xml:space="preserve"> </w:t>
      </w:r>
      <w:r>
        <w:rPr/>
        <w:t xml:space="preserve">In addition, this programme shall be guided by past and on</w:t>
      </w:r>
      <w:r>
        <w:rPr/>
        <w:t xml:space="preserve">-</w:t>
      </w:r>
      <w:r>
        <w:rPr/>
        <w:t xml:space="preserve">going relevant national, bi</w:t>
      </w:r>
      <w:r>
        <w:rPr/>
        <w:t xml:space="preserve">-</w:t>
      </w:r>
      <w:r>
        <w:rPr/>
        <w:t xml:space="preserve">lateral and multi</w:t>
      </w:r>
      <w:r>
        <w:rPr/>
        <w:t xml:space="preserve">-</w:t>
      </w:r>
      <w:r>
        <w:rPr/>
        <w:t xml:space="preserve">lateral initiatives.</w:t>
      </w:r>
      <w:r>
        <w:rPr/>
        <w:t xml:space="preserve">  </w:t>
      </w:r>
      <w:r>
        <w:rPr/>
        <w:t xml:space="preserve">In this regard, the programme seeks to build on the achievements and lessons learned from on</w:t>
      </w:r>
      <w:r>
        <w:rPr/>
        <w:t xml:space="preserve">-</w:t>
      </w:r>
      <w:r>
        <w:rPr/>
        <w:t xml:space="preserve">going UNDP projects on strengthening local government capacity to enhance social cohesion through citizen security and justice</w:t>
      </w:r>
      <w:r>
        <w:rPr/>
        <w:t xml:space="preserve"> </w:t>
      </w:r>
      <w:r>
        <w:rPr/>
        <w:t xml:space="preserve">initiatives; and development interventions targeting youth and women’s empowerment, and livelihoods and economic development.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The project shall be guided by recovery and developmental principles including “do no harm”, inclusivity and participation, ownership, accountability and transparency, efficiency and effectiveness.</w:t>
      </w:r>
      <w:r>
        <w:rPr/>
        <w:t xml:space="preserve"> </w:t>
      </w:r>
      <w:r>
        <w:rPr/>
        <w:t xml:space="preserve">The programme, which is rights</w:t>
      </w:r>
      <w:r>
        <w:rPr/>
        <w:t xml:space="preserve">-</w:t>
      </w:r>
      <w:r>
        <w:rPr/>
        <w:t xml:space="preserve">based, conflict and disaster risk sensitive, shall include as well in its planning and implementation several cross</w:t>
      </w:r>
      <w:r>
        <w:rPr/>
        <w:t xml:space="preserve">-</w:t>
      </w:r>
      <w:r>
        <w:rPr/>
        <w:t xml:space="preserve">cutting issues such as gender and youth empowerment, peace building, environment protection, and capacity development.</w:t>
      </w:r>
      <w:r>
        <w:rPr/>
        <w:t xml:space="preserve"> </w:t>
      </w:r>
      <w:r>
        <w:rPr/>
        <w:t xml:space="preserve">The programme will endeavour to inform policy formulation, ensure sustainability and scalability as well as aim at creating an enabling environment for social and economic transformation through its multi</w:t>
      </w:r>
      <w:r>
        <w:rPr/>
        <w:t xml:space="preserve">-</w:t>
      </w:r>
      <w:r>
        <w:rPr/>
        <w:t xml:space="preserve">sectoral/disciplinary interventions. The programme, as it strives to contribute to longer</w:t>
      </w:r>
      <w:r>
        <w:rPr/>
        <w:t xml:space="preserve">-</w:t>
      </w:r>
      <w:r>
        <w:rPr/>
        <w:t xml:space="preserve">term recovery and development, shall emphasize medium to long term gains and to lesser extent short term, quick wins.</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An integrated, holistic and inclusive community/area</w:t>
      </w:r>
      <w:r>
        <w:rPr/>
        <w:t xml:space="preserve">-</w:t>
      </w:r>
      <w:r>
        <w:rPr/>
        <w:t xml:space="preserve">based approach focused on economic recovery and community security and reconciliation will be adopted that is based on and reinforces existing structures.</w:t>
      </w:r>
      <w:r>
        <w:rPr/>
        <w:t xml:space="preserve"> </w:t>
      </w:r>
      <w:r>
        <w:rPr/>
        <w:t xml:space="preserve">At the same time, there is a need to broaden and diversify income resources and livelihood opportunities. Currently, resources are mostly controlled by influential social/ political groups, leaving little room for others to access or benefit from those resources.</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From an economic recovery perspective, the project</w:t>
      </w:r>
      <w:r>
        <w:rPr/>
        <w:t xml:space="preserve"> </w:t>
      </w:r>
      <w:r>
        <w:rPr/>
        <w:t xml:space="preserve">shall be guided by the UN post conflict policy on employment creation, income generation and reintegration three track approach (see Figure </w:t>
      </w:r>
      <w:r>
        <w:rPr/>
        <w:t xml:space="preserve">3</w:t>
      </w:r>
      <w:r>
        <w:rPr/>
        <w:t xml:space="preserve"> </w:t>
      </w:r>
      <w:r>
        <w:rPr/>
        <w:t xml:space="preserve">below).</w:t>
      </w:r>
      <w:r>
        <w:rPr/>
        <w:t xml:space="preserve"> </w:t>
      </w:r>
      <w:r>
        <w:rPr/>
        <w:t xml:space="preserve">The project shall focus on creating sustainable jobs targeting mainly youth and especially focusing</w:t>
      </w:r>
      <w:r>
        <w:rPr/>
        <w:t xml:space="preserve"> </w:t>
      </w:r>
      <w:r>
        <w:rPr/>
        <w:t xml:space="preserve">on women and those seeking employment in both rural and urban setting.</w:t>
      </w:r>
      <w:r>
        <w:rPr/>
        <w:t xml:space="preserve">  </w:t>
      </w:r>
      <w:r>
        <w:rPr/>
        <w:t xml:space="preserve">In an attempt to enhance employability of youth, the project will give due attention to market</w:t>
      </w:r>
      <w:r>
        <w:rPr/>
        <w:t xml:space="preserve">-</w:t>
      </w:r>
      <w:r>
        <w:rPr/>
        <w:t xml:space="preserve">responsive training and skilling initiatives, support access to micro</w:t>
      </w:r>
      <w:r>
        <w:rPr/>
        <w:t xml:space="preserve"/>
      </w:r>
      <w:r>
        <w:rPr/>
        <w:t xml:space="preserve">finance, support business development and mentoring, while at the same time seek to influence current policies and strategies geared towards economic growth.</w:t>
      </w:r>
      <w:r>
        <w:rPr/>
        <w:t xml:space="preserve">   </w:t>
      </w:r>
    </w:p>
    <w:p>
      <w:pPr>
        <w:spacing w:before="0" w:after="0" w:line="259" w:lineRule="auto"/>
        <w:ind w:left="0" w:right="0" w:firstLine="0"/>
        <w:jc w:val="left"/>
      </w:pPr>
      <w:r>
        <w:rPr/>
        <w:t xml:space="preserve"> </w:t>
      </w:r>
    </w:p>
    <w:p>
      <w:pPr>
        <w:spacing w:before="0" w:after="164" w:line="259" w:lineRule="auto"/>
        <w:ind w:left="-5" w:right="0"/>
        <w:jc w:val="left"/>
      </w:pPr>
      <w:r>
        <w:rPr>
          <w:rFonts w:cs="Cambria" w:hAnsi="Cambria" w:eastAsia="Cambria" w:ascii="Cambria"/>
          <w:b w:val="1"/>
          <w:sz w:val="20"/>
        </w:rPr>
        <w:t xml:space="preserve">Figure </w:t>
      </w:r>
      <w:r>
        <w:rPr>
          <w:rFonts w:cs="Cambria" w:hAnsi="Cambria" w:eastAsia="Cambria" w:ascii="Cambria"/>
          <w:b w:val="1"/>
          <w:sz w:val="20"/>
        </w:rPr>
        <w:t xml:space="preserve">3</w:t>
      </w:r>
      <w:r>
        <w:rPr>
          <w:rFonts w:cs="Cambria" w:hAnsi="Cambria" w:eastAsia="Cambria" w:ascii="Cambria"/>
          <w:b w:val="1"/>
          <w:sz w:val="20"/>
        </w:rPr>
        <w:t xml:space="preserve"> </w:t>
      </w:r>
      <w:r>
        <w:rPr>
          <w:rFonts w:cs="Cambria" w:hAnsi="Cambria" w:eastAsia="Cambria" w:ascii="Cambria"/>
          <w:b w:val="1"/>
          <w:sz w:val="20"/>
        </w:rPr>
        <w:t xml:space="preserve">Three track approach towards recovery and social cohesion</w:t>
      </w:r>
      <w:r>
        <w:rPr>
          <w:rFonts w:cs="Cambria" w:hAnsi="Cambria" w:eastAsia="Cambria" w:ascii="Cambria"/>
          <w:b w:val="1"/>
          <w:sz w:val="20"/>
        </w:rPr>
        <w:t xml:space="preserve"> </w:t>
      </w:r>
    </w:p>
    <w:p>
      <w:pPr>
        <w:spacing w:before="0" w:after="0" w:line="259" w:lineRule="auto"/>
        <w:ind w:left="0" w:right="980" w:firstLine="0"/>
        <w:jc w:val="right"/>
      </w:pPr>
      <w:r>
        <w:drawing>
          <wp:inline distT="0" distB="0" distL="0" distR="0">
            <wp:extent cx="5266944" cy="3057144"/>
            <wp:effectExtent l="0" t="0" r="0" b="0"/>
            <wp:docPr id="9045" name="Picture 9045"/>
            <wp:cNvGraphicFramePr/>
            <a:graphic>
              <a:graphicData uri="http://schemas.openxmlformats.org/drawingml/2006/picture">
                <pic:pic xmlns:pic="http://schemas.openxmlformats.org/drawingml/2006/picture">
                  <pic:nvPicPr>
                    <pic:cNvPr id="9045" name="Picture 9045"/>
                    <pic:cNvPicPr/>
                  </pic:nvPicPr>
                  <pic:blipFill>
                    <a:blip r:embed="rId76"/>
                    <a:stretch>
                      <a:fillRect/>
                    </a:stretch>
                  </pic:blipFill>
                  <pic:spPr>
                    <a:xfrm>
                      <a:off x="0" y="0"/>
                      <a:ext cx="5266944" cy="3057144"/>
                    </a:xfrm>
                    <a:prstGeom prst="rect">
                      <a:avLst/>
                    </a:prstGeom>
                  </pic:spPr>
                </pic:pic>
              </a:graphicData>
            </a:graphic>
          </wp:inline>
        </w:drawing>
      </w:r>
      <w:r>
        <w:rPr>
          <w:sz w:val="22"/>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From a governance and rule of law perspective, the project</w:t>
      </w:r>
      <w:r>
        <w:rPr/>
        <w:t xml:space="preserve"> </w:t>
      </w:r>
      <w:r>
        <w:rPr/>
        <w:t xml:space="preserve">shall be guided by the United Nations Secretary General Reports and Guidance Notes on the Rule of Law and lessons learned and best practices identified by UNDPs Crisis Governance and Global Rule of Law Programmes. The programme</w:t>
      </w:r>
      <w:r>
        <w:rPr/>
        <w:t xml:space="preserve"> </w:t>
      </w:r>
      <w:r>
        <w:rPr/>
        <w:t xml:space="preserve">will combine community security and justice interventions with capacity development for governance and rule of law institutions and transitional justice. A strong emphasis will be placed on data collection and M&amp;E.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The project</w:t>
      </w:r>
      <w:r>
        <w:rPr/>
        <w:t xml:space="preserve"> </w:t>
      </w:r>
      <w:r>
        <w:rPr/>
        <w:t xml:space="preserve">will give due attention to women’s issues.</w:t>
      </w:r>
      <w:r>
        <w:rPr/>
        <w:t xml:space="preserve">  </w:t>
      </w:r>
      <w:r>
        <w:rPr/>
        <w:t xml:space="preserve">A minimum acceptable level of women’s participation in all project activities will be defined that should not go below </w:t>
      </w:r>
      <w:r>
        <w:rPr/>
        <w:t xml:space="preserve">30%.</w:t>
      </w:r>
      <w:r>
        <w:rPr/>
        <w:t xml:space="preserve">  </w:t>
      </w:r>
      <w:r>
        <w:rPr/>
        <w:t xml:space="preserve">The project will ensure the allocation of at least 15% of the total budget towards gender as per the secretary general’s directives.</w:t>
      </w:r>
      <w:r>
        <w:rPr/>
        <w:t xml:space="preserve">  </w:t>
      </w:r>
      <w:r>
        <w:rPr/>
        <w:t xml:space="preserve">Equal opportunities including in wages, access to services (social and financial) for men and women, urban and rural, returnees and local communities shall be ensured and promoted.</w:t>
      </w:r>
      <w:r>
        <w:rPr/>
        <w:t xml:space="preserve">  </w:t>
      </w:r>
      <w:r>
        <w:rPr/>
        <w:t xml:space="preserve">Finally, alignment will be ensured with the Agreement on Accountability and Reconciliation entered into by the Government of Uganda and the Lord</w:t>
      </w:r>
      <w:r>
        <w:rPr/>
        <w:t xml:space="preserve">’</w:t>
      </w:r>
      <w:r>
        <w:rPr/>
        <w:t xml:space="preserve">s Resistance Army section 4</w:t>
      </w:r>
      <w:r>
        <w:rPr/>
        <w:t xml:space="preserve">,</w:t>
      </w:r>
      <w:r>
        <w:rPr/>
        <w:t xml:space="preserve"> </w:t>
      </w:r>
      <w:r>
        <w:rPr/>
        <w:t xml:space="preserve">which requires the establishment of procedures and arrangements to protect and ensure the involvement of women and victims of sexual violence.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UNDP will ensure that a proper partnership strategy is in place and endeavours</w:t>
      </w:r>
      <w:r>
        <w:rPr/>
        <w:t xml:space="preserve"> </w:t>
      </w:r>
      <w:r>
        <w:rPr/>
        <w:t xml:space="preserve">to enhance partnerships with various stakeholders including the Ugandan government, local authorities, communities and their institutions, International, national and local NGOs, private sector, academia, and the donor community with the aim to mobilize and maximize the use of resources, and to ensure ownership and sustainability.</w:t>
      </w:r>
      <w:r>
        <w:rPr/>
        <w:t xml:space="preserve">  </w:t>
      </w:r>
      <w:r>
        <w:rPr/>
        <w:t xml:space="preserve">It will also encourage regional and International partnerships and foster South</w:t>
      </w:r>
      <w:r>
        <w:rPr/>
        <w:t xml:space="preserve">-</w:t>
      </w:r>
      <w:r>
        <w:rPr/>
        <w:t xml:space="preserve">South collaboration. The project</w:t>
      </w:r>
      <w:r>
        <w:rPr/>
        <w:t xml:space="preserve"> </w:t>
      </w:r>
      <w:r>
        <w:rPr/>
        <w:t xml:space="preserve">will avoid duplication and overlap with other donor support and will target the geographical location of its interventions accordingly.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Similarly, UNDP will ensure that proper monitoring and evaluation system and communication strategy are in place. Consistent with the above frameworks, policies, strategies and principles, UNDP will ensure that affected households and communities’ livelihoods and security are supported and that the economy is revived in an environmentally</w:t>
      </w:r>
      <w:r>
        <w:rPr/>
        <w:t xml:space="preserve">-</w:t>
      </w:r>
      <w:r>
        <w:rPr/>
        <w:t xml:space="preserve">friendly and sustainable manner.</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Overall, the following will constitute the guiding principles and the backbone of the programme: </w:t>
      </w:r>
      <w:r>
        <w:rPr/>
        <w:t xml:space="preserve"> </w:t>
      </w:r>
    </w:p>
    <w:p>
      <w:pPr>
        <w:pStyle w:val="normal"/>
        <w:numPr>
          <w:ilvl w:val="0"/>
          <w:numId w:val="1"/>
        </w:numPr>
        <w:spacing w:before="0" w:after="5" w:line="268" w:lineRule="auto"/>
        <w:ind w:left="720" w:right="0" w:hanging="360"/>
      </w:pPr>
      <w:r>
        <w:rPr/>
        <w:t xml:space="preserve">Peace, security and stability are important factors that affect and are affected by the livelihood situation in the country. The programme will be sensitive and responsive to factors</w:t>
      </w:r>
      <w:r>
        <w:rPr/>
        <w:t xml:space="preserve"> </w:t>
      </w:r>
      <w:r>
        <w:rPr/>
        <w:t xml:space="preserve">contributing to social cohesion and stability; </w:t>
      </w:r>
      <w:r>
        <w:rPr/>
        <w:t xml:space="preserve"> </w:t>
      </w:r>
    </w:p>
    <w:p>
      <w:pPr>
        <w:pStyle w:val="normal"/>
        <w:numPr>
          <w:ilvl w:val="0"/>
          <w:numId w:val="1"/>
        </w:numPr>
        <w:spacing w:before="0" w:after="5" w:line="268" w:lineRule="auto"/>
        <w:ind w:left="720" w:right="0" w:hanging="360"/>
      </w:pPr>
      <w:r>
        <w:rPr/>
        <w:t xml:space="preserve">Access to economic, justice and security services are</w:t>
      </w:r>
      <w:r>
        <w:rPr/>
        <w:t xml:space="preserve"> </w:t>
      </w:r>
      <w:r>
        <w:rPr/>
        <w:t xml:space="preserve">key in mitigating drivers of conflict and consolidating peace and recovery. The programme will support direct delivery of these services to the population in particular to youth, women, poor, IDPs and other vulnerable groups;</w:t>
      </w:r>
      <w:r>
        <w:rPr/>
        <w:t xml:space="preserve"> </w:t>
      </w:r>
    </w:p>
    <w:p>
      <w:pPr>
        <w:pStyle w:val="normal"/>
        <w:numPr>
          <w:ilvl w:val="0"/>
          <w:numId w:val="1"/>
        </w:numPr>
        <w:spacing w:before="0" w:after="5" w:line="268" w:lineRule="auto"/>
        <w:ind w:left="720" w:right="0" w:hanging="360"/>
      </w:pPr>
      <w:r>
        <w:rPr/>
        <w:t xml:space="preserve">Enhance the capacity of local district administrations to tackle issues of land allocation and the delivery of basic social services to communities in an effort to build sustainability of the project interventions</w:t>
      </w:r>
      <w:r>
        <w:rPr/>
        <w:t xml:space="preserve"> </w:t>
      </w:r>
    </w:p>
    <w:p>
      <w:pPr>
        <w:pStyle w:val="normal"/>
        <w:numPr>
          <w:ilvl w:val="0"/>
          <w:numId w:val="1"/>
        </w:numPr>
        <w:spacing w:before="0" w:after="5" w:line="268" w:lineRule="auto"/>
        <w:ind w:left="720" w:right="0" w:hanging="360"/>
      </w:pPr>
      <w:r>
        <w:rPr/>
        <w:t xml:space="preserve">Appropriate policy, institutional and legal frameworks constitute a major requirement and prerequisite for achieving efficiency, effectiveness and sustainability. The programme will complement interventions with the appropriate policy, institutional and legal development;</w:t>
      </w:r>
      <w:r>
        <w:rPr/>
        <w:t xml:space="preserve"> </w:t>
      </w:r>
    </w:p>
    <w:p>
      <w:pPr>
        <w:pStyle w:val="normal"/>
        <w:numPr>
          <w:ilvl w:val="0"/>
          <w:numId w:val="1"/>
        </w:numPr>
        <w:spacing w:before="0" w:after="5" w:line="268" w:lineRule="auto"/>
        <w:ind w:left="720" w:right="0" w:hanging="360"/>
      </w:pPr>
      <w:r>
        <w:rPr/>
        <w:t xml:space="preserve">The private sector is the major engine of growth, service delivery, income generation and employment creation.</w:t>
      </w:r>
      <w:r>
        <w:rPr/>
        <w:t xml:space="preserve">  </w:t>
      </w:r>
      <w:r>
        <w:rPr/>
        <w:t xml:space="preserve">The programme will support a conducive and enabling environment not only for the private sector,</w:t>
      </w:r>
      <w:r>
        <w:rPr/>
        <w:t xml:space="preserve"> </w:t>
      </w:r>
      <w:r>
        <w:rPr/>
        <w:t xml:space="preserve">but also for CSOs, and will support their capacities to contribute to stabilization, reintegration, job creation and peace building at both national and local</w:t>
      </w:r>
      <w:r>
        <w:rPr/>
        <w:t xml:space="preserve">  </w:t>
      </w:r>
      <w:r>
        <w:rPr/>
        <w:t xml:space="preserve">levels;</w:t>
      </w:r>
      <w:r>
        <w:rPr/>
        <w:t xml:space="preserve"> </w:t>
      </w:r>
    </w:p>
    <w:p>
      <w:pPr>
        <w:pStyle w:val="normal"/>
        <w:numPr>
          <w:ilvl w:val="0"/>
          <w:numId w:val="1"/>
        </w:numPr>
        <w:spacing w:before="0" w:after="5" w:line="268" w:lineRule="auto"/>
        <w:ind w:left="720" w:right="0" w:hanging="360"/>
      </w:pPr>
      <w:r>
        <w:rPr/>
        <w:t xml:space="preserve">Special attention will be given to the principle of national ownership, e.g. by maximizing the use of existing structures and local resources (human, economic and physical assets) and enhancing capacities of target people while encouraging local procurement of goods and services to stimulate the local economy/market with the aim to create long</w:t>
      </w:r>
      <w:r>
        <w:rPr/>
        <w:t xml:space="preserve">-</w:t>
      </w:r>
      <w:r>
        <w:rPr/>
        <w:t xml:space="preserve">term impact and sustainability; </w:t>
      </w:r>
      <w:r>
        <w:rPr/>
        <w:t xml:space="preserve"> </w:t>
      </w:r>
    </w:p>
    <w:p>
      <w:pPr>
        <w:pStyle w:val="normal"/>
        <w:numPr>
          <w:ilvl w:val="0"/>
          <w:numId w:val="1"/>
        </w:numPr>
        <w:spacing w:before="0" w:after="5" w:line="268" w:lineRule="auto"/>
        <w:ind w:left="720" w:right="0" w:hanging="360"/>
      </w:pPr>
      <w:r>
        <w:rPr/>
        <w:t xml:space="preserve">Special attention will be given to principles of coherence, comprehensiveness and inclusiveness, e.g. by ensuring coherence with national programmes and strategies; by</w:t>
      </w:r>
      <w:r>
        <w:rPr/>
        <w:t xml:space="preserve"> </w:t>
      </w:r>
      <w:r>
        <w:rPr/>
        <w:t xml:space="preserve">ensuring the participation of stakeholders throughout the planning, decision</w:t>
      </w:r>
      <w:r>
        <w:rPr/>
        <w:t xml:space="preserve"/>
      </w:r>
      <w:r>
        <w:rPr/>
        <w:t xml:space="preserve">making, implementation and M&amp;E processes</w:t>
      </w:r>
      <w:r>
        <w:rPr/>
        <w:t xml:space="preserve"> </w:t>
      </w:r>
      <w:r>
        <w:rPr/>
        <w:t xml:space="preserve">for enhanced social cohesion, economic empowerment and reduced tension amongst all parties. This includes national institutions, donors, UN agencies, International and national NGOs, CSOs, and the private sector;</w:t>
      </w:r>
      <w:r>
        <w:rPr/>
        <w:t xml:space="preserve"> </w:t>
      </w:r>
    </w:p>
    <w:p>
      <w:pPr>
        <w:pStyle w:val="normal"/>
        <w:numPr>
          <w:ilvl w:val="0"/>
          <w:numId w:val="1"/>
        </w:numPr>
        <w:spacing w:before="0" w:after="5" w:line="268" w:lineRule="auto"/>
        <w:ind w:left="720" w:right="0" w:hanging="360"/>
      </w:pPr>
      <w:r>
        <w:rPr/>
        <w:t xml:space="preserve">Special attention will be given to combating and mitigating the effects of floods,  drought and climate change, e.g. by integrating and mainstreaming disaster risk mitigation issues into district and national development national planning and budgeting frameworks while strengthening the governance of natural resources, and building the resilience of communities to climate change and to the associated to socio</w:t>
      </w:r>
      <w:r>
        <w:rPr/>
        <w:t xml:space="preserve">-</w:t>
      </w:r>
      <w:r>
        <w:rPr/>
        <w:t xml:space="preserve">economic impact;</w:t>
      </w:r>
      <w:r>
        <w:rPr/>
        <w:t xml:space="preserve"> </w:t>
      </w:r>
    </w:p>
    <w:p>
      <w:pPr>
        <w:numPr>
          <w:ilvl w:val="0"/>
          <w:numId w:val="1"/>
        </w:numPr>
        <w:spacing w:before="0" w:after="0" w:line="259" w:lineRule="auto"/>
        <w:ind w:left="720" w:right="0" w:hanging="360"/>
      </w:pPr>
      <w:r>
        <w:rPr/>
        <w:t xml:space="preserve">Special attention</w:t>
      </w:r>
      <w:r>
        <w:rPr/>
        <w:t xml:space="preserve"> </w:t>
      </w:r>
      <w:r>
        <w:rPr/>
        <w:t xml:space="preserve">will be given to vulnerable groups, in particular youth and women. </w:t>
      </w:r>
      <w:r>
        <w:rPr/>
        <w:t xml:space="preserve"> </w:t>
      </w:r>
    </w:p>
    <w:p>
      <w:pPr>
        <w:pStyle w:val="normal"/>
        <w:numPr>
          <w:ilvl w:val="0"/>
          <w:numId w:val="1"/>
        </w:numPr>
        <w:spacing w:before="0" w:after="5" w:line="268" w:lineRule="auto"/>
        <w:ind w:left="720" w:right="0" w:hanging="360"/>
      </w:pPr>
      <w:r>
        <w:rPr/>
        <w:t xml:space="preserve">Special attention will be given to the specificity of the Northern Uganda region and the application of an area</w:t>
      </w:r>
      <w:r>
        <w:rPr/>
        <w:t xml:space="preserve">-</w:t>
      </w:r>
      <w:r>
        <w:rPr/>
        <w:t xml:space="preserve">based approach where possible while trying to protect and utilize indigenous knowledge.</w:t>
      </w:r>
      <w:r>
        <w:rPr/>
        <w:t xml:space="preserve"> </w:t>
      </w:r>
    </w:p>
    <w:p>
      <w:pPr>
        <w:pStyle w:val="normal"/>
        <w:numPr>
          <w:ilvl w:val="0"/>
          <w:numId w:val="1"/>
        </w:numPr>
        <w:spacing w:before="0" w:after="5" w:line="268" w:lineRule="auto"/>
        <w:ind w:left="720" w:right="0" w:hanging="360"/>
      </w:pPr>
      <w:r>
        <w:rPr/>
        <w:t xml:space="preserve">Special attention will be given to special needs of men and women; boys and girls  including ex combatants, abductees, survivors and maimed segments of the populations </w:t>
      </w:r>
      <w:r>
        <w:rPr/>
        <w:t xml:space="preserve"> </w:t>
      </w:r>
    </w:p>
    <w:p>
      <w:pPr>
        <w:pStyle w:val="normal"/>
        <w:numPr>
          <w:ilvl w:val="0"/>
          <w:numId w:val="1"/>
        </w:numPr>
        <w:spacing w:before="0" w:after="5" w:line="268" w:lineRule="auto"/>
        <w:ind w:left="720" w:right="0" w:hanging="360"/>
      </w:pPr>
      <w:r>
        <w:rPr/>
        <w:t xml:space="preserve">The projects will embrace environmental sustainability principles</w:t>
      </w:r>
      <w:r>
        <w:rPr/>
        <w:t xml:space="preserve"> </w:t>
      </w:r>
      <w:r>
        <w:rPr/>
        <w:t xml:space="preserve">in implementation of the project.</w:t>
      </w:r>
      <w:r>
        <w:rPr/>
        <w:t xml:space="preserve"> </w:t>
      </w:r>
    </w:p>
    <w:p>
      <w:pPr>
        <w:spacing w:before="0" w:after="30" w:line="259" w:lineRule="auto"/>
        <w:ind w:left="0" w:right="0" w:firstLine="0"/>
        <w:jc w:val="left"/>
      </w:pPr>
      <w:r>
        <w:rPr>
          <w:sz w:val="22"/>
        </w:rPr>
        <w:t xml:space="preserve"> </w:t>
      </w:r>
    </w:p>
    <w:p>
      <w:pPr>
        <w:pStyle w:val="heading2"/>
        <w:spacing w:before="0" w:after="0" w:line="259" w:lineRule="auto"/>
        <w:ind w:left="-5"/>
      </w:pPr>
      <w:bookmarkStart w:id="179041" w:name="_Toc179041"/>
      <w:r>
        <w:rPr>
          <w:sz w:val="28"/>
        </w:rPr>
        <w:t xml:space="preserve">4.1 </w:t>
      </w:r>
      <w:r>
        <w:rPr>
          <w:sz w:val="28"/>
        </w:rPr>
        <w:t xml:space="preserve">Scope of the Strategy</w:t>
      </w:r>
      <w:r>
        <w:rPr>
          <w:sz w:val="28"/>
        </w:rPr>
        <w:t xml:space="preserve"> </w:t>
      </w:r>
      <w:bookmarkEnd w:id="179041"/>
    </w:p>
    <w:p>
      <w:pPr>
        <w:pStyle w:val="heading3"/>
        <w:spacing w:before="0" w:after="0" w:line="259" w:lineRule="auto"/>
        <w:ind w:left="-5"/>
      </w:pPr>
      <w:bookmarkStart w:id="179042" w:name="_Toc179042"/>
      <w:r>
        <w:rPr/>
        <w:t xml:space="preserve">4.1.1</w:t>
      </w:r>
      <w:r>
        <w:rPr/>
        <w:t xml:space="preserve"> </w:t>
      </w:r>
      <w:r>
        <w:rPr/>
        <w:t xml:space="preserve">Project scope</w:t>
      </w:r>
      <w:r>
        <w:rPr/>
        <w:t xml:space="preserve"> </w:t>
      </w:r>
      <w:bookmarkEnd w:id="179042"/>
    </w:p>
    <w:p>
      <w:pPr>
        <w:spacing w:before="0" w:after="0" w:line="248" w:lineRule="auto"/>
        <w:ind w:left="-5" w:right="0"/>
      </w:pPr>
      <w:r>
        <w:rPr>
          <w:sz w:val="22"/>
        </w:rPr>
        <w:t xml:space="preserve">In line with the overall goal of the PRDP, the project seeks to stabilize target areas in Northern Uganda and lay a firm foundation for recovery and development.</w:t>
      </w:r>
      <w:r>
        <w:rPr>
          <w:sz w:val="22"/>
        </w:rPr>
        <w:t xml:space="preserve"> </w:t>
      </w:r>
    </w:p>
    <w:p>
      <w:pPr>
        <w:spacing w:before="0" w:after="0" w:line="259" w:lineRule="auto"/>
        <w:ind w:left="0" w:right="0" w:firstLine="0"/>
        <w:jc w:val="left"/>
      </w:pPr>
      <w:r>
        <w:rPr>
          <w:sz w:val="22"/>
        </w:rPr>
        <w:t xml:space="preserve"> </w:t>
      </w:r>
    </w:p>
    <w:p>
      <w:pPr>
        <w:spacing w:before="0" w:after="0" w:line="248" w:lineRule="auto"/>
        <w:ind w:left="-5" w:right="0"/>
      </w:pPr>
      <w:r>
        <w:rPr>
          <w:sz w:val="22"/>
        </w:rPr>
        <w:t xml:space="preserve">To this end, and building on previous work done by UNDP and other partners</w:t>
      </w:r>
      <w:r>
        <w:rPr>
          <w:sz w:val="22"/>
        </w:rPr>
        <w:t xml:space="preserve">,</w:t>
      </w:r>
      <w:r>
        <w:rPr>
          <w:sz w:val="22"/>
        </w:rPr>
        <w:t xml:space="preserve"> </w:t>
      </w:r>
      <w:r>
        <w:rPr>
          <w:sz w:val="22"/>
        </w:rPr>
        <w:t xml:space="preserve">the project incorporates the following three</w:t>
      </w:r>
      <w:r>
        <w:rPr>
          <w:sz w:val="22"/>
        </w:rPr>
        <w:t xml:space="preserve"> </w:t>
      </w:r>
      <w:r>
        <w:rPr>
          <w:sz w:val="22"/>
        </w:rPr>
        <w:t xml:space="preserve">project outputs that all contribute to the strategic objectives (SO) of the PRDP:</w:t>
      </w:r>
      <w:r>
        <w:rPr>
          <w:sz w:val="22"/>
        </w:rPr>
        <w:t xml:space="preserve"> </w:t>
      </w:r>
    </w:p>
    <w:p>
      <w:pPr>
        <w:spacing w:before="0" w:after="0" w:line="259" w:lineRule="auto"/>
        <w:ind w:left="0" w:right="0" w:firstLine="0"/>
        <w:jc w:val="left"/>
      </w:pPr>
      <w:r>
        <w:rPr>
          <w:sz w:val="22"/>
        </w:rPr>
        <w:t xml:space="preserve"> </w:t>
      </w:r>
    </w:p>
    <w:p>
      <w:pPr>
        <w:spacing w:before="0" w:after="0" w:line="259" w:lineRule="auto"/>
        <w:ind w:left="-5" w:right="0"/>
        <w:jc w:val="left"/>
      </w:pPr>
      <w:r>
        <w:rPr>
          <w:rFonts w:cs="Cambria" w:hAnsi="Cambria" w:eastAsia="Cambria" w:ascii="Cambria"/>
          <w:b w:val="1"/>
          <w:sz w:val="18"/>
        </w:rPr>
        <w:t xml:space="preserve">Table </w:t>
      </w:r>
      <w:r>
        <w:rPr>
          <w:rFonts w:cs="Cambria" w:hAnsi="Cambria" w:eastAsia="Cambria" w:ascii="Cambria"/>
          <w:b w:val="1"/>
          <w:sz w:val="18"/>
        </w:rPr>
        <w:t xml:space="preserve">1</w:t>
      </w:r>
      <w:r>
        <w:rPr>
          <w:rFonts w:cs="Cambria" w:hAnsi="Cambria" w:eastAsia="Cambria" w:ascii="Cambria"/>
          <w:b w:val="1"/>
          <w:sz w:val="18"/>
        </w:rPr>
        <w:t xml:space="preserve"> </w:t>
      </w:r>
      <w:r>
        <w:rPr>
          <w:rFonts w:cs="Cambria" w:hAnsi="Cambria" w:eastAsia="Cambria" w:ascii="Cambria"/>
          <w:b w:val="1"/>
          <w:sz w:val="18"/>
        </w:rPr>
        <w:t xml:space="preserve">Project outputs and corresponding contribution to the PRDP goals</w:t>
      </w:r>
      <w:r>
        <w:rPr>
          <w:rFonts w:cs="Cambria" w:hAnsi="Cambria" w:eastAsia="Cambria" w:ascii="Cambria"/>
          <w:b w:val="1"/>
          <w:sz w:val="18"/>
        </w:rPr>
        <w:t xml:space="preserve"> </w:t>
      </w:r>
    </w:p>
    <w:tbl>
      <w:tblPr>
        <w:tblStyle w:val="TableGrid"/>
        <w:tblW w:w="9581" w:type="dxa"/>
        <w:tblInd w:w="-110" w:type="dxa"/>
        <w:tblCellMar>
          <w:top w:w="39" w:type="dxa"/>
          <w:left w:w="110" w:type="dxa"/>
          <w:bottom w:w="0" w:type="dxa"/>
          <w:right w:w="62" w:type="dxa"/>
        </w:tblCellMar>
      </w:tblPr>
      <w:tblGrid>
        <w:gridCol w:w="677"/>
        <w:gridCol w:w="4253"/>
        <w:gridCol w:w="4651"/>
      </w:tblGrid>
      <w:tr>
        <w:trPr>
          <w:trHeight w:val="269" w:hRule="atLeast"/>
        </w:trPr>
        <w:tc>
          <w:tcPr>
            <w:tcW w:w="49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2"/>
              </w:rPr>
              <w:t xml:space="preserve">Outputs</w:t>
            </w:r>
            <w:r>
              <w:rPr>
                <w:rFonts w:cs="Cambria" w:hAnsi="Cambria" w:eastAsia="Cambria" w:ascii="Cambria"/>
                <w:b w:val="1"/>
                <w:sz w:val="22"/>
              </w:rPr>
              <w:t xml:space="preserve"> </w:t>
            </w:r>
          </w:p>
        </w:tc>
        <w:tc>
          <w:tcPr>
            <w:tcW w:w="465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2"/>
              </w:rPr>
              <w:t xml:space="preserve">Contribution to PRDP Strategic Objective</w:t>
            </w:r>
            <w:r>
              <w:rPr>
                <w:rFonts w:cs="Cambria" w:hAnsi="Cambria" w:eastAsia="Cambria" w:ascii="Cambria"/>
                <w:b w:val="1"/>
                <w:sz w:val="22"/>
              </w:rPr>
              <w:t xml:space="preserve"> </w:t>
            </w:r>
          </w:p>
        </w:tc>
      </w:tr>
      <w:tr>
        <w:trPr>
          <w:trHeight w:val="1042" w:hRule="atLeast"/>
        </w:trPr>
        <w:tc>
          <w:tcPr>
            <w:tcW w:w="6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1</w:t>
            </w:r>
            <w:r>
              <w:rPr>
                <w:sz w:val="22"/>
              </w:rPr>
              <w:t xml:space="preserve"> </w:t>
            </w:r>
          </w:p>
        </w:tc>
        <w:tc>
          <w:tcPr>
            <w:tcW w:w="425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Community justice &amp; security, and social cohesion increased for peaceful resolution of disputes, in particular as related to land and women’s issues</w:t>
            </w:r>
            <w:r>
              <w:rPr>
                <w:sz w:val="22"/>
              </w:rPr>
              <w:t xml:space="preserve"> </w:t>
            </w:r>
          </w:p>
        </w:tc>
        <w:tc>
          <w:tcPr>
            <w:tcW w:w="4651" w:type="dxa"/>
            <w:tcBorders>
              <w:top w:val="single" w:sz="4" w:color="000000"/>
              <w:left w:val="single" w:sz="4" w:color="000000"/>
              <w:bottom w:val="single" w:sz="4" w:color="000000"/>
              <w:right w:val="single" w:sz="4" w:color="000000"/>
            </w:tcBorders>
            <w:vAlign w:val="top"/>
          </w:tcPr>
          <w:p>
            <w:pPr>
              <w:spacing w:before="0" w:after="0" w:line="259" w:lineRule="auto"/>
              <w:ind w:left="0" w:right="48" w:firstLine="0"/>
              <w:jc w:val="left"/>
            </w:pPr>
            <w:r>
              <w:rPr>
                <w:rFonts w:cs="Cambria" w:hAnsi="Cambria" w:eastAsia="Cambria" w:ascii="Cambria"/>
                <w:i w:val="1"/>
                <w:sz w:val="22"/>
              </w:rPr>
              <w:t xml:space="preserve">Contributes to PRDP SO 1: Consolidation of State Authority and PRDP SO4: Peacebuilding and reconciliation.</w:t>
            </w:r>
            <w:r>
              <w:rPr>
                <w:sz w:val="22"/>
              </w:rPr>
              <w:t xml:space="preserve"> </w:t>
            </w:r>
          </w:p>
        </w:tc>
      </w:tr>
      <w:tr>
        <w:trPr>
          <w:trHeight w:val="1042" w:hRule="atLeast"/>
        </w:trPr>
        <w:tc>
          <w:tcPr>
            <w:tcW w:w="6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2</w:t>
            </w:r>
            <w:r>
              <w:rPr>
                <w:sz w:val="22"/>
              </w:rPr>
              <w:t xml:space="preserve"> </w:t>
            </w:r>
          </w:p>
        </w:tc>
        <w:tc>
          <w:tcPr>
            <w:tcW w:w="425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Employment opportunities enhanced and economic recovery and reintegration initiatives developed targeting youth, crises</w:t>
            </w:r>
            <w:r>
              <w:rPr>
                <w:sz w:val="22"/>
              </w:rPr>
              <w:t xml:space="preserve">-</w:t>
            </w:r>
            <w:r>
              <w:rPr>
                <w:sz w:val="22"/>
              </w:rPr>
              <w:t xml:space="preserve">affected and vulnerable people</w:t>
            </w:r>
            <w:r>
              <w:rPr>
                <w:sz w:val="22"/>
              </w:rPr>
              <w:t xml:space="preserve"> </w:t>
            </w:r>
          </w:p>
        </w:tc>
        <w:tc>
          <w:tcPr>
            <w:tcW w:w="465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2"/>
              </w:rPr>
              <w:t xml:space="preserve">Contributes to PRDP SO 2:Rebuilding and empowering communities and PRDP SO 3: Revitalization of the economy</w:t>
            </w:r>
            <w:r>
              <w:rPr>
                <w:sz w:val="22"/>
              </w:rPr>
              <w:t xml:space="preserve"> </w:t>
            </w:r>
          </w:p>
        </w:tc>
      </w:tr>
      <w:tr>
        <w:trPr>
          <w:trHeight w:val="782" w:hRule="atLeast"/>
        </w:trPr>
        <w:tc>
          <w:tcPr>
            <w:tcW w:w="6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3</w:t>
            </w:r>
            <w:r>
              <w:rPr>
                <w:sz w:val="22"/>
              </w:rPr>
              <w:t xml:space="preserve"> </w:t>
            </w:r>
          </w:p>
        </w:tc>
        <w:tc>
          <w:tcPr>
            <w:tcW w:w="4253" w:type="dxa"/>
            <w:tcBorders>
              <w:top w:val="single" w:sz="4" w:color="000000"/>
              <w:left w:val="single" w:sz="4" w:color="000000"/>
              <w:bottom w:val="single" w:sz="4" w:color="000000"/>
              <w:right w:val="single" w:sz="4" w:color="000000"/>
            </w:tcBorders>
            <w:vAlign w:val="top"/>
          </w:tcPr>
          <w:p>
            <w:pPr>
              <w:spacing w:before="0" w:after="0" w:line="259" w:lineRule="auto"/>
              <w:ind w:left="0" w:right="14" w:firstLine="0"/>
              <w:jc w:val="left"/>
            </w:pPr>
            <w:r>
              <w:rPr>
                <w:sz w:val="22"/>
              </w:rPr>
              <w:t xml:space="preserve">Greater understanding of the mining sector for sustainable development</w:t>
            </w:r>
            <w:r>
              <w:rPr>
                <w:sz w:val="22"/>
              </w:rPr>
              <w:t xml:space="preserve"> </w:t>
            </w:r>
          </w:p>
        </w:tc>
        <w:tc>
          <w:tcPr>
            <w:tcW w:w="465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2"/>
              </w:rPr>
              <w:t xml:space="preserve">Contributes to PRDP SO 2:Rebuilding and empowering communities and PRDP SO 3: Revitalization of the economy</w:t>
            </w:r>
            <w:r>
              <w:rPr>
                <w:rFonts w:cs="Cambria" w:hAnsi="Cambria" w:eastAsia="Cambria" w:ascii="Cambria"/>
                <w:i w:val="1"/>
                <w:sz w:val="22"/>
              </w:rPr>
              <w:t xml:space="preserve"> </w:t>
            </w:r>
          </w:p>
        </w:tc>
      </w:tr>
      <w:tr>
        <w:trPr>
          <w:trHeight w:val="1042" w:hRule="atLeast"/>
        </w:trPr>
        <w:tc>
          <w:tcPr>
            <w:tcW w:w="67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p>
            <w:pPr>
              <w:spacing w:before="0" w:after="0" w:line="259" w:lineRule="auto"/>
              <w:ind w:left="0" w:right="0" w:firstLine="0"/>
              <w:jc w:val="left"/>
            </w:pPr>
            <w:r>
              <w:rPr>
                <w:sz w:val="22"/>
              </w:rPr>
              <w:t xml:space="preserve">4</w:t>
            </w:r>
            <w:r>
              <w:rPr>
                <w:sz w:val="22"/>
              </w:rPr>
              <w:t xml:space="preserve"> </w:t>
            </w:r>
          </w:p>
        </w:tc>
        <w:tc>
          <w:tcPr>
            <w:tcW w:w="4253"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Capacities of local authorities and civil society strengthened in civic engagement, coordination, and planning  for economic recovery and peace consolidation</w:t>
            </w:r>
            <w:r>
              <w:rPr>
                <w:sz w:val="22"/>
              </w:rPr>
              <w:t xml:space="preserve"> 	 </w:t>
            </w:r>
          </w:p>
        </w:tc>
        <w:tc>
          <w:tcPr>
            <w:tcW w:w="4651" w:type="dxa"/>
            <w:tcBorders>
              <w:top w:val="single" w:sz="4" w:color="000000"/>
              <w:left w:val="single" w:sz="4" w:color="000000"/>
              <w:bottom w:val="single" w:sz="4" w:color="000000"/>
              <w:right w:val="single" w:sz="4" w:color="000000"/>
            </w:tcBorders>
            <w:vAlign w:val="top"/>
          </w:tcPr>
          <w:p>
            <w:pPr>
              <w:spacing w:before="0" w:after="0" w:line="238" w:lineRule="auto"/>
              <w:ind w:left="34" w:right="43" w:firstLine="0"/>
            </w:pPr>
            <w:r>
              <w:rPr>
                <w:rFonts w:cs="Cambria" w:hAnsi="Cambria" w:eastAsia="Cambria" w:ascii="Cambria"/>
                <w:i w:val="1"/>
                <w:sz w:val="22"/>
              </w:rPr>
              <w:t xml:space="preserve">Contributes to PRDP SO 1: Consolidation of State Authority and PRDP SO2: Rebuilding and empowering communities</w:t>
            </w:r>
            <w:r>
              <w:rPr>
                <w:rFonts w:cs="Cambria" w:hAnsi="Cambria" w:eastAsia="Cambria" w:ascii="Cambria"/>
                <w:i w:val="1"/>
                <w:sz w:val="22"/>
              </w:rPr>
              <w:t xml:space="preserve"> </w:t>
            </w:r>
          </w:p>
          <w:p>
            <w:pPr>
              <w:spacing w:before="0" w:after="0" w:line="259" w:lineRule="auto"/>
              <w:ind w:left="0" w:right="0" w:firstLine="0"/>
              <w:jc w:val="left"/>
            </w:pPr>
            <w:r>
              <w:rPr>
                <w:sz w:val="22"/>
              </w:rPr>
              <w:t xml:space="preserve"> </w:t>
            </w:r>
          </w:p>
        </w:tc>
      </w:tr>
    </w:tbl>
    <w:p>
      <w:pPr>
        <w:spacing w:before="0" w:after="0" w:line="259" w:lineRule="auto"/>
        <w:ind w:left="0" w:right="0" w:firstLine="0"/>
        <w:jc w:val="left"/>
      </w:pPr>
      <w:r>
        <w:rPr>
          <w:sz w:val="22"/>
        </w:rPr>
        <w:t xml:space="preserve"> </w:t>
      </w:r>
    </w:p>
    <w:p>
      <w:pPr>
        <w:pStyle w:val="heading3"/>
        <w:spacing w:before="0" w:after="0" w:line="259" w:lineRule="auto"/>
        <w:ind w:left="-5"/>
      </w:pPr>
      <w:bookmarkStart w:id="179043" w:name="_Toc179043"/>
      <w:r>
        <w:rPr/>
        <w:t xml:space="preserve">4.1.2</w:t>
      </w:r>
      <w:r>
        <w:rPr/>
        <w:t xml:space="preserve"> </w:t>
      </w:r>
      <w:r>
        <w:rPr/>
        <w:t xml:space="preserve">Geographical scope</w:t>
      </w:r>
      <w:r>
        <w:rPr/>
        <w:t xml:space="preserve"> </w:t>
      </w:r>
      <w:bookmarkEnd w:id="179043"/>
    </w:p>
    <w:p>
      <w:pPr>
        <w:pStyle w:val="normal"/>
        <w:spacing w:before="0" w:after="5" w:line="268" w:lineRule="auto"/>
        <w:ind w:left="-5" w:right="0"/>
      </w:pPr>
      <w:r>
        <w:rPr/>
        <w:t xml:space="preserve">Based on previous UNDP engagement in Northern Uganda, UNDP interventions will take place in Karamoja, Acholi and Lango regions. The districts targeted in this programme will include Abim, Kaabong and Kotido in Karamoja; Amuru, Lamwo, Agago and Nwoya in Acholi; and Alebtong and Otuke in Lango. The districts have been deliberately chosen first of all to consolidate on the interventions that have been carried out by UNDP in the respective sub regions but also because most of the districts are still new and therefore are in need of capacity development for improved service delivery.</w:t>
      </w:r>
      <w:r>
        <w:rPr/>
        <w:t xml:space="preserve"> </w:t>
      </w:r>
    </w:p>
    <w:p>
      <w:pPr>
        <w:spacing w:before="0" w:after="0" w:line="259" w:lineRule="auto"/>
        <w:ind w:left="0" w:right="0" w:firstLine="0"/>
        <w:jc w:val="left"/>
      </w:pPr>
      <w:r>
        <w:rPr/>
        <w:t xml:space="preserve"> </w:t>
      </w:r>
    </w:p>
    <w:p>
      <w:pPr>
        <w:pStyle w:val="heading2"/>
        <w:spacing w:before="0" w:after="0" w:line="259" w:lineRule="auto"/>
        <w:ind w:left="-5"/>
      </w:pPr>
      <w:bookmarkStart w:id="179044" w:name="_Toc179044"/>
      <w:r>
        <w:rPr>
          <w:sz w:val="28"/>
        </w:rPr>
        <w:t xml:space="preserve">4.2 </w:t>
      </w:r>
      <w:r>
        <w:rPr>
          <w:sz w:val="28"/>
        </w:rPr>
        <w:t xml:space="preserve">Programme outputs</w:t>
      </w:r>
      <w:r>
        <w:rPr>
          <w:sz w:val="28"/>
        </w:rPr>
        <w:t xml:space="preserve"> </w:t>
      </w:r>
      <w:bookmarkEnd w:id="179044"/>
    </w:p>
    <w:p>
      <w:pPr>
        <w:pStyle w:val="heading2"/>
        <w:spacing w:before="0" w:after="5" w:line="267" w:lineRule="auto"/>
        <w:ind w:left="-5"/>
        <w:jc w:val="both"/>
      </w:pPr>
      <w:bookmarkStart w:id="179045" w:name="_Toc179045"/>
      <w:r>
        <w:rPr>
          <w:rFonts w:cs="Cambria" w:hAnsi="Cambria" w:eastAsia="Cambria" w:ascii="Cambria"/>
          <w:i w:val="1"/>
          <w:color w:val="000000"/>
          <w:sz w:val="28"/>
        </w:rPr>
        <w:t xml:space="preserve">Output 1: Community justice</w:t>
      </w:r>
      <w:r>
        <w:rPr>
          <w:rFonts w:cs="Cambria" w:hAnsi="Cambria" w:eastAsia="Cambria" w:ascii="Cambria"/>
          <w:i w:val="1"/>
          <w:color w:val="000000"/>
          <w:sz w:val="28"/>
        </w:rPr>
        <w:t xml:space="preserve"> &amp; </w:t>
      </w:r>
      <w:r>
        <w:rPr>
          <w:rFonts w:cs="Cambria" w:hAnsi="Cambria" w:eastAsia="Cambria" w:ascii="Cambria"/>
          <w:i w:val="1"/>
          <w:color w:val="000000"/>
          <w:sz w:val="28"/>
        </w:rPr>
        <w:t xml:space="preserve">security</w:t>
      </w:r>
      <w:r>
        <w:rPr>
          <w:rFonts w:cs="Cambria" w:hAnsi="Cambria" w:eastAsia="Cambria" w:ascii="Cambria"/>
          <w:i w:val="1"/>
          <w:color w:val="000000"/>
          <w:sz w:val="28"/>
        </w:rPr>
        <w:t xml:space="preserve">,</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and social cohesion increased for peaceful resolution of disputes, in particular</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as related to land and women’s issues</w:t>
      </w:r>
      <w:r>
        <w:rPr>
          <w:rFonts w:cs="Cambria" w:hAnsi="Cambria" w:eastAsia="Cambria" w:ascii="Cambria"/>
          <w:i w:val="1"/>
          <w:color w:val="000000"/>
          <w:sz w:val="28"/>
        </w:rPr>
        <w:t xml:space="preserve">.</w:t>
      </w:r>
      <w:r>
        <w:rPr>
          <w:rFonts w:cs="Cambria" w:hAnsi="Cambria" w:eastAsia="Cambria" w:ascii="Cambria"/>
          <w:i w:val="1"/>
          <w:color w:val="000000"/>
          <w:sz w:val="28"/>
        </w:rPr>
        <w:t xml:space="preserve"> </w:t>
      </w:r>
      <w:bookmarkEnd w:id="179045"/>
    </w:p>
    <w:p>
      <w:pPr>
        <w:spacing w:before="0" w:after="30" w:line="259" w:lineRule="auto"/>
        <w:ind w:left="0" w:right="0" w:firstLine="0"/>
        <w:jc w:val="left"/>
      </w:pPr>
      <w:r>
        <w:rPr>
          <w:sz w:val="22"/>
        </w:rPr>
        <w:t xml:space="preserve"> </w:t>
      </w:r>
    </w:p>
    <w:p>
      <w:pPr>
        <w:pStyle w:val="normal"/>
        <w:spacing w:before="0" w:after="5" w:line="268" w:lineRule="auto"/>
        <w:ind w:left="-5" w:right="0"/>
      </w:pPr>
      <w:r>
        <w:rPr/>
        <w:t xml:space="preserve">The security situation in Northern Uganda has significantly improved</w:t>
      </w:r>
      <w:r>
        <w:rPr/>
        <w:t xml:space="preserve"> </w:t>
      </w:r>
      <w:r>
        <w:rPr/>
        <w:t xml:space="preserve">since the signing of the CHA which ushered in the return and resettlement in Acholi and Lango sub regions, and the launch of the disarmament programme in 2006 which has seen significant decrease in cattle rustling in Karamoja sub region. </w:t>
      </w:r>
      <w:r>
        <w:rPr/>
        <w:t xml:space="preserve"> </w:t>
      </w:r>
      <w:r>
        <w:rPr/>
        <w:t xml:space="preserve">There is a fairly good police presence in most parts of the three sub regions, with police penetration going as far as the sub county level and in some cases at parish level. Save for the</w:t>
      </w:r>
      <w:r>
        <w:rPr/>
        <w:t xml:space="preserve"> </w:t>
      </w:r>
      <w:r>
        <w:rPr/>
        <w:t xml:space="preserve">normal occurrence of crime, there are no major incidents</w:t>
      </w:r>
      <w:r>
        <w:rPr/>
        <w:t xml:space="preserve"> </w:t>
      </w:r>
      <w:r>
        <w:rPr/>
        <w:t xml:space="preserve">of insecurity, even in the formerly lawless Karamoja</w:t>
      </w:r>
      <w:r>
        <w:rPr/>
        <w:t xml:space="preserve">.</w:t>
      </w:r>
      <w:r>
        <w:rPr/>
        <w:t xml:space="preserve"> </w:t>
      </w:r>
      <w:r>
        <w:rPr/>
        <w:t xml:space="preserve">According to sources including</w:t>
      </w:r>
      <w:r>
        <w:rPr/>
        <w:t xml:space="preserve"> </w:t>
      </w:r>
      <w:r>
        <w:rPr/>
        <w:t xml:space="preserve">UN agencies and international NGOs based in Karamoja, there have been no reported highway robberies in the past few months except</w:t>
      </w:r>
      <w:r>
        <w:rPr/>
        <w:t xml:space="preserve"> </w:t>
      </w:r>
      <w:r>
        <w:rPr/>
        <w:t xml:space="preserve">along the feeder roads in Karamoja</w:t>
      </w:r>
      <w:r>
        <w:rPr/>
        <w:t xml:space="preserve"> </w:t>
      </w:r>
      <w:r>
        <w:rPr/>
        <w:t xml:space="preserve">and even so, they are isolated</w:t>
      </w:r>
      <w:r>
        <w:rPr/>
        <w:t xml:space="preserve">. </w:t>
      </w:r>
      <w:r>
        <w:rPr/>
        <w:t xml:space="preserve">Only minor raids, cattle theft and theft of food were reported to occur although less often. Burglary has also been reported especially in the urban centres.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While the guns</w:t>
      </w:r>
      <w:r>
        <w:rPr/>
        <w:t xml:space="preserve"> </w:t>
      </w:r>
      <w:r>
        <w:rPr/>
        <w:t xml:space="preserve">have</w:t>
      </w:r>
      <w:r>
        <w:rPr/>
        <w:t xml:space="preserve"> </w:t>
      </w:r>
      <w:r>
        <w:rPr/>
        <w:t xml:space="preserve">fallen silent in northern Uganda, new types of conflicts are surfacing</w:t>
      </w:r>
      <w:r>
        <w:rPr/>
        <w:t xml:space="preserve">. </w:t>
      </w:r>
      <w:r>
        <w:rPr/>
        <w:t xml:space="preserve">The most often cited source of conflict across northern Uganda particularly among the formerly displaced communities is land dispute. Up to 69% of the PRDP sub</w:t>
      </w:r>
      <w:r>
        <w:rPr/>
        <w:t xml:space="preserve">-</w:t>
      </w:r>
      <w:r>
        <w:rPr/>
        <w:t xml:space="preserve">counties raised</w:t>
      </w:r>
      <w:r>
        <w:rPr/>
        <w:t xml:space="preserve"> </w:t>
      </w:r>
      <w:r>
        <w:rPr/>
        <w:t xml:space="preserve">land disputes</w:t>
      </w:r>
      <w:r>
        <w:rPr/>
        <w:t xml:space="preserve"> </w:t>
      </w:r>
      <w:r>
        <w:rPr/>
        <w:t xml:space="preserve">as a problem</w:t>
      </w:r>
      <w:r>
        <w:rPr/>
        <w:t xml:space="preserve"> </w:t>
      </w:r>
      <w:r>
        <w:rPr/>
        <w:t xml:space="preserve">in the PRDP mid</w:t>
      </w:r>
      <w:r>
        <w:rPr/>
        <w:t xml:space="preserve">-</w:t>
      </w:r>
      <w:r>
        <w:rPr/>
        <w:t xml:space="preserve">term review</w:t>
      </w:r>
      <w:r>
        <w:rPr>
          <w:vertAlign w:val="superscript"/>
        </w:rPr>
        <w:footnoteReference w:id="23"/>
      </w:r>
      <w:r>
        <w:rPr/>
        <w:t xml:space="preserve">. </w:t>
      </w:r>
      <w:r>
        <w:rPr/>
        <w:t xml:space="preserve">According to IRIN GULU, 19 April 2012 (IRIN) </w:t>
      </w:r>
      <w:r>
        <w:rPr/>
        <w:t xml:space="preserve">– </w:t>
      </w:r>
      <w:r>
        <w:rPr/>
        <w:t xml:space="preserve">Inter</w:t>
      </w:r>
      <w:r>
        <w:rPr/>
        <w:t xml:space="preserve">-</w:t>
      </w:r>
      <w:r>
        <w:rPr/>
        <w:t xml:space="preserve">communal disputes over land and the allocation of land to private investors for cultivation could threaten peace in parts of northern Uganda</w:t>
      </w:r>
      <w:r>
        <w:rPr>
          <w:vertAlign w:val="superscript"/>
        </w:rPr>
        <w:footnoteReference w:id="24"/>
      </w:r>
      <w:r>
        <w:rPr/>
        <w:t xml:space="preserv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So</w:t>
      </w:r>
      <w:r>
        <w:rPr/>
        <w:t xml:space="preserve"> </w:t>
      </w:r>
      <w:r>
        <w:rPr/>
        <w:t xml:space="preserve">far in 2012, at least five people were</w:t>
      </w:r>
      <w:r>
        <w:rPr/>
        <w:t xml:space="preserve"> </w:t>
      </w:r>
      <w:r>
        <w:rPr/>
        <w:t xml:space="preserve">killed in violent land disputes in the villages of Lakang, Apar and Pabbo in the northern district of Amuru. Two more people were killed in late 2011 in neighbouring Nwoya District.</w:t>
      </w:r>
      <w:r>
        <w:rPr/>
        <w:t xml:space="preserve"> </w:t>
      </w:r>
      <w:r>
        <w:rPr/>
        <w:t xml:space="preserve">At present, the Acholi and Lango</w:t>
      </w:r>
      <w:r>
        <w:rPr/>
        <w:t xml:space="preserve"> </w:t>
      </w:r>
      <w:r>
        <w:rPr/>
        <w:t xml:space="preserve">communities in Pader District, also in the north, are in dispute over ancestral land in Pader‘s Acwinyo and Lamincwida villages. While the two communities are not armed, there has been traditional animosity between them.</w:t>
      </w:r>
      <w:r>
        <w:rPr/>
        <w:t xml:space="preserve"> </w:t>
      </w:r>
      <w:r>
        <w:rPr/>
        <w:t xml:space="preserve">Other reported land disputes in the region involve:</w:t>
      </w:r>
      <w:r>
        <w:rPr/>
        <w:t xml:space="preserve"> </w:t>
      </w:r>
      <w:r>
        <w:rPr/>
        <w:t xml:space="preserve">The Madi and Acholi communities in Adjumani and Amuru districts. Both claim ownership of the border areas of Apar and Joka in Pabbo sub</w:t>
      </w:r>
      <w:r>
        <w:rPr/>
        <w:t xml:space="preserve">-</w:t>
      </w:r>
      <w:r>
        <w:rPr/>
        <w:t xml:space="preserve">county and Alegu and Bibia in Atiak sub</w:t>
      </w:r>
      <w:r>
        <w:rPr/>
        <w:t xml:space="preserve">-</w:t>
      </w:r>
      <w:r>
        <w:rPr/>
        <w:t xml:space="preserve">county (the sub</w:t>
      </w:r>
      <w:r>
        <w:rPr/>
        <w:t xml:space="preserve">-</w:t>
      </w:r>
      <w:r>
        <w:rPr/>
        <w:t xml:space="preserve">counties of Pabbo and Atiak are in Amuru District)</w:t>
      </w:r>
      <w:r>
        <w:rPr/>
        <w:t xml:space="preserv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The Acholi communities in Labala and Palwong in Pabbo sub</w:t>
      </w:r>
      <w:r>
        <w:rPr/>
        <w:t xml:space="preserve">-</w:t>
      </w:r>
      <w:r>
        <w:rPr/>
        <w:t xml:space="preserve">county (inter</w:t>
      </w:r>
      <w:r>
        <w:rPr/>
        <w:t xml:space="preserve">-</w:t>
      </w:r>
      <w:r>
        <w:rPr/>
        <w:t xml:space="preserve">clan land disputes);</w:t>
      </w:r>
      <w:r>
        <w:rPr/>
        <w:t xml:space="preserve"> </w:t>
      </w:r>
      <w:r>
        <w:rPr/>
        <w:t xml:space="preserve">the Alur of Nebbi District and the Acholi of Nwoya District over ownership of the areas of Got Apwoyo and Nyamokino;</w:t>
      </w:r>
      <w:r>
        <w:rPr/>
        <w:t xml:space="preserve"> </w:t>
      </w:r>
      <w:r>
        <w:rPr/>
        <w:t xml:space="preserve">the Langi of Oyam District and the Acholi</w:t>
      </w:r>
      <w:r>
        <w:rPr/>
        <w:t xml:space="preserve"> </w:t>
      </w:r>
      <w:r>
        <w:rPr/>
        <w:t xml:space="preserve">of Nwoya District over the Lii area in Koch Goma sub</w:t>
      </w:r>
      <w:r>
        <w:rPr/>
        <w:t xml:space="preserve">-</w:t>
      </w:r>
      <w:r>
        <w:rPr/>
        <w:t xml:space="preserve">county, Nwoya District.</w:t>
      </w:r>
      <w:r>
        <w:rPr/>
        <w:t xml:space="preserve"> </w:t>
      </w:r>
      <w:r>
        <w:rPr/>
        <w:t xml:space="preserve">The resettlement of internally displaced persons (IDPs) in the Agoro, Lokung and Madi</w:t>
      </w:r>
      <w:r>
        <w:rPr/>
        <w:t xml:space="preserve">-</w:t>
      </w:r>
      <w:r>
        <w:rPr/>
        <w:t xml:space="preserve">Opei sub</w:t>
      </w:r>
      <w:r>
        <w:rPr/>
        <w:t xml:space="preserve">-</w:t>
      </w:r>
      <w:r>
        <w:rPr/>
        <w:t xml:space="preserve">counties of Lamwo District has also been hampered by land disputes.</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Secondly, domestic violence, sexual and gender based violence (SGBV) and child abuse/neglect have been</w:t>
      </w:r>
      <w:r>
        <w:rPr/>
        <w:t xml:space="preserve"> </w:t>
      </w:r>
      <w:r>
        <w:rPr/>
        <w:t xml:space="preserve">identified as sources of conflict in </w:t>
      </w:r>
      <w:r>
        <w:rPr/>
        <w:t xml:space="preserve">58%</w:t>
      </w:r>
      <w:r>
        <w:rPr/>
        <w:t xml:space="preserve"> </w:t>
      </w:r>
      <w:r>
        <w:rPr/>
        <w:t xml:space="preserve">of sub</w:t>
      </w:r>
      <w:r>
        <w:rPr/>
        <w:t xml:space="preserve">-</w:t>
      </w:r>
      <w:r>
        <w:rPr/>
        <w:t xml:space="preserve">counties</w:t>
      </w:r>
      <w:r>
        <w:rPr>
          <w:vertAlign w:val="superscript"/>
        </w:rPr>
        <w:footnoteReference w:id="25"/>
      </w:r>
      <w:r>
        <w:rPr/>
        <w:t xml:space="preserve">. In addition, there has been an overall rise in crime</w:t>
      </w:r>
      <w:r>
        <w:rPr/>
        <w:t xml:space="preserve"> </w:t>
      </w:r>
      <w:r>
        <w:rPr/>
        <w:t xml:space="preserve">and alcohol abuse (32%)</w:t>
      </w:r>
      <w:r>
        <w:rPr/>
        <w:t xml:space="preserve"> </w:t>
      </w:r>
      <w:r>
        <w:rPr/>
        <w:t xml:space="preserve">related to poverty</w:t>
      </w:r>
      <w:r>
        <w:rPr/>
        <w:t xml:space="preserve">.</w:t>
      </w:r>
      <w:r>
        <w:rPr/>
        <w:t xml:space="preserve"> </w:t>
      </w:r>
      <w:r>
        <w:rPr/>
        <w:t xml:space="preserve">As recent as March 17</w:t>
      </w:r>
      <w:r>
        <w:rPr>
          <w:vertAlign w:val="superscript"/>
        </w:rPr>
        <w:t xml:space="preserve">th</w:t>
      </w:r>
      <w:r>
        <w:rPr/>
        <w:t xml:space="preserve"> </w:t>
      </w:r>
      <w:r>
        <w:rPr/>
        <w:t xml:space="preserve">2013, over 300 members of Atek</w:t>
      </w:r>
      <w:r>
        <w:rPr/>
        <w:t xml:space="preserve">-</w:t>
      </w:r>
      <w:r>
        <w:rPr/>
        <w:t xml:space="preserve">Okwero</w:t>
      </w:r>
      <w:r>
        <w:rPr/>
        <w:t xml:space="preserve">-</w:t>
      </w:r>
      <w:r>
        <w:rPr/>
        <w:t xml:space="preserve">Wee clan in Lalogi Sub County in Gulu District fled their homes following a revenge attack on them by the relatives of one Agnes Akello, who was allegedly murdered and her body burnt by her husband one Goi</w:t>
      </w:r>
      <w:r>
        <w:rPr/>
        <w:t xml:space="preserve"> </w:t>
      </w:r>
      <w:r>
        <w:rPr/>
        <w:t xml:space="preserve">Nelson</w:t>
      </w:r>
      <w:r>
        <w:rPr>
          <w:vertAlign w:val="superscript"/>
        </w:rPr>
        <w:footnoteReference w:id="26"/>
      </w:r>
      <w:r>
        <w:rPr/>
        <w:t xml:space="preserv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August 2007, the Uganda Bureau of Statistics published a report indicating that 68</w:t>
      </w:r>
      <w:r>
        <w:rPr/>
        <w:t xml:space="preserve">%</w:t>
      </w:r>
      <w:r>
        <w:rPr/>
        <w:t xml:space="preserve"> </w:t>
      </w:r>
      <w:r>
        <w:rPr/>
        <w:t xml:space="preserve">of ever</w:t>
      </w:r>
      <w:r>
        <w:rPr/>
        <w:t xml:space="preserve">-</w:t>
      </w:r>
      <w:r>
        <w:rPr/>
        <w:t xml:space="preserve">married women aged 15 to 49 years had experienced some form of violence inflicted by their spouse or intimate partner (Uganda Aug. 2007, 293</w:t>
      </w:r>
      <w:r>
        <w:rPr/>
        <w:t xml:space="preserve">-</w:t>
      </w:r>
      <w:r>
        <w:rPr/>
        <w:t xml:space="preserve">294). A</w:t>
      </w:r>
      <w:r>
        <w:rPr/>
        <w:t xml:space="preserve"> </w:t>
      </w:r>
      <w:r>
        <w:rPr/>
        <w:t xml:space="preserve">2006 study by the Uganda Law Reform Commission yielded similar data, indicating that 66 percent of both men and women respondents had experienced domestic violence (CEDOVIP 2007). According to the 2006 Uganda Law Reform Commission study, domestic violence</w:t>
      </w:r>
      <w:r>
        <w:rPr/>
        <w:t xml:space="preserve"> </w:t>
      </w:r>
      <w:r>
        <w:rPr/>
        <w:t xml:space="preserve">is most common in northern Uganda, where it is reported to have occurred in 78 percent of homes (CEDOVIP 2007)</w:t>
      </w:r>
      <w:r>
        <w:rPr/>
        <w:t xml:space="preserv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While</w:t>
      </w:r>
      <w:r>
        <w:rPr/>
        <w:t xml:space="preserve"> </w:t>
      </w:r>
      <w:r>
        <w:rPr/>
        <w:t xml:space="preserve">the police presence in these areas is noticeable, the sheer number of cases reported to the police and forwarded for prosecution is overwhelming</w:t>
      </w:r>
      <w:r>
        <w:rPr/>
        <w:t xml:space="preserve"> </w:t>
      </w:r>
      <w:r>
        <w:rPr/>
        <w:t xml:space="preserve">and yet the judicial system in these areas also has its own challenges. Karamoja sub region is the most affected. It was not until recently that a Chief Magistrate’s Court became operational in Moroto district although</w:t>
      </w:r>
      <w:r>
        <w:rPr/>
        <w:t xml:space="preserve"> </w:t>
      </w:r>
      <w:r>
        <w:rPr/>
        <w:t xml:space="preserve">to this date the magistrate</w:t>
      </w:r>
      <w:r>
        <w:rPr/>
        <w:t xml:space="preserve"> </w:t>
      </w:r>
      <w:r>
        <w:rPr/>
        <w:t xml:space="preserve">is being accommodated in the Police Barracks due to lack of official accommodation.  While Kotido district has a Grade One Magistrate’s court; government prison in Kotido is reportedly crowded due to either the delays in the hearing of cases or the sheer</w:t>
      </w:r>
      <w:r>
        <w:rPr/>
        <w:t xml:space="preserve"> </w:t>
      </w:r>
      <w:r>
        <w:rPr/>
        <w:t xml:space="preserve">number of cases. This is because the Kotido court also handles cases from Kaabong district. The consequences of such delays impact more on the vulnerable, because as they say, justice delayed is justice denied. In addition, provision of witness testimony becomes a challenge especially for cases from faraway places as Kaabong.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On 24</w:t>
      </w:r>
      <w:r>
        <w:rPr>
          <w:vertAlign w:val="superscript"/>
        </w:rPr>
        <w:t xml:space="preserve">th</w:t>
      </w:r>
      <w:r>
        <w:rPr/>
        <w:t xml:space="preserve"> </w:t>
      </w:r>
      <w:r>
        <w:rPr/>
        <w:t xml:space="preserve">May 2006, the Local Council Courts Act </w:t>
      </w:r>
      <w:r>
        <w:rPr/>
        <w:t xml:space="preserve">2006 </w:t>
      </w:r>
      <w:r>
        <w:rPr/>
        <w:t xml:space="preserve">came into force causes and matters of a civil nature specified in the second schedule to</w:t>
      </w:r>
      <w:r>
        <w:rPr/>
        <w:t xml:space="preserve"> </w:t>
      </w:r>
      <w:r>
        <w:rPr/>
        <w:t xml:space="preserve">the Act</w:t>
      </w:r>
      <w:r>
        <w:rPr>
          <w:vertAlign w:val="superscript"/>
        </w:rPr>
        <w:footnoteReference w:id="27"/>
      </w:r>
      <w:r>
        <w:rPr/>
        <w:t xml:space="preserve">. </w:t>
      </w:r>
      <w:r>
        <w:rPr/>
        <w:t xml:space="preserve">The Act empowers the local council courts to make an order for any one or more of the following reliefs </w:t>
      </w:r>
      <w:r>
        <w:rPr/>
        <w:t xml:space="preserve">- </w:t>
      </w:r>
      <w:r>
        <w:rPr/>
        <w:t xml:space="preserve">reconciliation; declaration; compensation; restitution; costs; apology; or attachment and sale; and in the case of infringement of a bye</w:t>
      </w:r>
      <w:r>
        <w:rPr/>
        <w:t xml:space="preserve">-</w:t>
      </w:r>
      <w:r>
        <w:rPr/>
        <w:t xml:space="preserve">law or Ordinance, impose a fine, community service or any other penalty authorised by that bye</w:t>
      </w:r>
      <w:r>
        <w:rPr/>
        <w:t xml:space="preserve">-</w:t>
      </w:r>
      <w:r>
        <w:rPr/>
        <w:t xml:space="preserve">law or ordinance.</w:t>
      </w:r>
      <w:r>
        <w:rPr/>
        <w:t xml:space="preserve"> </w:t>
      </w:r>
      <w:r>
        <w:rPr/>
        <w:t xml:space="preserve">However, according to the local authorities, the failure of the LCCs</w:t>
      </w:r>
      <w:r>
        <w:rPr/>
        <w:t xml:space="preserve"> </w:t>
      </w:r>
      <w:r>
        <w:rPr/>
        <w:t xml:space="preserve">was arguably the major cause of overcrowding in </w:t>
      </w:r>
      <w:r>
        <w:rPr/>
        <w:t xml:space="preserve">prisons. Cases that are specified under the Act are usually reported to the police and prosecuted. The recent riot outbreak in Lira government prison is attributed to delayed justice both for the offenders and victims.</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Yet the police are constrained by a number of things ranging from</w:t>
      </w:r>
      <w:r>
        <w:rPr/>
        <w:t xml:space="preserve"> </w:t>
      </w:r>
      <w:r>
        <w:rPr/>
        <w:t xml:space="preserve">response logistics, technical capacity to deal with issues related to investigation/forensics for purposes of successful prosecution</w:t>
      </w:r>
      <w:r>
        <w:rPr/>
        <w:t xml:space="preserve">. </w:t>
      </w:r>
      <w:r>
        <w:rPr/>
        <w:t xml:space="preserve">In some cases, the police lack detention facilities</w:t>
      </w:r>
      <w:r>
        <w:rPr/>
        <w:t xml:space="preserve"> </w:t>
      </w:r>
      <w:r>
        <w:rPr/>
        <w:t xml:space="preserve">to keep</w:t>
      </w:r>
      <w:r>
        <w:rPr/>
        <w:t xml:space="preserve"> </w:t>
      </w:r>
      <w:r>
        <w:rPr/>
        <w:t xml:space="preserve">offenders before they are produced in court, however, where such facilities do not exist, police usually bond offenders. However, this does not auger well with community sentiments towards the police.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the last couple of years, the UN</w:t>
      </w:r>
      <w:r>
        <w:rPr/>
        <w:t xml:space="preserve"> </w:t>
      </w:r>
      <w:r>
        <w:rPr/>
        <w:t xml:space="preserve">Human Rights</w:t>
      </w:r>
      <w:r>
        <w:rPr/>
        <w:t xml:space="preserve"> </w:t>
      </w:r>
      <w:r>
        <w:rPr/>
        <w:t xml:space="preserve">in Moroto indicated that they were able to facilitate only 10 community policing sessions in the whole of Karamoja meaning that community policing as an awareness creation and crime prevention tool is not being well utilised. This appears to be the trend in all the districts that are targeted by this project given the resource requirements. In order to protect</w:t>
      </w:r>
      <w:r>
        <w:rPr/>
        <w:t xml:space="preserve"> </w:t>
      </w:r>
      <w:r>
        <w:rPr/>
        <w:t xml:space="preserve">the most vulnerable, particularly the children and women, there is need to strengthen the capacity of the police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Likewise, the human rights coordination offices in the Directorate of Community Development at local government level have</w:t>
      </w:r>
      <w:r>
        <w:rPr/>
        <w:t xml:space="preserve"> </w:t>
      </w:r>
      <w:r>
        <w:rPr/>
        <w:t xml:space="preserve">been reported to be incapacitated. In Moroto, it was reported that the office has not been discharging its responsibilities effectively</w:t>
      </w:r>
      <w:r>
        <w:rPr/>
        <w:t xml:space="preserve"> </w:t>
      </w:r>
      <w:r>
        <w:rPr/>
        <w:t xml:space="preserve">due to lack of capacity, technically and logistically. Responses to cases brought to the office such as child abuse and neglect is not being adequately handled</w:t>
      </w:r>
      <w:r>
        <w:rPr/>
        <w:t xml:space="preserve"> </w:t>
      </w:r>
      <w:r>
        <w:rPr/>
        <w:t xml:space="preserve">due to capacity constraints. Note should be taken that the Ministry of Gender, Labour and Social Development under whose docket the directorate of community development falls is the least funded in the national budget. It largely relies in donation from development partners. It is therefore understandable that they are least capacitated and therefore a gap that need to be filled by this project.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light of the absence of effective formal access to justice, in Karamoja the traditional justice system have been implemented. The</w:t>
      </w:r>
      <w:r>
        <w:rPr/>
        <w:t xml:space="preserve"> </w:t>
      </w:r>
      <w:r>
        <w:rPr/>
        <w:t xml:space="preserve">traditional courts have been known to try both petty crime and crimes of capital nature and hand over sentences that range from reparation to death. Cases of death by hanging have been reported and this is totally against the constitution of the republic.</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light of the above, the following activity result areas will be addressed by the project. These include the following.</w:t>
      </w:r>
      <w:r>
        <w:rPr/>
        <w:t xml:space="preserve"> </w:t>
      </w:r>
    </w:p>
    <w:p>
      <w:pPr>
        <w:spacing w:before="0" w:after="20" w:line="259" w:lineRule="auto"/>
        <w:ind w:left="0" w:right="0" w:firstLine="0"/>
        <w:jc w:val="left"/>
      </w:pPr>
      <w:r>
        <w:rPr/>
        <w:t xml:space="preserve"> </w:t>
      </w:r>
    </w:p>
    <w:p>
      <w:pPr>
        <w:pStyle w:val="normal"/>
        <w:numPr>
          <w:ilvl w:val="0"/>
          <w:numId w:val="2"/>
        </w:numPr>
        <w:spacing w:before="0" w:after="5" w:line="268" w:lineRule="auto"/>
        <w:ind w:left="720" w:right="0" w:hanging="360"/>
      </w:pPr>
      <w:r>
        <w:rPr/>
        <w:t xml:space="preserve">Strengthening the capacity of the police to rapidly respond to cases of crime, undertake effective investigations and successful prosecution of offenders; and to undertake community policing to create awareness and prevent crime</w:t>
      </w:r>
      <w:r>
        <w:rPr/>
        <w:t xml:space="preserve">. </w:t>
      </w:r>
      <w:r>
        <w:rPr/>
        <w:t xml:space="preserve"> </w:t>
      </w:r>
    </w:p>
    <w:p>
      <w:pPr>
        <w:pStyle w:val="normal"/>
        <w:numPr>
          <w:ilvl w:val="0"/>
          <w:numId w:val="2"/>
        </w:numPr>
        <w:spacing w:before="0" w:after="5" w:line="268" w:lineRule="auto"/>
        <w:ind w:left="720" w:right="0" w:hanging="360"/>
      </w:pPr>
      <w:r>
        <w:rPr/>
        <w:t xml:space="preserve">Strengthening the capacity of office for human rights coordination at local government level to better discharge</w:t>
      </w:r>
      <w:r>
        <w:rPr/>
        <w:t xml:space="preserve"> </w:t>
      </w:r>
      <w:r>
        <w:rPr/>
        <w:t xml:space="preserve">their responsibilities</w:t>
      </w:r>
      <w:r>
        <w:rPr/>
        <w:t xml:space="preserve"> </w:t>
      </w:r>
    </w:p>
    <w:p>
      <w:pPr>
        <w:pStyle w:val="normal"/>
        <w:numPr>
          <w:ilvl w:val="0"/>
          <w:numId w:val="2"/>
        </w:numPr>
        <w:spacing w:before="0" w:after="5" w:line="268" w:lineRule="auto"/>
        <w:ind w:left="720" w:right="0" w:hanging="360"/>
      </w:pPr>
      <w:r>
        <w:rPr/>
        <w:t xml:space="preserve">Building capacity of the LCC</w:t>
      </w:r>
      <w:r>
        <w:rPr/>
        <w:t xml:space="preserve"> </w:t>
      </w:r>
      <w:r>
        <w:rPr/>
        <w:t xml:space="preserve">to handle cases of the nature that is allowable under the Local Council Court Act 2006, with much attention to the protection of the rights most vulnerable to access land as a major livelihoods</w:t>
      </w:r>
      <w:r>
        <w:rPr/>
        <w:t xml:space="preserve"> </w:t>
      </w:r>
      <w:r>
        <w:rPr/>
        <w:t xml:space="preserve">asset.</w:t>
      </w:r>
      <w:r>
        <w:rPr/>
        <w:t xml:space="preserve"> </w:t>
      </w:r>
    </w:p>
    <w:p>
      <w:pPr>
        <w:pStyle w:val="normal"/>
        <w:numPr>
          <w:ilvl w:val="0"/>
          <w:numId w:val="2"/>
        </w:numPr>
        <w:spacing w:before="0" w:after="5" w:line="268" w:lineRule="auto"/>
        <w:ind w:left="720" w:right="0" w:hanging="360"/>
      </w:pPr>
      <w:r>
        <w:rPr/>
        <w:t xml:space="preserve">In</w:t>
      </w:r>
      <w:r>
        <w:rPr/>
        <w:t xml:space="preserve"> </w:t>
      </w:r>
      <w:r>
        <w:rPr/>
        <w:t xml:space="preserve">collaboration</w:t>
      </w:r>
      <w:r>
        <w:rPr/>
        <w:t xml:space="preserve"> </w:t>
      </w:r>
      <w:r>
        <w:rPr/>
        <w:t xml:space="preserve">with the community, identify and train people as paralegals to facilitate access to justice for the most vulnerable at community level and to facilitate conflict resolution using a peace rings approach</w:t>
      </w:r>
      <w:r>
        <w:rPr/>
        <w:t xml:space="preserve">.</w:t>
      </w:r>
      <w:r>
        <w:rPr/>
        <w:t xml:space="preserve"> </w:t>
      </w:r>
    </w:p>
    <w:p>
      <w:pPr>
        <w:spacing w:before="0" w:after="0"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w:t>
      </w:r>
      <w:r>
        <w:rPr>
          <w:rFonts w:cs="Cambria" w:hAnsi="Cambria" w:eastAsia="Cambria" w:ascii="Cambria"/>
          <w:b w:val="1"/>
          <w:i w:val="1"/>
        </w:rPr>
        <w:t xml:space="preserve">1.1:</w:t>
      </w:r>
      <w:r>
        <w:rPr>
          <w:rFonts w:cs="Cambria" w:hAnsi="Cambria" w:eastAsia="Cambria" w:ascii="Cambria"/>
          <w:b w:val="1"/>
          <w:i w:val="1"/>
        </w:rPr>
        <w:t xml:space="preserve"> </w:t>
      </w:r>
      <w:r>
        <w:rPr>
          <w:rFonts w:cs="Cambria" w:hAnsi="Cambria" w:eastAsia="Cambria" w:ascii="Cambria"/>
          <w:b w:val="1"/>
          <w:i w:val="1"/>
        </w:rPr>
        <w:t xml:space="preserve">Community security services and public confidence increased, in particular for women. </w:t>
      </w:r>
      <w:r>
        <w:rPr>
          <w:rFonts w:cs="Cambria" w:hAnsi="Cambria" w:eastAsia="Cambria" w:ascii="Cambria"/>
          <w:b w:val="1"/>
          <w:i w:val="1"/>
        </w:rPr>
        <w:t xml:space="preserve"> </w:t>
      </w:r>
    </w:p>
    <w:p>
      <w:pPr>
        <w:pStyle w:val="normal"/>
        <w:spacing w:before="0" w:after="29" w:line="268" w:lineRule="auto"/>
        <w:ind w:left="-5" w:right="0"/>
      </w:pPr>
      <w:r>
        <w:rPr/>
        <w:t xml:space="preserve">The project will seek to restore or enhance community security services in target districts. The project will work</w:t>
      </w:r>
      <w:r>
        <w:rPr/>
        <w:t xml:space="preserve"> </w:t>
      </w:r>
      <w:r>
        <w:rPr/>
        <w:t xml:space="preserve">with the local authorities</w:t>
      </w:r>
      <w:r>
        <w:rPr/>
        <w:t xml:space="preserve"> </w:t>
      </w:r>
      <w:r>
        <w:rPr/>
        <w:t xml:space="preserve">to ensure</w:t>
      </w:r>
      <w:r>
        <w:rPr/>
        <w:t xml:space="preserve"> </w:t>
      </w:r>
      <w:r>
        <w:rPr/>
        <w:t xml:space="preserve">that the work done at the community level feeds into national level work. Communities will be involved in articulating their priorities in this area and ensure dedicated policing services are available for women, the vulnerable and displaced</w:t>
      </w:r>
      <w:r>
        <w:rPr/>
        <w:t xml:space="preserve"> </w:t>
      </w:r>
      <w:r>
        <w:rPr/>
        <w:t xml:space="preserve">(see also output </w:t>
      </w:r>
      <w:r>
        <w:rPr/>
        <w:t xml:space="preserve">3</w:t>
      </w:r>
      <w:r>
        <w:rPr/>
        <w:t xml:space="preserve">)</w:t>
      </w:r>
      <w:r>
        <w:rPr/>
        <w:t xml:space="preserve">.</w:t>
      </w:r>
      <w:r>
        <w:rPr/>
        <w:t xml:space="preserve"> </w:t>
      </w:r>
      <w:r>
        <w:rPr/>
        <w:t xml:space="preserve">A</w:t>
      </w:r>
      <w:r>
        <w:rPr/>
        <w:t xml:space="preserve"> </w:t>
      </w:r>
      <w:r>
        <w:rPr/>
        <w:t xml:space="preserve">large number of policing</w:t>
      </w:r>
      <w:r>
        <w:rPr/>
        <w:t xml:space="preserve"> </w:t>
      </w:r>
      <w:r>
        <w:rPr/>
        <w:t xml:space="preserve">tasks in the PRDP region have been dealt with by the Army. Strong efforts to improve police presence in the region have been made and 85% of the PRDP sub</w:t>
      </w:r>
      <w:r>
        <w:rPr/>
        <w:t xml:space="preserve">-</w:t>
      </w:r>
      <w:r>
        <w:rPr/>
        <w:t xml:space="preserve">counties reported that they now have a police presence of some kind. However, knowledge of traditional policing tasks is lacking and increasingly negative public reviews have come out on police performance</w:t>
      </w:r>
      <w:r>
        <w:rPr>
          <w:vertAlign w:val="superscript"/>
        </w:rPr>
        <w:footnoteReference w:id="28"/>
      </w:r>
      <w:r>
        <w:rPr/>
        <w:t xml:space="preserve">.</w:t>
      </w:r>
      <w:r>
        <w:rPr>
          <w:rFonts w:cs="Cambria" w:hAnsi="Cambria" w:eastAsia="Cambria" w:ascii="Cambria"/>
          <w:b w:val="1"/>
          <w:i w:val="1"/>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 first set of activities aims at increasing the quality and reach of an effective police service in the target areas. Work will be undertaken to support capacity development at the organizational</w:t>
      </w:r>
      <w:r>
        <w:rPr/>
        <w:t xml:space="preserve"> </w:t>
      </w:r>
      <w:r>
        <w:rPr/>
        <w:t xml:space="preserve">and individual levels through provision of training, technical assistance and</w:t>
      </w:r>
      <w:r>
        <w:rPr/>
        <w:t xml:space="preserve"> </w:t>
      </w:r>
      <w:r>
        <w:rPr/>
        <w:t xml:space="preserve">equipment (e.g. rapid reaction logistical support; communication equipment; bikes)</w:t>
      </w:r>
      <w:r>
        <w:rPr/>
        <w:t xml:space="preserve">. </w:t>
      </w:r>
      <w:r>
        <w:rPr/>
        <w:t xml:space="preserve">Activities</w:t>
      </w:r>
      <w:r>
        <w:rPr/>
        <w:t xml:space="preserve"> </w:t>
      </w:r>
      <w:r>
        <w:rPr/>
        <w:t xml:space="preserve">will include support to increase</w:t>
      </w:r>
      <w:r>
        <w:rPr/>
        <w:t xml:space="preserve"> </w:t>
      </w:r>
      <w:r>
        <w:rPr/>
        <w:t xml:space="preserve">patrolling on foot, bicycle or motorbike</w:t>
      </w:r>
      <w:r>
        <w:rPr/>
        <w:t xml:space="preserve">.</w:t>
      </w:r>
      <w:r>
        <w:rPr/>
        <w:t xml:space="preserve"> </w:t>
      </w:r>
      <w:r>
        <w:rPr/>
        <w:t xml:space="preserve">Police officers and prosecutors jointly will</w:t>
      </w:r>
      <w:r>
        <w:rPr/>
        <w:t xml:space="preserve"> </w:t>
      </w:r>
      <w:r>
        <w:rPr/>
        <w:t xml:space="preserve">be provided with on</w:t>
      </w:r>
      <w:r>
        <w:rPr/>
        <w:t xml:space="preserve">-</w:t>
      </w:r>
      <w:r>
        <w:rPr/>
        <w:t xml:space="preserve">the</w:t>
      </w:r>
      <w:r>
        <w:rPr/>
        <w:t xml:space="preserve">-</w:t>
      </w:r>
      <w:r>
        <w:rPr/>
        <w:t xml:space="preserve">job training in crime prevention</w:t>
      </w:r>
      <w:r>
        <w:rPr/>
        <w:t xml:space="preserve"> </w:t>
      </w:r>
      <w:r>
        <w:rPr/>
        <w:t xml:space="preserve">and</w:t>
      </w:r>
      <w:r>
        <w:rPr/>
        <w:t xml:space="preserve"> </w:t>
      </w:r>
      <w:r>
        <w:rPr/>
        <w:t xml:space="preserve">investigation, in particular on GBV and land related crimes and conflicts. Police officers in the Family and Child Protection Units will</w:t>
      </w:r>
      <w:r>
        <w:rPr/>
        <w:t xml:space="preserve"> </w:t>
      </w:r>
      <w:r>
        <w:rPr/>
        <w:t xml:space="preserve">be trained on effective prevention and response to SGBV</w:t>
      </w:r>
      <w:r>
        <w:rPr/>
        <w:t xml:space="preserve"> </w:t>
      </w:r>
      <w:r>
        <w:rPr/>
        <w:t xml:space="preserve">and child protection. In Karamoja, a community policing programme supported by the Netherlands recently came to an end</w:t>
      </w:r>
      <w:r>
        <w:rPr/>
        <w:t xml:space="preserve">.</w:t>
      </w:r>
      <w:r>
        <w:rPr/>
        <w:t xml:space="preserve"> </w:t>
      </w:r>
      <w:r>
        <w:rPr/>
        <w:t xml:space="preserve">UNDP will work with the</w:t>
      </w:r>
      <w:r>
        <w:rPr/>
        <w:t xml:space="preserve"> </w:t>
      </w:r>
      <w:r>
        <w:rPr/>
        <w:t xml:space="preserve">relevant stakeholders how this programme can be built upon</w:t>
      </w:r>
      <w:r>
        <w:rPr/>
        <w:t xml:space="preserv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Other than increasing police ability to rapidly respond to cases of violence, the project will also address issues of police office accommodation on a transitional arrangement. For instance in Kaabong, the sub counties of Kawalakol and Loyoro have no police post. Upon </w:t>
      </w:r>
      <w:r>
        <w:rPr/>
        <w:t xml:space="preserve">assessment of the need UNDP may provide temporary accommodation for the police and detention facility for offenders</w:t>
      </w:r>
      <w:r>
        <w:rPr/>
        <w:t xml:space="preserve"> </w:t>
      </w:r>
      <w:r>
        <w:rPr/>
        <w:t xml:space="preserve">with the hope that government will provide a more permanent solution for police office accommodation. In the same vein, where there are no facilities</w:t>
      </w:r>
      <w:r>
        <w:rPr/>
        <w:t xml:space="preserve"> </w:t>
      </w:r>
      <w:r>
        <w:rPr/>
        <w:t xml:space="preserve">for children at adds with the law or children who have runaway from abuse, the need for a facility to provide temporary accommodation for cases may be considered.</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Another set of activities will</w:t>
      </w:r>
      <w:r>
        <w:rPr/>
        <w:t xml:space="preserve"> </w:t>
      </w:r>
      <w:r>
        <w:rPr/>
        <w:t xml:space="preserve">focus</w:t>
      </w:r>
      <w:r>
        <w:rPr/>
        <w:t xml:space="preserve"> </w:t>
      </w:r>
      <w:r>
        <w:rPr/>
        <w:t xml:space="preserve">on dialogues/workshops</w:t>
      </w:r>
      <w:r>
        <w:rPr/>
        <w:t xml:space="preserve"> </w:t>
      </w:r>
      <w:r>
        <w:rPr/>
        <w:t xml:space="preserve">between community leaders</w:t>
      </w:r>
      <w:r>
        <w:rPr/>
        <w:t xml:space="preserve">,</w:t>
      </w:r>
      <w:r>
        <w:rPr/>
        <w:t xml:space="preserve"> </w:t>
      </w:r>
      <w:r>
        <w:rPr/>
        <w:t xml:space="preserve">police</w:t>
      </w:r>
      <w:r>
        <w:rPr/>
        <w:t xml:space="preserve"> </w:t>
      </w:r>
      <w:r>
        <w:rPr/>
        <w:t xml:space="preserve">and peace actors</w:t>
      </w:r>
      <w:r>
        <w:rPr/>
        <w:t xml:space="preserve">,</w:t>
      </w:r>
      <w:r>
        <w:rPr/>
        <w:t xml:space="preserve"> </w:t>
      </w:r>
      <w:r>
        <w:rPr/>
        <w:t xml:space="preserve">as well as between the police and women’s networks, health centres</w:t>
      </w:r>
      <w:r>
        <w:rPr/>
        <w:t xml:space="preserve">,</w:t>
      </w:r>
      <w:r>
        <w:rPr/>
        <w:t xml:space="preserve"> </w:t>
      </w:r>
      <w:r>
        <w:rPr/>
        <w:t xml:space="preserve">psycho</w:t>
      </w:r>
      <w:r>
        <w:rPr/>
        <w:t xml:space="preserve">-</w:t>
      </w:r>
      <w:r>
        <w:rPr/>
        <w:t xml:space="preserve">social support workers, NGOs and</w:t>
      </w:r>
      <w:r>
        <w:rPr/>
        <w:t xml:space="preserve"> </w:t>
      </w:r>
      <w:r>
        <w:rPr/>
        <w:t xml:space="preserve">women’s shelters</w:t>
      </w:r>
      <w:r>
        <w:rPr/>
        <w:t xml:space="preserve">.</w:t>
      </w:r>
      <w:r>
        <w:rPr/>
        <w:t xml:space="preserve"> </w:t>
      </w:r>
      <w:r>
        <w:rPr/>
        <w:t xml:space="preserve">Topics for discussion could include: community policing priorities</w:t>
      </w:r>
      <w:r>
        <w:rPr/>
        <w:t xml:space="preserve">; </w:t>
      </w:r>
      <w:r>
        <w:rPr/>
        <w:t xml:space="preserve">the role of women in the police service</w:t>
      </w:r>
      <w:r>
        <w:rPr/>
        <w:t xml:space="preserve">; </w:t>
      </w:r>
      <w:r>
        <w:rPr/>
        <w:t xml:space="preserve">and the specific protection needs of women and children.</w:t>
      </w:r>
      <w:r>
        <w:rPr/>
        <w:t xml:space="preserve"> </w:t>
      </w:r>
      <w:r>
        <w:rPr/>
        <w:t xml:space="preserve">Building on UNDPs Karamoja programme and as per its mid</w:t>
      </w:r>
      <w:r>
        <w:rPr/>
        <w:t xml:space="preserve">-</w:t>
      </w:r>
      <w:r>
        <w:rPr/>
        <w:t xml:space="preserve">term</w:t>
      </w:r>
      <w:r>
        <w:rPr/>
        <w:t xml:space="preserve"> </w:t>
      </w:r>
      <w:r>
        <w:rPr/>
        <w:t xml:space="preserve">recommendations</w:t>
      </w:r>
      <w:r>
        <w:rPr>
          <w:vertAlign w:val="superscript"/>
        </w:rPr>
        <w:footnoteReference w:id="29"/>
      </w:r>
      <w:r>
        <w:rPr/>
        <w:t xml:space="preserve">, UNDP will</w:t>
      </w:r>
      <w:r>
        <w:rPr/>
        <w:t xml:space="preserve"> </w:t>
      </w:r>
      <w:r>
        <w:rPr/>
        <w:t xml:space="preserve">continue establishing</w:t>
      </w:r>
      <w:r>
        <w:rPr/>
        <w:t xml:space="preserve"> </w:t>
      </w:r>
      <w:r>
        <w:rPr/>
        <w:t xml:space="preserve">linkages between security and peace</w:t>
      </w:r>
      <w:r>
        <w:rPr/>
        <w:t xml:space="preserve"> </w:t>
      </w:r>
      <w:r>
        <w:rPr/>
        <w:t xml:space="preserve">building</w:t>
      </w:r>
      <w:r>
        <w:rPr/>
        <w:t xml:space="preserve"> </w:t>
      </w:r>
      <w:r>
        <w:rPr/>
        <w:t xml:space="preserve">activities: law enforcement officers will be supported in</w:t>
      </w:r>
      <w:r>
        <w:rPr/>
        <w:t xml:space="preserve"> </w:t>
      </w:r>
      <w:r>
        <w:rPr/>
        <w:t xml:space="preserve">effective and appropriate implementation of</w:t>
      </w:r>
      <w:r>
        <w:rPr/>
        <w:t xml:space="preserve"> </w:t>
      </w:r>
      <w:r>
        <w:rPr/>
        <w:t xml:space="preserve">agreements reached</w:t>
      </w:r>
      <w:r>
        <w:rPr/>
        <w:t xml:space="preserve"> </w:t>
      </w:r>
      <w:r>
        <w:rPr/>
        <w:t xml:space="preserve">in peace dialogues. Building on UNDPs support to the peace</w:t>
      </w:r>
      <w:r>
        <w:rPr/>
        <w:t xml:space="preserve"> </w:t>
      </w:r>
      <w:r>
        <w:rPr/>
        <w:t xml:space="preserve">rings (NUERP), best practices should be consolidated and follow up support should be identified.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Communities will also be empowered through raising awareness on the services that the police, the Local Council Courts, NGOs, paralegals and lawyers can provide, in particular on women’s rights; land rights since land is the most precious livelihood asset to the community at the moment</w:t>
      </w:r>
      <w:r>
        <w:rPr/>
        <w:t xml:space="preserve">; </w:t>
      </w:r>
      <w:r>
        <w:rPr/>
        <w:t xml:space="preserve">war</w:t>
      </w:r>
      <w:r>
        <w:rPr/>
        <w:t xml:space="preserve"> </w:t>
      </w:r>
      <w:r>
        <w:rPr/>
        <w:t xml:space="preserve">crimes and truth telling and transitional justice mechanisms. Community outreach should be done as much as possible by police and justice providers themselves. This provides the opportunity to sensitize communities while at the same time to directly provide community inputs so as to know how access to justice and security can be improved by the police and justice providers. These two</w:t>
      </w:r>
      <w:r>
        <w:rPr/>
        <w:t xml:space="preserve">-</w:t>
      </w:r>
      <w:r>
        <w:rPr/>
        <w:t xml:space="preserve">way interactions increase trust and provide a strong incentive for police and justice providers to resolve community issues. Activities could include for instance police</w:t>
      </w:r>
      <w:r>
        <w:rPr/>
        <w:t xml:space="preserve">-</w:t>
      </w:r>
      <w:r>
        <w:rPr/>
        <w:t xml:space="preserve">community sports programmes, community based consultations, radio programmes featuring lawyers, paralegals and police, and informative  presentations by police, lawyers, NGOs at schools and in community centres. Culturally appropriate methods should be used for sensitizing men and boys to combat violence against women. ‘Land days’ will</w:t>
      </w:r>
      <w:r>
        <w:rPr/>
        <w:t xml:space="preserve"> </w:t>
      </w:r>
      <w:r>
        <w:rPr/>
        <w:t xml:space="preserve">be organized to sensitize communities on statutory and customary land laws formal and informal processes of land demarcation, titling and establishment of land rights associations.</w:t>
      </w:r>
      <w:r>
        <w:rPr/>
        <w:t xml:space="preserve"> </w:t>
      </w:r>
      <w:r>
        <w:rPr/>
        <w:t xml:space="preserve">Civil society organization will be contracted and supported to facilitate these activities.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Any collaboration</w:t>
      </w:r>
      <w:r>
        <w:rPr/>
        <w:t xml:space="preserve"> </w:t>
      </w:r>
      <w:r>
        <w:rPr/>
        <w:t xml:space="preserve">with the law enforcement should be reviewed on a regular basis by UNDP in light of allegations of abuses by the Ugandan police. To that extent, conditions for </w:t>
      </w:r>
      <w:r>
        <w:rPr/>
        <w:t xml:space="preserve">the partnership between UNDP and the police should be established to avoid placing UNDP in a difficult position programmatically and ethically</w:t>
      </w:r>
      <w:r>
        <w:rPr>
          <w:vertAlign w:val="superscript"/>
        </w:rPr>
        <w:footnoteReference w:id="30"/>
      </w:r>
      <w:r>
        <w:rPr/>
        <w:t xml:space="preserve">. </w:t>
      </w:r>
      <w:r>
        <w:rPr/>
        <w:t xml:space="preserve"> </w:t>
      </w:r>
    </w:p>
    <w:p>
      <w:pPr>
        <w:spacing w:before="0" w:after="35" w:line="259" w:lineRule="auto"/>
        <w:ind w:left="0" w:right="0" w:firstLine="0"/>
        <w:jc w:val="left"/>
      </w:pPr>
      <w:r>
        <w:rPr>
          <w:sz w:val="22"/>
        </w:rPr>
        <w:t xml:space="preserve"> </w:t>
      </w:r>
    </w:p>
    <w:p>
      <w:pPr>
        <w:spacing w:before="0" w:after="5" w:line="268" w:lineRule="auto"/>
        <w:ind w:left="-5" w:right="0"/>
      </w:pPr>
      <w:r>
        <w:rPr>
          <w:rFonts w:cs="Cambria" w:hAnsi="Cambria" w:eastAsia="Cambria" w:ascii="Cambria"/>
          <w:b w:val="1"/>
          <w:i w:val="1"/>
        </w:rPr>
        <w:t xml:space="preserve">Activity result 1.2: Strengthening the capacity of office for human rights coordination at local government level </w:t>
      </w:r>
      <w:r>
        <w:rPr>
          <w:rFonts w:cs="Cambria" w:hAnsi="Cambria" w:eastAsia="Cambria" w:ascii="Cambria"/>
          <w:b w:val="1"/>
          <w:i w:val="1"/>
        </w:rPr>
        <w:t xml:space="preserve"> </w:t>
      </w:r>
    </w:p>
    <w:p>
      <w:pPr>
        <w:pStyle w:val="normal"/>
        <w:spacing w:before="0" w:after="5" w:line="268" w:lineRule="auto"/>
        <w:ind w:left="-5" w:right="0"/>
      </w:pPr>
      <w:r>
        <w:rPr/>
        <w:t xml:space="preserve">For a more effective service delivery to the most vulnerable, particularly for children and women, the Directorate of Community Development</w:t>
      </w:r>
      <w:r>
        <w:rPr/>
        <w:t xml:space="preserve"> - </w:t>
      </w:r>
      <w:r>
        <w:rPr/>
        <w:t xml:space="preserve">Probation and Welfare department which coordinates human rights activities will be strengthened in terms of infrastructure for monitoring of abuse of human rights of the children and women.</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In order to appreciate the magnitude of the problem against which planning can take place, the department will be supported to collect, manage and store data</w:t>
      </w:r>
      <w:r>
        <w:rPr/>
        <w:t xml:space="preserve"> </w:t>
      </w:r>
      <w:r>
        <w:rPr/>
        <w:t xml:space="preserve">as well as monitor the status of human rights. Capacity building of both technical and infrastructural nature will be provided to enhance their knowledge in child protection, and domestic and gender based violence.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Activities will be closely coordinated with other partners in this area such as SAFE</w:t>
      </w:r>
      <w:r>
        <w:rPr/>
        <w:t xml:space="preserve"> </w:t>
      </w:r>
      <w:r>
        <w:rPr/>
        <w:t xml:space="preserve">and the UN Human Rights Office</w:t>
      </w:r>
      <w:r>
        <w:rPr/>
        <w:t xml:space="preserve">. </w:t>
      </w:r>
      <w:r>
        <w:rPr/>
        <w:t xml:space="preserve">Special focus is given to victims of sexual and gender based violence, and conflict affected people, ensuring that victims of oppression and abuse, the poor and marginalized are granted unhindered access to fair justice services</w:t>
      </w:r>
      <w:r>
        <w:rPr/>
        <w:t xml:space="preserve">.</w:t>
      </w:r>
      <w:r>
        <w:rPr/>
        <w:t xml:space="preserve"> </w:t>
      </w:r>
      <w:r>
        <w:rPr/>
        <w:t xml:space="preserve">The project will work</w:t>
      </w:r>
      <w:r>
        <w:rPr/>
        <w:t xml:space="preserve"> </w:t>
      </w:r>
      <w:r>
        <w:rPr/>
        <w:t xml:space="preserve">with the local authorities</w:t>
      </w:r>
      <w:r>
        <w:rPr/>
        <w:t xml:space="preserve"> </w:t>
      </w:r>
      <w:r>
        <w:rPr/>
        <w:t xml:space="preserve">to ensure</w:t>
      </w:r>
      <w:r>
        <w:rPr/>
        <w:t xml:space="preserve"> </w:t>
      </w:r>
      <w:r>
        <w:rPr/>
        <w:t xml:space="preserve">that the work done at the community level feeds into national level JLOS policy work, in particular on legal aid and traditional justice</w:t>
      </w:r>
      <w:r>
        <w:rPr>
          <w:vertAlign w:val="superscript"/>
        </w:rPr>
        <w:footnoteReference w:id="31"/>
      </w:r>
      <w:r>
        <w:rPr>
          <w:rFonts w:cs="Cambria" w:hAnsi="Cambria" w:eastAsia="Cambria" w:ascii="Cambria"/>
          <w:i w:val="1"/>
        </w:rPr>
        <w:t xml:space="preserve">.</w:t>
      </w:r>
      <w:r>
        <w:rPr>
          <w:rFonts w:cs="Cambria" w:hAnsi="Cambria" w:eastAsia="Cambria" w:ascii="Cambria"/>
          <w:i w:val="1"/>
        </w:rPr>
        <w:t xml:space="preserve"> </w:t>
      </w:r>
    </w:p>
    <w:p>
      <w:pPr>
        <w:spacing w:before="0" w:after="0"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w:t>
      </w:r>
      <w:r>
        <w:rPr>
          <w:rFonts w:cs="Cambria" w:hAnsi="Cambria" w:eastAsia="Cambria" w:ascii="Cambria"/>
          <w:b w:val="1"/>
          <w:i w:val="1"/>
        </w:rPr>
        <w:t xml:space="preserve">1.3:</w:t>
      </w:r>
      <w:r>
        <w:rPr>
          <w:rFonts w:cs="Cambria" w:hAnsi="Cambria" w:eastAsia="Cambria" w:ascii="Cambria"/>
          <w:b w:val="1"/>
          <w:i w:val="1"/>
        </w:rPr>
        <w:t xml:space="preserve"> </w:t>
      </w:r>
      <w:r>
        <w:rPr>
          <w:rFonts w:cs="Cambria" w:hAnsi="Cambria" w:eastAsia="Cambria" w:ascii="Cambria"/>
          <w:b w:val="1"/>
          <w:i w:val="1"/>
        </w:rPr>
        <w:t xml:space="preserve">LCCs and traditional justice institutions strengthened for increased prevention and resolution of disputes, in particular as</w:t>
      </w:r>
      <w:r>
        <w:rPr>
          <w:rFonts w:cs="Cambria" w:hAnsi="Cambria" w:eastAsia="Cambria" w:ascii="Cambria"/>
          <w:b w:val="1"/>
          <w:i w:val="1"/>
        </w:rPr>
        <w:t xml:space="preserve"> </w:t>
      </w:r>
      <w:r>
        <w:rPr>
          <w:rFonts w:cs="Cambria" w:hAnsi="Cambria" w:eastAsia="Cambria" w:ascii="Cambria"/>
          <w:b w:val="1"/>
          <w:i w:val="1"/>
        </w:rPr>
        <w:t xml:space="preserve">related to land.</w:t>
      </w:r>
      <w:r>
        <w:rPr>
          <w:rFonts w:cs="Cambria" w:hAnsi="Cambria" w:eastAsia="Cambria" w:ascii="Cambria"/>
          <w:b w:val="1"/>
          <w:i w:val="1"/>
        </w:rPr>
        <w:t xml:space="preserve"> </w:t>
      </w:r>
    </w:p>
    <w:p>
      <w:pPr>
        <w:pStyle w:val="normal"/>
        <w:spacing w:before="0" w:after="5" w:line="268" w:lineRule="auto"/>
        <w:ind w:left="-5" w:right="0"/>
      </w:pPr>
      <w:r>
        <w:rPr/>
        <w:t xml:space="preserve">As previously stated, land disputes are the most cited source of conflict in PRDP areas</w:t>
      </w:r>
      <w:r>
        <w:rPr>
          <w:vertAlign w:val="superscript"/>
        </w:rPr>
        <w:t xml:space="preserve">23</w:t>
      </w:r>
      <w:r>
        <w:rPr/>
        <w:t xml:space="preserve"> </w:t>
      </w:r>
      <w:r>
        <w:rPr/>
        <w:t xml:space="preserve">and yet land is the only productive asset from which the population in the three sub regions derive their livelihoods. Historically, land conflicts have been around issues of access to water and pasture. To date, land conflicts in Northern Uganda are mostly related to the large numbers of returnees, IDPs</w:t>
      </w:r>
      <w:r>
        <w:rPr/>
        <w:t xml:space="preserve"> </w:t>
      </w:r>
      <w:r>
        <w:rPr/>
        <w:t xml:space="preserve">and steep population growth as well as</w:t>
      </w:r>
      <w:r>
        <w:rPr/>
        <w:t xml:space="preserve"> </w:t>
      </w:r>
      <w:r>
        <w:rPr/>
        <w:t xml:space="preserve">to the increasing discoveries of oil, minerals, gold and marble. In addition, the</w:t>
      </w:r>
      <w:r>
        <w:rPr/>
        <w:t xml:space="preserve"> </w:t>
      </w:r>
      <w:r>
        <w:rPr/>
        <w:t xml:space="preserve">large number of newly created districts has also generated bloody conflicts over land</w:t>
      </w:r>
      <w:r>
        <w:rPr/>
        <w:t xml:space="preserve"> </w:t>
      </w:r>
      <w:r>
        <w:rPr/>
        <w:t xml:space="preserve">e.g. between the Otuke and Abim districts and between the Amuru and Adjumani districts. Several other ongoing conflicts have already been alluded to in the contextual analysis.</w:t>
      </w:r>
      <w:r>
        <w:rPr/>
        <w:t xml:space="preserve"> </w:t>
      </w:r>
    </w:p>
    <w:p>
      <w:pPr>
        <w:spacing w:before="0" w:after="0" w:line="259" w:lineRule="auto"/>
        <w:ind w:left="0" w:right="0" w:firstLine="0"/>
        <w:jc w:val="left"/>
      </w:pPr>
      <w:r>
        <w:rPr>
          <w:color w:val="4f81bd"/>
        </w:rPr>
        <w:t xml:space="preserve"> </w:t>
      </w:r>
    </w:p>
    <w:p>
      <w:pPr>
        <w:pStyle w:val="normal"/>
        <w:spacing w:before="0" w:after="5" w:line="268" w:lineRule="auto"/>
        <w:ind w:left="-5" w:right="0"/>
      </w:pPr>
      <w:r>
        <w:rPr/>
        <w:t xml:space="preserve">A research conducted by the United Nations Peace</w:t>
      </w:r>
      <w:r>
        <w:rPr/>
        <w:t xml:space="preserve"> </w:t>
      </w:r>
      <w:r>
        <w:rPr/>
        <w:t xml:space="preserve">building Programme on “identification of good practices in land conflict resolution in Acholi Land”</w:t>
      </w:r>
      <w:r>
        <w:rPr>
          <w:vertAlign w:val="superscript"/>
        </w:rPr>
        <w:footnoteReference w:id="32"/>
      </w:r>
      <w:r>
        <w:rPr/>
        <w:t xml:space="preserve"> </w:t>
      </w:r>
      <w:r>
        <w:rPr/>
        <w:t xml:space="preserve">found that local council courts</w:t>
      </w:r>
      <w:r>
        <w:rPr/>
        <w:t xml:space="preserve"> </w:t>
      </w:r>
      <w:r>
        <w:rPr/>
        <w:t xml:space="preserve">(LCCs)</w:t>
      </w:r>
      <w:r>
        <w:rPr>
          <w:vertAlign w:val="superscript"/>
        </w:rPr>
        <w:footnoteReference w:id="33"/>
      </w:r>
      <w:r>
        <w:rPr/>
        <w:t xml:space="preserve">, in particular at the parish level (level 2) and traditional justice mechanisms (see activity result 1.3) provided the best mechanisms for the resolution of land conflicts.</w:t>
      </w:r>
      <w:r>
        <w:rPr/>
        <w:t xml:space="preserve"> </w:t>
      </w:r>
      <w:r>
        <w:rPr/>
        <w:t xml:space="preserve">In some cases the use of local peace rings when linked up with the LCCs or law enforcement officials have also been effective</w:t>
      </w:r>
      <w:r>
        <w:rPr>
          <w:vertAlign w:val="superscript"/>
        </w:rPr>
        <w:footnoteReference w:id="34"/>
      </w:r>
      <w:r>
        <w:rPr/>
        <w:t xml:space="preserve">.</w:t>
      </w:r>
      <w:r>
        <w:rPr/>
        <w:t xml:space="preserve"> </w:t>
      </w:r>
      <w:r>
        <w:rPr/>
        <w:t xml:space="preserve">Currently, 94% of the cases before LCCs are related to land.  The courts can resolve disputes through reconciliation, order restitutions or even request apologies</w:t>
      </w:r>
      <w:r>
        <w:rPr>
          <w:vertAlign w:val="superscript"/>
        </w:rPr>
        <w:footnoteReference w:id="35"/>
      </w:r>
      <w:r>
        <w:rPr/>
        <w:t xml:space="preserve"> </w:t>
      </w:r>
      <w:r>
        <w:rPr/>
        <w:t xml:space="preserve">which makes them close to the population and accessible indeed. However some PRDP areas are not covered and where the LCCs do exist they are often of weak capacity or not well anchored in their communities because they run counter to the respected, traditional justice systems</w:t>
      </w:r>
      <w:r>
        <w:rPr>
          <w:vertAlign w:val="superscript"/>
        </w:rPr>
        <w:footnoteReference w:id="36"/>
      </w:r>
      <w:r>
        <w:rPr>
          <w:vertAlign w:val="superscript"/>
        </w:rPr>
        <w:t xml:space="preserve">.</w:t>
      </w:r>
      <w:r>
        <w:rPr/>
        <w:t xml:space="preserve">Enforcement of judgment by LCC court is sometimes a challenge as some litigants tend to disrespect decision and orders of LCC.</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Accordingly, UNDP will strengthen capacities of the LCCs</w:t>
      </w:r>
      <w:r>
        <w:rPr/>
        <w:t xml:space="preserve"> </w:t>
      </w:r>
      <w:r>
        <w:rPr/>
        <w:t xml:space="preserve">and facilitate further development of linkages with traditional justice system (see activity result 1.4)</w:t>
      </w:r>
      <w:r>
        <w:rPr>
          <w:vertAlign w:val="superscript"/>
        </w:rPr>
        <w:footnoteReference w:id="37"/>
      </w:r>
      <w:r>
        <w:rPr/>
        <w:t xml:space="preserve">. In close collaboration</w:t>
      </w:r>
      <w:r>
        <w:rPr/>
        <w:t xml:space="preserve"> </w:t>
      </w:r>
      <w:r>
        <w:rPr/>
        <w:t xml:space="preserve">with the JLOS Secretariat,</w:t>
      </w:r>
      <w:r>
        <w:rPr/>
        <w:t xml:space="preserve"> </w:t>
      </w:r>
      <w:r>
        <w:rPr/>
        <w:t xml:space="preserve">capacity development assessments</w:t>
      </w:r>
      <w:r>
        <w:rPr/>
        <w:t xml:space="preserve"> </w:t>
      </w:r>
      <w:r>
        <w:rPr/>
        <w:t xml:space="preserve">will be conducted</w:t>
      </w:r>
      <w:r>
        <w:rPr/>
        <w:t xml:space="preserve">. </w:t>
      </w:r>
      <w:r>
        <w:rPr/>
        <w:t xml:space="preserve">Particular attention will be given to assess the knowledge and skills of the members of the court as per the qualifications as set out in Section 5 of the Local Council Courts Act.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As per Section 4 of the Local Council Courts Act</w:t>
      </w:r>
      <w:r>
        <w:rPr/>
        <w:t xml:space="preserve">,</w:t>
      </w:r>
      <w:r>
        <w:rPr/>
        <w:t xml:space="preserve"> </w:t>
      </w:r>
      <w:r>
        <w:rPr/>
        <w:t xml:space="preserve">the assessment will also verify the requirement that out of the five members of the Local Council Courts, at least two should be women</w:t>
      </w:r>
      <w:r>
        <w:rPr>
          <w:vertAlign w:val="superscript"/>
        </w:rPr>
        <w:footnoteReference w:id="38"/>
      </w:r>
      <w:r>
        <w:rPr/>
        <w:t xml:space="preserve">.</w:t>
      </w:r>
      <w:r>
        <w:rPr/>
        <w:t xml:space="preserve"> </w:t>
      </w:r>
      <w:r>
        <w:rPr/>
        <w:t xml:space="preserve">In accordance with the assessment, technical, material and human resource support will be provided to ensure the courts are functional.</w:t>
      </w:r>
      <w:r>
        <w:rPr/>
        <w:t xml:space="preserve"> </w:t>
      </w:r>
      <w:r>
        <w:rPr/>
        <w:t xml:space="preserve">This could include partnerships with Universities and establishing a network of paralegals and student</w:t>
      </w:r>
      <w:r>
        <w:rPr/>
        <w:t xml:space="preserve"/>
      </w:r>
      <w:r>
        <w:rPr/>
        <w:t xml:space="preserve">interns to support and advice LCC officials in the exercise of their legal duties.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addition,</w:t>
      </w:r>
      <w:r>
        <w:rPr/>
        <w:t xml:space="preserve"> </w:t>
      </w:r>
      <w:r>
        <w:rPr/>
        <w:t xml:space="preserve">record keeping systems</w:t>
      </w:r>
      <w:r>
        <w:rPr/>
        <w:t xml:space="preserve"> </w:t>
      </w:r>
      <w:r>
        <w:rPr/>
        <w:t xml:space="preserve">could be developed on the</w:t>
      </w:r>
      <w:r>
        <w:rPr/>
        <w:t xml:space="preserve"> </w:t>
      </w:r>
      <w:r>
        <w:rPr/>
        <w:t xml:space="preserve">number and types of</w:t>
      </w:r>
      <w:r>
        <w:rPr/>
        <w:t xml:space="preserve"> </w:t>
      </w:r>
      <w:r>
        <w:rPr/>
        <w:t xml:space="preserve">complaints and speed of resolution by District</w:t>
      </w:r>
      <w:r>
        <w:rPr/>
        <w:t xml:space="preserve">.</w:t>
      </w:r>
      <w:r>
        <w:rPr/>
        <w:t xml:space="preserve"> </w:t>
      </w:r>
      <w:r>
        <w:rPr/>
        <w:t xml:space="preserve">Bicycles</w:t>
      </w:r>
      <w:r>
        <w:rPr/>
        <w:t xml:space="preserve"> </w:t>
      </w:r>
      <w:r>
        <w:rPr/>
        <w:t xml:space="preserve">could be provided for LCC and traditional court officials to ensure presence of judges. Support will be provided to strengthen the LCCs strategic decision</w:t>
      </w:r>
      <w:r>
        <w:rPr/>
        <w:t xml:space="preserve">-</w:t>
      </w:r>
      <w:r>
        <w:rPr/>
        <w:t xml:space="preserve">making and planning</w:t>
      </w:r>
      <w:r>
        <w:rPr/>
        <w:t xml:space="preserve"> </w:t>
      </w:r>
      <w:r>
        <w:rPr/>
        <w:t xml:space="preserve">capacity</w:t>
      </w:r>
      <w:r>
        <w:rPr/>
        <w:t xml:space="preserve"> </w:t>
      </w:r>
      <w:r>
        <w:rPr/>
        <w:t xml:space="preserve">on justice and security including with the District JLOS committees. Similarly, the capacity of the District Focal point for LCCs</w:t>
      </w:r>
      <w:r>
        <w:rPr/>
        <w:t xml:space="preserve"> </w:t>
      </w:r>
      <w:r>
        <w:rPr/>
        <w:t xml:space="preserve">to monitor and support LCCs</w:t>
      </w:r>
      <w:r>
        <w:rPr/>
        <w:t xml:space="preserve"> </w:t>
      </w:r>
      <w:r>
        <w:rPr/>
        <w:t xml:space="preserve">will be supported</w:t>
      </w:r>
      <w:r>
        <w:rPr/>
        <w:t xml:space="preserve">. </w:t>
      </w:r>
      <w:r>
        <w:rPr/>
        <w:t xml:space="preserve">The project will thus support the Local Council Courts structure through: assessments, including annual data collection on land, people’s awareness of rights and legal services and establishing central repository for decisions of LCCs.</w:t>
      </w:r>
      <w:r>
        <w:rPr/>
        <w:t xml:space="preserve"> </w:t>
      </w:r>
    </w:p>
    <w:p>
      <w:pPr>
        <w:spacing w:before="0" w:after="15"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1.</w:t>
      </w:r>
      <w:r>
        <w:rPr>
          <w:rFonts w:cs="Cambria" w:hAnsi="Cambria" w:eastAsia="Cambria" w:ascii="Cambria"/>
          <w:b w:val="1"/>
          <w:i w:val="1"/>
        </w:rPr>
        <w:t xml:space="preserve">4</w:t>
      </w:r>
      <w:r>
        <w:rPr>
          <w:rFonts w:cs="Cambria" w:hAnsi="Cambria" w:eastAsia="Cambria" w:ascii="Cambria"/>
          <w:b w:val="1"/>
          <w:i w:val="1"/>
        </w:rPr>
        <w:t xml:space="preserve">: Linkages between formal and informal justice systems further developed</w:t>
      </w:r>
      <w:r>
        <w:rPr>
          <w:rFonts w:cs="Cambria" w:hAnsi="Cambria" w:eastAsia="Cambria" w:ascii="Cambria"/>
          <w:b w:val="1"/>
          <w:i w:val="1"/>
        </w:rPr>
        <w:t xml:space="preserve"> </w:t>
      </w:r>
    </w:p>
    <w:p>
      <w:pPr>
        <w:pStyle w:val="normal"/>
        <w:spacing w:before="0" w:after="5" w:line="268" w:lineRule="auto"/>
        <w:ind w:left="-5" w:right="0"/>
      </w:pPr>
      <w:r>
        <w:rPr/>
        <w:t xml:space="preserve">The JLOS Secretariat, UNDP</w:t>
      </w:r>
      <w:r>
        <w:rPr/>
        <w:t xml:space="preserve"> </w:t>
      </w:r>
      <w:r>
        <w:rPr/>
        <w:t xml:space="preserve">and partners have</w:t>
      </w:r>
      <w:r>
        <w:rPr/>
        <w:t xml:space="preserve"> </w:t>
      </w:r>
      <w:r>
        <w:rPr/>
        <w:t xml:space="preserve">issued a number of studies on increasing</w:t>
      </w:r>
      <w:r>
        <w:rPr/>
        <w:t xml:space="preserve"> </w:t>
      </w:r>
      <w:r>
        <w:rPr/>
        <w:t xml:space="preserve">access to justice through strengthening the linkages between the formal and traditional justice systems. Some of those studies are focused on traditional justice as part of transitional justice</w:t>
      </w:r>
      <w:r>
        <w:rPr>
          <w:vertAlign w:val="superscript"/>
        </w:rPr>
        <w:footnoteReference w:id="39"/>
      </w:r>
      <w:r>
        <w:rPr/>
        <w:t xml:space="preserve">; </w:t>
      </w:r>
      <w:r>
        <w:rPr/>
        <w:t xml:space="preserve">others focus on traditional justice mechanisms as a means to enhance in particular access to land and family justice</w:t>
      </w:r>
      <w:r>
        <w:rPr>
          <w:vertAlign w:val="superscript"/>
        </w:rPr>
        <w:footnoteReference w:id="40"/>
      </w:r>
      <w:r>
        <w:rPr/>
        <w:t xml:space="preserve">. </w:t>
      </w:r>
      <w:r>
        <w:rPr/>
        <w:t xml:space="preserve">In consultation</w:t>
      </w:r>
      <w:r>
        <w:rPr/>
        <w:t xml:space="preserve"> </w:t>
      </w:r>
      <w:r>
        <w:rPr/>
        <w:t xml:space="preserve">with the JLOS Secretariat</w:t>
      </w:r>
      <w:r>
        <w:rPr/>
        <w:t xml:space="preserve"> </w:t>
      </w:r>
      <w:r>
        <w:rPr/>
        <w:t xml:space="preserve">and partners</w:t>
      </w:r>
      <w:r>
        <w:rPr/>
        <w:t xml:space="preserve">, </w:t>
      </w:r>
      <w:r>
        <w:rPr/>
        <w:t xml:space="preserve">UNDP will take some of the recommendations of these studies forward.</w:t>
      </w:r>
      <w:r>
        <w:rPr/>
        <w:t xml:space="preserve"> </w:t>
      </w:r>
      <w:r>
        <w:rPr/>
        <w:t xml:space="preserve">One of the studies/pilots will focus on making effective use of the model of the UNDP supported Peace Rings in the</w:t>
      </w:r>
      <w:r>
        <w:rPr/>
        <w:t xml:space="preserve"> </w:t>
      </w:r>
      <w:r>
        <w:rPr/>
        <w:t xml:space="preserve">Lango sub</w:t>
      </w:r>
      <w:r>
        <w:rPr/>
        <w:t xml:space="preserve">-</w:t>
      </w:r>
      <w:r>
        <w:rPr/>
        <w:t xml:space="preserve">region</w:t>
      </w:r>
      <w:r>
        <w:rPr/>
        <w:t xml:space="preserve">.</w:t>
      </w:r>
      <w:r>
        <w:rPr/>
        <w:t xml:space="preserve"> </w:t>
      </w:r>
      <w:r>
        <w:rPr/>
        <w:t xml:space="preserve">They have been successful in handling</w:t>
      </w:r>
      <w:r>
        <w:rPr/>
        <w:t xml:space="preserve"> </w:t>
      </w:r>
      <w:r>
        <w:rPr/>
        <w:t xml:space="preserve">most of the community based conflicts with only a few referred to the local courts. Scaling the Peace Rings up to other parts of Uganda and linking their inputs to the local court system could present a sustainable effort to resolve cases</w:t>
      </w:r>
      <w:r>
        <w:rPr/>
        <w:t xml:space="preserve"> </w:t>
      </w:r>
      <w:r>
        <w:rPr/>
        <w:t xml:space="preserve">and decrease the backlog of land cases in LCCs</w:t>
      </w:r>
      <w:r>
        <w:rPr/>
        <w:t xml:space="preserve">.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Another set of interventions will seek to capacitate local traditional justice systems</w:t>
      </w:r>
      <w:r>
        <w:rPr/>
        <w:t xml:space="preserve"> </w:t>
      </w:r>
      <w:r>
        <w:rPr/>
        <w:t xml:space="preserve">to enhance their performance including fairness, transparency and inclusion of women</w:t>
      </w:r>
      <w:r>
        <w:rPr/>
        <w:t xml:space="preserve">.</w:t>
      </w:r>
      <w:r>
        <w:rPr/>
        <w:t xml:space="preserve"> </w:t>
      </w:r>
      <w:r>
        <w:rPr/>
        <w:t xml:space="preserve">Support will be provided to enhance record keeping of all cases resolved and referred through mediation and settlements performed by traditional institutions. To this end UNDP will support the establishment of</w:t>
      </w:r>
      <w:r>
        <w:rPr/>
        <w:t xml:space="preserve"> </w:t>
      </w:r>
      <w:r>
        <w:rPr/>
        <w:t xml:space="preserve">repositories with the sub</w:t>
      </w:r>
      <w:r>
        <w:rPr/>
        <w:t xml:space="preserve">-</w:t>
      </w:r>
      <w:r>
        <w:rPr/>
        <w:t xml:space="preserve">county chief’s office. Support will be integrated with support to the Northern Uganda Data Centre</w:t>
      </w:r>
      <w:r>
        <w:rPr/>
        <w:t xml:space="preserve"> </w:t>
      </w:r>
      <w:r>
        <w:rPr/>
        <w:t xml:space="preserve">and will serve as part of the baseline data</w:t>
      </w:r>
      <w:r>
        <w:rPr/>
        <w:t xml:space="preserv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Finally to enhance their knowledge, skills and interaction, LCC officials, relevant local government officials and traditional leaders will be brought together in facilitated dialogue </w:t>
      </w:r>
      <w:r>
        <w:rPr/>
        <w:t xml:space="preserve">sessions</w:t>
      </w:r>
      <w:r>
        <w:rPr/>
        <w:t xml:space="preserve"> </w:t>
      </w:r>
      <w:r>
        <w:rPr/>
        <w:t xml:space="preserve">on</w:t>
      </w:r>
      <w:r>
        <w:rPr/>
        <w:t xml:space="preserve"> </w:t>
      </w:r>
      <w:r>
        <w:rPr/>
        <w:t xml:space="preserve">issues such as</w:t>
      </w:r>
      <w:r>
        <w:rPr/>
        <w:t xml:space="preserve"> </w:t>
      </w:r>
      <w:r>
        <w:rPr/>
        <w:t xml:space="preserve">formal and informal processes of land demarcation, titling, land rights</w:t>
      </w:r>
      <w:r>
        <w:rPr/>
        <w:t xml:space="preserve"> </w:t>
      </w:r>
      <w:r>
        <w:rPr/>
        <w:t xml:space="preserve">and establishment of land rights associations. UNDP will work with Land and Equity Movement in Uganda (LEMU) whose mandate is customary ownership and has presence in Lango and Acholi</w:t>
      </w:r>
      <w:r>
        <w:rPr/>
        <w:t xml:space="preserve"> </w:t>
      </w:r>
      <w:r>
        <w:rPr/>
        <w:t xml:space="preserve">and the Uganda Land Alliance (ULA) where necessary to address issues related to land</w:t>
      </w:r>
      <w:r>
        <w:rPr/>
        <w:t xml:space="preserve">.</w:t>
      </w:r>
      <w:r>
        <w:rPr/>
        <w:t xml:space="preserve"> </w:t>
      </w:r>
    </w:p>
    <w:p>
      <w:pPr>
        <w:spacing w:before="0" w:after="35" w:line="259" w:lineRule="auto"/>
        <w:ind w:left="0" w:right="0" w:firstLine="0"/>
        <w:jc w:val="left"/>
      </w:pPr>
      <w:r>
        <w:rPr>
          <w:sz w:val="22"/>
        </w:rPr>
        <w:t xml:space="preserve"> </w:t>
      </w:r>
    </w:p>
    <w:p>
      <w:pPr>
        <w:pStyle w:val="heading2"/>
        <w:spacing w:before="0" w:after="5" w:line="267" w:lineRule="auto"/>
        <w:ind w:left="-5"/>
        <w:jc w:val="both"/>
      </w:pPr>
      <w:bookmarkStart w:id="179046" w:name="_Toc179046"/>
      <w:r>
        <w:rPr>
          <w:rFonts w:cs="Cambria" w:hAnsi="Cambria" w:eastAsia="Cambria" w:ascii="Cambria"/>
          <w:i w:val="1"/>
          <w:color w:val="000000"/>
          <w:sz w:val="28"/>
        </w:rPr>
        <w:t xml:space="preserve">Output 2: Employment opportunities enhanced</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and economic recovery and reintegration initiatives developed targeting youth, crises</w:t>
      </w:r>
      <w:r>
        <w:rPr>
          <w:rFonts w:cs="Cambria" w:hAnsi="Cambria" w:eastAsia="Cambria" w:ascii="Cambria"/>
          <w:i w:val="1"/>
          <w:color w:val="000000"/>
          <w:sz w:val="28"/>
        </w:rPr>
        <w:t xml:space="preserve">-</w:t>
      </w:r>
      <w:r>
        <w:rPr>
          <w:rFonts w:cs="Cambria" w:hAnsi="Cambria" w:eastAsia="Cambria" w:ascii="Cambria"/>
          <w:i w:val="1"/>
          <w:color w:val="000000"/>
          <w:sz w:val="28"/>
        </w:rPr>
        <w:t xml:space="preserve">affected and vulnerable people.</w:t>
      </w:r>
      <w:r>
        <w:rPr>
          <w:rFonts w:cs="Cambria" w:hAnsi="Cambria" w:eastAsia="Cambria" w:ascii="Cambria"/>
          <w:i w:val="1"/>
          <w:color w:val="000000"/>
          <w:sz w:val="28"/>
        </w:rPr>
        <w:t xml:space="preserve"> </w:t>
      </w:r>
      <w:bookmarkEnd w:id="179046"/>
    </w:p>
    <w:p>
      <w:pPr>
        <w:pStyle w:val="normal"/>
        <w:spacing w:before="0" w:after="5" w:line="268" w:lineRule="auto"/>
        <w:ind w:left="-5" w:right="0"/>
      </w:pPr>
      <w:r>
        <w:rPr/>
        <w:t xml:space="preserve">Under this output, UNDP will work towards sustainable livelihood and economic recovery of the target areas/Districts in Northern Uganda while building and consolidating peace and stability. Investment in training and capacity building as</w:t>
      </w:r>
      <w:r>
        <w:rPr/>
        <w:t xml:space="preserve"> </w:t>
      </w:r>
      <w:r>
        <w:rPr/>
        <w:t xml:space="preserve">well as in the promotion of the private sector will contribute to local economic development, employment creation and community security/peace building. Particular attention will be paid to youth, women and other vulnerable groups.</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The World Bank Development Report of 2011 identified unemployment, in particular among the youth, as one of the main drivers of conflict and violence. Uganda’s past growth generated jobs, but with a fast</w:t>
      </w:r>
      <w:r>
        <w:rPr/>
        <w:t xml:space="preserve">-</w:t>
      </w:r>
      <w:r>
        <w:rPr/>
        <w:t xml:space="preserve">growing labour</w:t>
      </w:r>
      <w:r>
        <w:rPr/>
        <w:t xml:space="preserve"> </w:t>
      </w:r>
      <w:r>
        <w:rPr/>
        <w:t xml:space="preserve">force, only a small fraction got into productive employment</w:t>
      </w:r>
      <w:r>
        <w:rPr>
          <w:vertAlign w:val="superscript"/>
        </w:rPr>
        <w:footnoteReference w:id="41"/>
      </w:r>
      <w:r>
        <w:rPr/>
        <w:t xml:space="preserve">. In the PRDP areas a large part of the population is unemployed among which vulnerable or stigmatized groups staying behind in former IDP camps or otherwise affected by conflict. These include the youth (50% of the IDP population), HIV/AIDS victims, widows, child</w:t>
      </w:r>
      <w:r>
        <w:rPr/>
        <w:t xml:space="preserve">-</w:t>
      </w:r>
      <w:r>
        <w:rPr/>
        <w:t xml:space="preserve">headed households, farmers, ex</w:t>
      </w:r>
      <w:r>
        <w:rPr/>
        <w:t xml:space="preserve">-</w:t>
      </w:r>
      <w:r>
        <w:rPr/>
        <w:t xml:space="preserve">combatants, disarmed groups and people previously abducted by the LRA. Surveys pointed out that the employment needs of these groups have not been adequately addressed</w:t>
      </w:r>
      <w:r>
        <w:rPr>
          <w:vertAlign w:val="superscript"/>
        </w:rPr>
        <w:footnoteReference w:id="42"/>
      </w:r>
      <w:r>
        <w:rPr/>
        <w:t xml:space="preserve">.</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Youth constitutes a large and steadily growing part of the Ugandan population and merits special attention. To date, 49</w:t>
      </w:r>
      <w:r>
        <w:rPr/>
        <w:t xml:space="preserve">.</w:t>
      </w:r>
      <w:r>
        <w:rPr/>
        <w:t xml:space="preserve">9% of the Ugandan population is between 0</w:t>
      </w:r>
      <w:r>
        <w:rPr/>
        <w:t xml:space="preserve">-</w:t>
      </w:r>
      <w:r>
        <w:rPr/>
        <w:t xml:space="preserve">14 years</w:t>
      </w:r>
      <w:r>
        <w:rPr>
          <w:vertAlign w:val="superscript"/>
        </w:rPr>
        <w:footnoteReference w:id="43"/>
      </w:r>
      <w:r>
        <w:rPr/>
        <w:t xml:space="preserve"> </w:t>
      </w:r>
      <w:r>
        <w:rPr/>
        <w:t xml:space="preserve">and vulnerable in terms of social, economic well</w:t>
      </w:r>
      <w:r>
        <w:rPr/>
        <w:t xml:space="preserve">-</w:t>
      </w:r>
      <w:r>
        <w:rPr/>
        <w:t xml:space="preserve">being, in particular in the PRDP affected areas. Given that in these areas youth has often been brought up in IDP camps they have no farming skills and received little or no formal education due to the conflict. In addition, inadequate attention seems to be given to the reintegration of disarmed youth and ex</w:t>
      </w:r>
      <w:r>
        <w:rPr/>
        <w:t xml:space="preserve"/>
      </w:r>
      <w:r>
        <w:rPr/>
        <w:t xml:space="preserve">combatants into society, with a large number in need of counselling</w:t>
      </w:r>
      <w:r>
        <w:rPr/>
        <w:t xml:space="preserve"> </w:t>
      </w:r>
      <w:r>
        <w:rPr/>
        <w:t xml:space="preserve">and psycho</w:t>
      </w:r>
      <w:r>
        <w:rPr/>
        <w:t xml:space="preserve">-</w:t>
      </w:r>
      <w:r>
        <w:rPr/>
        <w:t xml:space="preserve">social support. In a related way, an estimated 4.9%</w:t>
      </w:r>
      <w:r>
        <w:rPr>
          <w:vertAlign w:val="superscript"/>
        </w:rPr>
        <w:footnoteReference w:id="44"/>
      </w:r>
      <w:r>
        <w:rPr/>
        <w:t xml:space="preserve"> </w:t>
      </w:r>
      <w:r>
        <w:rPr/>
        <w:t xml:space="preserve">of the youth migrates from rural to urban centres</w:t>
      </w:r>
      <w:r>
        <w:rPr/>
        <w:t xml:space="preserve"> </w:t>
      </w:r>
      <w:r>
        <w:rPr/>
        <w:t xml:space="preserve">on a yearly basis to look for work or seeking exposure to new challenges. </w:t>
      </w:r>
    </w:p>
    <w:p>
      <w:pPr>
        <w:pStyle w:val="normal"/>
        <w:spacing w:before="0" w:after="5" w:line="268" w:lineRule="auto"/>
        <w:ind w:left="-5" w:right="0"/>
      </w:pPr>
      <w:r>
        <w:rPr/>
        <w:t xml:space="preserve">Combined, this provides for tensions due to the limited absorptive capacity of the labour</w:t>
      </w:r>
      <w:r>
        <w:rPr/>
        <w:t xml:space="preserve"> </w:t>
      </w:r>
      <w:r>
        <w:rPr/>
        <w:t xml:space="preserve">market in urban settings; absorptive capacity of the available services/infrastructure (social basic and productive); and an increased part of youth victim of crime or engaging in violent or criminal activities. The increased burglary already alluded to in Karamoja is testimony to this. Likewise, the bulk of the prison population across the three sub regions comprise of the youth.</w:t>
      </w:r>
      <w:r>
        <w:rPr/>
        <w:t xml:space="preserve"> </w:t>
      </w:r>
    </w:p>
    <w:p>
      <w:pPr>
        <w:spacing w:before="0" w:after="15" w:line="259" w:lineRule="auto"/>
        <w:ind w:left="0" w:right="0" w:firstLine="0"/>
        <w:jc w:val="left"/>
      </w:pPr>
      <w:r>
        <w:rPr/>
        <w:t xml:space="preserve"> </w:t>
      </w:r>
    </w:p>
    <w:p>
      <w:pPr>
        <w:pStyle w:val="normal"/>
        <w:spacing w:before="0" w:after="27" w:line="268" w:lineRule="auto"/>
        <w:ind w:left="-5" w:right="0"/>
      </w:pPr>
      <w:r>
        <w:rPr/>
        <w:t xml:space="preserve">Similarly, particular attention will be given to girls and young women as gender inequalities in social and economic opportunities in the PRDP areas are high, with for instance a gender parity index for primary education completion of 0.56</w:t>
      </w:r>
      <w:r>
        <w:rPr>
          <w:vertAlign w:val="superscript"/>
        </w:rPr>
        <w:footnoteReference w:id="45"/>
      </w:r>
      <w:r>
        <w:rPr/>
        <w:t xml:space="preserv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Note should be taken that several interventions</w:t>
      </w:r>
      <w:r>
        <w:rPr/>
        <w:t xml:space="preserve"> </w:t>
      </w:r>
      <w:r>
        <w:rPr/>
        <w:t xml:space="preserve">in the youth sector have since been implemented in northern Uganda although they vary from one sub region to another.</w:t>
      </w:r>
      <w:r>
        <w:rPr/>
        <w:t xml:space="preserve"> </w:t>
      </w:r>
      <w:r>
        <w:rPr/>
        <w:t xml:space="preserve">At the start of return and the resettlement, as part of the psychosocial support and reintegration process, several international development agencies invested in skills building for the youth particularly targeting youthful ex</w:t>
      </w:r>
      <w:r>
        <w:rPr/>
        <w:t xml:space="preserve">-</w:t>
      </w:r>
      <w:r>
        <w:rPr/>
        <w:t xml:space="preserve">combatants (reporters), youth</w:t>
      </w:r>
      <w:r>
        <w:rPr/>
        <w:t xml:space="preserve"> </w:t>
      </w:r>
      <w:r>
        <w:rPr/>
        <w:t xml:space="preserve">who were abducted and missed on the opportunity to study, and those who remained in the community but dropped out of school for one reason or another. The bulk of</w:t>
      </w:r>
      <w:r>
        <w:rPr/>
        <w:t xml:space="preserve"> </w:t>
      </w:r>
      <w:r>
        <w:rPr/>
        <w:t xml:space="preserve">these youth underwent vocational trade skills training particularly in trades such as carpentry and joinery, brick laying and concrete practice, motor vehicle mechanics, hair dressing, catering, agriculture, and welding and metal fabrication among others.</w:t>
      </w:r>
      <w:r>
        <w:rPr/>
        <w:t xml:space="preserve"> </w:t>
      </w:r>
      <w:r>
        <w:rPr/>
        <w:t xml:space="preserve">While some of these youth have since graduated and some are gainfully employed, the bulk of them especially in Acholi sub region where most of the efforts were focused have been reported to have failed to practice their various trades due to lack of equipment.</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Karamoja sub region, some efforts were also made in the last couple of years to train youth who because of the disarmament programme found themselves with nothing to preoccupy them and started migrating to the urban centres. However, the number trained has been noted to be so small and yet the rural to urban trend is reported to be on the increase. Some of those who benefited from the training were reported to have started successful businesses and have since moved to practice their trades elsewhere. However, those who have not benefited from the training and who have recently migrated to</w:t>
      </w:r>
      <w:r>
        <w:rPr/>
        <w:t xml:space="preserve"> </w:t>
      </w:r>
      <w:r>
        <w:rPr/>
        <w:t xml:space="preserve">town are engaged in a number of odd jobs such as water vending, garbage collection etc although the majority have been reported to have resorted to nature by cutting down trees to sell as firewood or charcoal. In so doing, they are worsening the already bad fragile environmental situation.</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Lango sub region, very little deliberate efforts have been done to equip the youth with the skills</w:t>
      </w:r>
      <w:r>
        <w:rPr/>
        <w:t xml:space="preserve"> </w:t>
      </w:r>
      <w:r>
        <w:rPr/>
        <w:t xml:space="preserve">they need</w:t>
      </w:r>
      <w:r>
        <w:rPr/>
        <w:t xml:space="preserve"> </w:t>
      </w:r>
      <w:r>
        <w:rPr/>
        <w:t xml:space="preserve">to make them compete in the labour market. However, individual efforts are being made by the youth through self sponsorship to train in vocational skills. A reasonable number of youth have enrolled in open air garages to train in motor vehicle mechanics</w:t>
      </w:r>
      <w:r>
        <w:rPr/>
        <w:t xml:space="preserve">,</w:t>
      </w:r>
      <w:r>
        <w:rPr/>
        <w:t xml:space="preserve"> </w:t>
      </w:r>
      <w:r>
        <w:rPr/>
        <w:t xml:space="preserve">partly because the owners need manpower to help with the mechanical work </w:t>
      </w:r>
      <w:r>
        <w:rPr/>
        <w:t xml:space="preserve">and therefore charge affordable amounts of fee, but also many often remain in those garages as part of the mechanical team after learning the trade or join others garages</w:t>
      </w:r>
      <w:r>
        <w:rPr/>
        <w:t xml:space="preserve">. </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Nevertheless Government has opened a few technical schools to absorb those who have for one reason another failed to continue with formal education, however, these technical schools are very few and often ill equipped. Even so, government only sponsors 60 pupils per year and acc</w:t>
      </w:r>
      <w:r>
        <w:rPr/>
        <w:t xml:space="preserve">o</w:t>
      </w:r>
      <w:r>
        <w:rPr/>
        <w:t xml:space="preserve">rding to school administrators of Apac technical school,</w:t>
      </w:r>
      <w:r>
        <w:rPr/>
        <w:t xml:space="preserve"> </w:t>
      </w:r>
      <w:r>
        <w:rPr/>
        <w:t xml:space="preserve">although a majority of those who qualify are interested in technical education, the</w:t>
      </w:r>
      <w:r>
        <w:rPr/>
        <w:t xml:space="preserve"> </w:t>
      </w:r>
      <w:r>
        <w:rPr/>
        <w:t xml:space="preserve">reduced sponsorship by government to only 60 pupils per year has led to high dropout rates.</w:t>
      </w:r>
      <w:r>
        <w:rPr/>
        <w:t xml:space="preserve"> </w:t>
      </w:r>
      <w:r>
        <w:rPr/>
        <w:t xml:space="preserve">The recent suspension of grants to the OPM has affected the operation of some of these vocational schools, especially those that were being supported by donor funds. One of those is Labora Training School in Gulu which has been offering vocational training to more than 500 jobless youth annually but got closed</w:t>
      </w:r>
      <w:r>
        <w:rPr>
          <w:vertAlign w:val="superscript"/>
        </w:rPr>
        <w:footnoteReference w:id="46"/>
      </w:r>
      <w:r>
        <w:rPr/>
        <w:t xml:space="preserve">. </w:t>
      </w:r>
      <w:r>
        <w:rPr/>
        <w:t xml:space="preserve">UNDP will equip these institutes and sponsor qualified youth from the three sub regions to train in the institutes and link them to apprenticeships after which they will be equipped with kits and supported to practice their trade.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In terms of support to agricultural livelihoods, a lot of investment has been done by the international community since 2008 when most people in northern Uganda started resettling in their own villages. Support for increased agricultural production and productivity were and are still being extended to certain communities across the three targeted sub regions</w:t>
      </w:r>
      <w:r>
        <w:rPr/>
        <w:t xml:space="preserve"> </w:t>
      </w:r>
      <w:r>
        <w:rPr/>
        <w:t xml:space="preserve">by a number of development partners including UN agencies, bilateral agencies and international NGOs. Support has been in the form of agricultural inputs and training that include seeds and other planting material, implements including hoes and animal traction units; and farm clearing equipment such as machetes and axes. Knowledge in agronomy, marketing etc has also been provided to the beneficiary farmers. The end of term evaluation of the recently concluded Northern Uganda Early Recovery Project (NUERP) that was supported by UNDP found that as a result of the intervention, households had become more food secure than before and were even selling some </w:t>
      </w:r>
      <w:r>
        <w:rPr/>
        <w:t xml:space="preserve"> </w:t>
      </w:r>
      <w:r>
        <w:rPr/>
        <w:t xml:space="preserve">of the produce to earn income</w:t>
      </w:r>
      <w:r>
        <w:rPr/>
        <w:t xml:space="preserve">,</w:t>
      </w:r>
      <w:r>
        <w:rPr/>
        <w:t xml:space="preserve"> </w:t>
      </w:r>
      <w:r>
        <w:rPr/>
        <w:t xml:space="preserve">which they put to various uses.</w:t>
      </w:r>
      <w:r>
        <w:rPr/>
        <w:t xml:space="preserve"> </w:t>
      </w:r>
      <w:r>
        <w:rPr/>
        <w:t xml:space="preserve">In some cases support was extended in the form of construction of produce stores where farmers can store their produce</w:t>
      </w:r>
      <w:r>
        <w:rPr/>
        <w:t xml:space="preserve"> </w:t>
      </w:r>
      <w:r>
        <w:rPr/>
        <w:t xml:space="preserve">and as an incentive for bulking and collective marketing</w:t>
      </w:r>
      <w:r>
        <w:rPr/>
        <w:t xml:space="preserve">.</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However, very little has been done to take the beneficiaries beyond the produce stores. Although the produce stores have given the farmers opportunity to bulk their produce and where possible undertake group marketing hence a better negotiating power, the price of agricultural commodities have not seen any significant change because the majority of the farmers still sell produce as individuals which middlemen take advantage of to perpetuate exploitation.</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Across the three sub regions, Food and Agricultural Organisation (FAO) have started using a value chain approach. In Lango and Acholi (Kole and Lira districts in Lango and Gulu district in Acholi) sunflower and rice have been chosen for value chain development, while in Karamoja apiary value chain has been supported and indeed honey processing </w:t>
      </w:r>
      <w:r>
        <w:rPr/>
        <w:t xml:space="preserve">equipment has been purchased and due for installation. Other value chains that remain untouched include beef, cassava, simsim, cassava, groundnuts and soy beans among others.</w:t>
      </w:r>
      <w:r>
        <w:rPr/>
        <w:t xml:space="preserve"> </w:t>
      </w:r>
      <w:r>
        <w:rPr/>
        <w:t xml:space="preserve">The project will look at the possibility of promoting value addition to take the farmers slightly outside the produce stores and also study the possibility of value chain development for its future interventions. In that light, a number of value chain studies will be conducted.</w:t>
      </w:r>
      <w:r>
        <w:rPr/>
        <w:t xml:space="preserve">  </w:t>
      </w:r>
    </w:p>
    <w:p>
      <w:pPr>
        <w:spacing w:before="0" w:after="0" w:line="259" w:lineRule="auto"/>
        <w:ind w:left="0" w:right="0" w:firstLine="0"/>
        <w:jc w:val="left"/>
      </w:pPr>
      <w:r>
        <w:rPr/>
        <w:t xml:space="preserve"> </w:t>
      </w:r>
    </w:p>
    <w:p>
      <w:pPr>
        <w:pStyle w:val="normal"/>
        <w:spacing w:before="0" w:after="5" w:line="268" w:lineRule="auto"/>
        <w:ind w:left="-5" w:right="0"/>
      </w:pPr>
      <w:r>
        <w:rPr/>
        <w:t xml:space="preserve">Under this key result area, the following will be addressed:</w:t>
      </w:r>
      <w:r>
        <w:rPr/>
        <w:t xml:space="preserve"> </w:t>
      </w:r>
    </w:p>
    <w:p>
      <w:pPr>
        <w:pStyle w:val="normal"/>
        <w:numPr>
          <w:ilvl w:val="0"/>
          <w:numId w:val="3"/>
        </w:numPr>
        <w:spacing w:before="0" w:after="5" w:line="268" w:lineRule="auto"/>
        <w:ind w:left="720" w:right="0" w:hanging="360"/>
      </w:pPr>
      <w:r>
        <w:rPr/>
        <w:t xml:space="preserve">Consolidating on the training that the youth in Acholi sub region have got from other development interventions through mobilising for apprenticeship placement and equipping them with the necessary kits to practice their trade</w:t>
      </w:r>
      <w:r>
        <w:rPr/>
        <w:t xml:space="preserve"> </w:t>
      </w:r>
    </w:p>
    <w:p>
      <w:pPr>
        <w:pStyle w:val="normal"/>
        <w:numPr>
          <w:ilvl w:val="0"/>
          <w:numId w:val="3"/>
        </w:numPr>
        <w:spacing w:before="0" w:after="5" w:line="268" w:lineRule="auto"/>
        <w:ind w:left="720" w:right="0" w:hanging="360"/>
      </w:pPr>
      <w:r>
        <w:rPr/>
        <w:t xml:space="preserve">Sponsoring selected number of youth (Lango and Karamoja) in various vocational trade skills training and equipping them with the necessary kits after the training to enable them practice their trade</w:t>
      </w:r>
      <w:r>
        <w:rPr/>
        <w:t xml:space="preserve"> </w:t>
      </w:r>
    </w:p>
    <w:p>
      <w:pPr>
        <w:pStyle w:val="normal"/>
        <w:numPr>
          <w:ilvl w:val="0"/>
          <w:numId w:val="3"/>
        </w:numPr>
        <w:spacing w:before="0" w:after="5" w:line="268" w:lineRule="auto"/>
        <w:ind w:left="720" w:right="0" w:hanging="360"/>
      </w:pPr>
      <w:r>
        <w:rPr/>
        <w:t xml:space="preserve">Equipping at least one selected existing government aided vocational training school per sub region (Kaabong Vocational School, Apac Vocational School, Moroto Vocational School)</w:t>
      </w:r>
      <w:r>
        <w:rPr/>
        <w:t xml:space="preserve"> </w:t>
      </w:r>
    </w:p>
    <w:p>
      <w:pPr>
        <w:pStyle w:val="normal"/>
        <w:numPr>
          <w:ilvl w:val="0"/>
          <w:numId w:val="3"/>
        </w:numPr>
        <w:spacing w:before="0" w:after="5" w:line="268" w:lineRule="auto"/>
        <w:ind w:left="720" w:right="0" w:hanging="360"/>
      </w:pPr>
      <w:r>
        <w:rPr/>
        <w:t xml:space="preserve">Supporting women groups with equipment and the necessary skills to undertake value addition in selected enterprises will be supported</w:t>
      </w:r>
      <w:r>
        <w:rPr/>
        <w:t xml:space="preserve"> </w:t>
      </w:r>
      <w:r>
        <w:rPr/>
        <w:t xml:space="preserve">and undertaking value chain studies to identity potential value chains for further development in the future</w:t>
      </w:r>
      <w:r>
        <w:rPr/>
        <w:t xml:space="preserve">.</w:t>
      </w:r>
      <w:r>
        <w:rPr/>
        <w:t xml:space="preserve"> </w:t>
      </w:r>
    </w:p>
    <w:p>
      <w:pPr>
        <w:spacing w:before="0" w:after="0"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2.1:  Employment created and income increased for targeted youth in northern Uganda.</w:t>
      </w:r>
      <w:r>
        <w:rPr>
          <w:rFonts w:cs="Cambria" w:hAnsi="Cambria" w:eastAsia="Cambria" w:ascii="Cambria"/>
          <w:b w:val="1"/>
          <w:i w:val="1"/>
        </w:rPr>
        <w:t xml:space="preserve"> </w:t>
      </w:r>
    </w:p>
    <w:p>
      <w:pPr>
        <w:spacing w:before="0" w:after="15" w:line="259" w:lineRule="auto"/>
        <w:ind w:left="0" w:right="0" w:firstLine="0"/>
        <w:jc w:val="left"/>
      </w:pPr>
      <w:r>
        <w:rPr>
          <w:rFonts w:cs="Cambria" w:hAnsi="Cambria" w:eastAsia="Cambria" w:ascii="Cambria"/>
          <w:b w:val="1"/>
          <w:i w:val="1"/>
        </w:rPr>
        <w:t xml:space="preserve"> </w:t>
      </w:r>
    </w:p>
    <w:p>
      <w:pPr>
        <w:pStyle w:val="normal"/>
        <w:spacing w:before="0" w:after="5" w:line="268" w:lineRule="auto"/>
        <w:ind w:left="-5" w:right="0"/>
      </w:pPr>
      <w:r>
        <w:rPr/>
        <w:t xml:space="preserve">Given the high rate of unemployment</w:t>
      </w:r>
      <w:r>
        <w:rPr/>
        <w:t xml:space="preserve"> </w:t>
      </w:r>
      <w:r>
        <w:rPr/>
        <w:t xml:space="preserve">in Uganda, mainly among youth and other vulnerable groups including women, returnees, and disarmed warriors amongst others, the programme will support training of the youth in vocational trade skills training and link those have been trained for apprenticeship placement and later provide them with kits so that they may practice. The nature of support will vary from one sub region to another.</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In Acholi sub region, the focus will be on mobilisation of the already trained youth</w:t>
      </w:r>
      <w:r>
        <w:rPr/>
        <w:t xml:space="preserve"> </w:t>
      </w:r>
      <w:r>
        <w:rPr/>
        <w:t xml:space="preserve">and link them for apprenticeship placement with businesses after which they will be provided with the necessary kits to enable them practice the skills</w:t>
      </w:r>
      <w:r>
        <w:rPr/>
        <w:t xml:space="preserve"> </w:t>
      </w:r>
      <w:r>
        <w:rPr/>
        <w:t xml:space="preserve">they have learnt but also to enable them be gainfully employed</w:t>
      </w:r>
      <w:r>
        <w:rPr/>
        <w:t xml:space="preserve">.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In Karamoja and Lango sub regions, attention will be put on identifying and mobilising unemployed youth</w:t>
      </w:r>
      <w:r>
        <w:rPr/>
        <w:t xml:space="preserve"> </w:t>
      </w:r>
      <w:r>
        <w:rPr/>
        <w:t xml:space="preserve">and place them in vocational institutes</w:t>
      </w:r>
      <w:r>
        <w:rPr/>
        <w:t xml:space="preserve"> </w:t>
      </w:r>
      <w:r>
        <w:rPr/>
        <w:t xml:space="preserve">where they will train in different vocational skills. Upon completion of their studies, they will be linked with businesses for apprenticeship after which they will be provided with equipment to practice or start their businesses.</w:t>
      </w:r>
      <w:r>
        <w:rPr/>
        <w:t xml:space="preserve"> </w:t>
      </w:r>
    </w:p>
    <w:p>
      <w:pPr>
        <w:spacing w:before="0" w:after="0" w:line="259" w:lineRule="auto"/>
        <w:ind w:left="0" w:right="0" w:firstLine="0"/>
        <w:jc w:val="left"/>
      </w:pPr>
      <w:r>
        <w:rPr>
          <w:sz w:val="22"/>
        </w:rPr>
        <w:t xml:space="preserve"> </w:t>
      </w:r>
    </w:p>
    <w:tbl>
      <w:tblPr>
        <w:tblStyle w:val="TableGrid"/>
        <w:tblW w:w="9106" w:type="dxa"/>
        <w:tblInd w:w="11" w:type="dxa"/>
        <w:tblCellMar>
          <w:top w:w="0" w:type="dxa"/>
          <w:left w:w="4" w:type="dxa"/>
          <w:bottom w:w="0" w:type="dxa"/>
          <w:right w:w="6" w:type="dxa"/>
        </w:tblCellMar>
      </w:tblPr>
      <w:tblGrid>
        <w:gridCol w:w="9106"/>
      </w:tblGrid>
      <w:tr>
        <w:trPr>
          <w:trHeight w:val="503" w:hRule="atLeast"/>
        </w:trPr>
        <w:tc>
          <w:tcPr>
            <w:tcW w:w="9106" w:type="dxa"/>
            <w:tcBorders>
              <w:top w:val="single" w:sz="12" w:color="e36c0a"/>
              <w:left w:val="single" w:sz="12" w:color="e36c0a"/>
              <w:bottom w:val="single" w:sz="12" w:color="e36c0a"/>
              <w:right w:val="single" w:sz="12" w:color="e36c0a"/>
            </w:tcBorders>
            <w:shd w:val="clear" w:fill="ffff00"/>
            <w:vAlign w:val="bottom"/>
          </w:tcPr>
          <w:p>
            <w:pPr>
              <w:spacing w:before="0" w:after="0" w:line="259" w:lineRule="auto"/>
              <w:ind w:left="14" w:right="0" w:firstLine="0"/>
              <w:jc w:val="left"/>
            </w:pPr>
            <w:r>
              <w:drawing>
                <wp:anchor allowOverlap="0" relativeHeight="0" locked="0" simplePos="0" layoutInCell="1" behindDoc="1">
                  <wp:simplePos y="0" x="0"/>
                  <wp:positionH relativeFrom="column">
                    <wp:posOffset>2286</wp:posOffset>
                  </wp:positionH>
                  <wp:positionV relativeFrom="paragraph">
                    <wp:posOffset>-35053</wp:posOffset>
                  </wp:positionV>
                  <wp:extent cx="5779009" cy="320040"/>
                  <wp:effectExtent l="0" t="0" r="0" b="0"/>
                  <wp:wrapNone/>
                  <wp:docPr id="173647" name="Picture 173647"/>
                  <wp:cNvGraphicFramePr/>
                  <a:graphic>
                    <a:graphicData uri="http://schemas.openxmlformats.org/drawingml/2006/picture">
                      <pic:pic xmlns:pic="http://schemas.openxmlformats.org/drawingml/2006/picture">
                        <pic:nvPicPr>
                          <pic:cNvPr id="173647" name="Picture 173647"/>
                          <pic:cNvPicPr/>
                        </pic:nvPicPr>
                        <pic:blipFill>
                          <a:blip r:embed="rId77"/>
                          <a:stretch>
                            <a:fillRect/>
                          </a:stretch>
                        </pic:blipFill>
                        <pic:spPr>
                          <a:xfrm>
                            <a:off x="0" y="0"/>
                            <a:ext cx="5779009" cy="320040"/>
                          </a:xfrm>
                          <a:prstGeom prst="rect">
                            <a:avLst/>
                          </a:prstGeom>
                        </pic:spPr>
                      </pic:pic>
                    </a:graphicData>
                  </a:graphic>
                </wp:anchor>
              </w:drawing>
            </w:r>
            <w:r>
              <w:rPr>
                <w:rFonts w:cs="Calibri" w:hAnsi="Calibri" w:eastAsia="Calibri" w:ascii="Calibri"/>
                <w:b w:val="1"/>
                <w:sz w:val="22"/>
              </w:rPr>
              <w:t xml:space="preserve">Figure 2:   Vision: Decent Work and Gainful (self or wage) Employment for Youth (Source: Sierra </w:t>
            </w:r>
          </w:p>
          <w:p>
            <w:pPr>
              <w:spacing w:before="0" w:after="0" w:line="259" w:lineRule="auto"/>
              <w:ind w:left="14" w:right="0" w:firstLine="0"/>
              <w:jc w:val="left"/>
            </w:pPr>
            <w:r>
              <w:rPr>
                <w:rFonts w:cs="Calibri" w:hAnsi="Calibri" w:eastAsia="Calibri" w:ascii="Calibri"/>
                <w:b w:val="1"/>
                <w:sz w:val="22"/>
              </w:rPr>
              <w:t xml:space="preserve">Leone YE Vision)</w:t>
            </w:r>
            <w:r>
              <w:rPr>
                <w:rFonts w:cs="Calibri" w:hAnsi="Calibri" w:eastAsia="Calibri" w:ascii="Calibri"/>
                <w:sz w:val="22"/>
              </w:rPr>
              <w:t xml:space="preserve"> </w:t>
            </w:r>
          </w:p>
        </w:tc>
      </w:tr>
      <w:tr>
        <w:trPr>
          <w:trHeight w:val="4946" w:hRule="atLeast"/>
        </w:trPr>
        <w:tc>
          <w:tcPr>
            <w:tcW w:w="9106" w:type="dxa"/>
            <w:tcBorders>
              <w:top w:val="single" w:sz="12" w:color="e36c0a"/>
              <w:left w:val="nil"/>
              <w:bottom w:val="single" w:sz="6" w:color="000000"/>
              <w:right w:val="nil"/>
            </w:tcBorders>
            <w:shd w:val="clear" w:fill="ffff00"/>
            <w:vAlign w:val="bottom"/>
          </w:tcPr>
          <w:p>
            <w:pPr>
              <w:spacing w:before="0" w:after="793" w:line="259" w:lineRule="auto"/>
              <w:ind w:left="2966" w:right="0" w:firstLine="0"/>
              <w:jc w:val="left"/>
            </w:pPr>
            <w:r>
              <w:rPr>
                <w:rFonts w:cs="Calibri" w:hAnsi="Calibri" w:eastAsia="Calibri" w:ascii="Calibri"/>
                <w:sz w:val="22"/>
              </w:rPr>
              <w:drawing>
                <wp:inline distT="0" distB="0" distL="0" distR="0">
                  <wp:extent cx="2045208" cy="1143647"/>
                  <wp:docPr id="136936" name="Group 136936"/>
                  <wp:cNvGraphicFramePr/>
                  <a:graphic>
                    <a:graphicData uri="http://schemas.microsoft.com/office/word/2010/wordprocessingGroup">
                      <wpg:wgp>
                        <wpg:cNvGrpSpPr/>
                        <wpg:grpSpPr>
                          <a:xfrm>
                            <a:off x="0" y="0"/>
                            <a:ext cx="2045208" cy="1143647"/>
                            <a:chOff x="0" y="0"/>
                            <a:chExt cx="2045208" cy="1143647"/>
                          </a:xfrm>
                        </wpg:grpSpPr>
                        <pic:pic xmlns:pic="http://schemas.openxmlformats.org/drawingml/2006/picture">
                          <pic:nvPicPr>
                            <pic:cNvPr id="173648" name="Picture 173648"/>
                            <pic:cNvPicPr/>
                          </pic:nvPicPr>
                          <pic:blipFill>
                            <a:blip r:embed="rId78"/>
                            <a:stretch>
                              <a:fillRect/>
                            </a:stretch>
                          </pic:blipFill>
                          <pic:spPr>
                            <a:xfrm>
                              <a:off x="1097280" y="158496"/>
                              <a:ext cx="947928" cy="515112"/>
                            </a:xfrm>
                            <a:prstGeom prst="rect">
                              <a:avLst/>
                            </a:prstGeom>
                          </pic:spPr>
                        </pic:pic>
                        <wps:wsp>
                          <wps:cNvPr id="11336" name="Shape 11336"/>
                          <wps:cNvSpPr/>
                          <wps:spPr>
                            <a:xfrm>
                              <a:off x="1100328" y="161544"/>
                              <a:ext cx="944880" cy="512064"/>
                            </a:xfrm>
                            <a:custGeom>
                              <a:pathLst>
                                <a:path w="944880" h="512064">
                                  <a:moveTo>
                                    <a:pt x="85344" y="0"/>
                                  </a:moveTo>
                                  <a:cubicBezTo>
                                    <a:pt x="36576" y="0"/>
                                    <a:pt x="0" y="39624"/>
                                    <a:pt x="0" y="85344"/>
                                  </a:cubicBezTo>
                                  <a:lnTo>
                                    <a:pt x="0" y="426720"/>
                                  </a:lnTo>
                                  <a:cubicBezTo>
                                    <a:pt x="0" y="472440"/>
                                    <a:pt x="36576" y="512064"/>
                                    <a:pt x="85344" y="512064"/>
                                  </a:cubicBezTo>
                                  <a:lnTo>
                                    <a:pt x="862584" y="512064"/>
                                  </a:lnTo>
                                  <a:cubicBezTo>
                                    <a:pt x="908304" y="512064"/>
                                    <a:pt x="944880" y="472440"/>
                                    <a:pt x="944880" y="426720"/>
                                  </a:cubicBezTo>
                                  <a:lnTo>
                                    <a:pt x="944880" y="85344"/>
                                  </a:lnTo>
                                  <a:cubicBezTo>
                                    <a:pt x="944880" y="39624"/>
                                    <a:pt x="908304" y="0"/>
                                    <a:pt x="862584" y="0"/>
                                  </a:cubicBezTo>
                                  <a:close/>
                                </a:path>
                              </a:pathLst>
                            </a:custGeom>
                            <a:ln w="24383" cap="rnd">
                              <a:round/>
                            </a:ln>
                          </wps:spPr>
                          <wps:style>
                            <a:lnRef idx="1">
                              <a:srgbClr val="243f60"/>
                            </a:lnRef>
                            <a:fillRef idx="0">
                              <a:srgbClr val="000000">
                                <a:alpha val="0"/>
                              </a:srgbClr>
                            </a:fillRef>
                            <a:effectRef idx="0"/>
                            <a:fontRef idx="none"/>
                          </wps:style>
                          <wps:bodyPr/>
                        </wps:wsp>
                        <wps:wsp>
                          <wps:cNvPr id="11337" name="Rectangle 11337"/>
                          <wps:cNvSpPr/>
                          <wps:spPr>
                            <a:xfrm>
                              <a:off x="1338072" y="230124"/>
                              <a:ext cx="616849" cy="202692"/>
                            </a:xfrm>
                            <a:prstGeom prst="rect">
                              <a:avLst/>
                            </a:prstGeom>
                            <a:ln>
                              <a:noFill/>
                            </a:ln>
                          </wps:spPr>
                          <wps:txbx>
                            <w:txbxContent>
                              <w:p>
                                <w:pPr>
                                  <w:spacing w:before="0" w:after="160" w:line="259" w:lineRule="auto"/>
                                  <w:ind w:left="0" w:right="0" w:firstLine="0"/>
                                  <w:jc w:val="left"/>
                                </w:pPr>
                                <w:r>
                                  <w:rPr>
                                    <w:rFonts w:cs="Calibri" w:hAnsi="Calibri" w:eastAsia="Calibri" w:ascii="Calibri"/>
                                  </w:rPr>
                                  <w:t xml:space="preserve">Labour </w:t>
                                </w:r>
                              </w:p>
                            </w:txbxContent>
                          </wps:txbx>
                          <wps:bodyPr horzOverflow="overflow" rtlCol="0" vert="horz" lIns="0" tIns="0" rIns="0" bIns="0">
                            <a:noAutofit/>
                          </wps:bodyPr>
                        </wps:wsp>
                        <wps:wsp>
                          <wps:cNvPr id="11338" name="Rectangle 11338"/>
                          <wps:cNvSpPr/>
                          <wps:spPr>
                            <a:xfrm>
                              <a:off x="1298448" y="416052"/>
                              <a:ext cx="677402" cy="202692"/>
                            </a:xfrm>
                            <a:prstGeom prst="rect">
                              <a:avLst/>
                            </a:prstGeom>
                            <a:ln>
                              <a:noFill/>
                            </a:ln>
                          </wps:spPr>
                          <wps:txbx>
                            <w:txbxContent>
                              <w:p>
                                <w:pPr>
                                  <w:spacing w:before="0" w:after="160" w:line="259" w:lineRule="auto"/>
                                  <w:ind w:left="0" w:right="0" w:firstLine="0"/>
                                  <w:jc w:val="left"/>
                                </w:pPr>
                                <w:r>
                                  <w:rPr>
                                    <w:rFonts w:cs="Calibri" w:hAnsi="Calibri" w:eastAsia="Calibri" w:ascii="Calibri"/>
                                  </w:rPr>
                                  <w:t xml:space="preserve">demand</w:t>
                                </w:r>
                              </w:p>
                            </w:txbxContent>
                          </wps:txbx>
                          <wps:bodyPr horzOverflow="overflow" rtlCol="0" vert="horz" lIns="0" tIns="0" rIns="0" bIns="0">
                            <a:noAutofit/>
                          </wps:bodyPr>
                        </wps:wsp>
                        <wps:wsp>
                          <wps:cNvPr id="11339" name="Rectangle 11339"/>
                          <wps:cNvSpPr/>
                          <wps:spPr>
                            <a:xfrm>
                              <a:off x="1810512" y="424739"/>
                              <a:ext cx="50577" cy="184246"/>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rPr>
                                  <w:t xml:space="preserve"> </w:t>
                                </w:r>
                              </w:p>
                            </w:txbxContent>
                          </wps:txbx>
                          <wps:bodyPr horzOverflow="overflow" rtlCol="0" vert="horz" lIns="0" tIns="0" rIns="0" bIns="0">
                            <a:noAutofit/>
                          </wps:bodyPr>
                        </wps:wsp>
                        <pic:pic xmlns:pic="http://schemas.openxmlformats.org/drawingml/2006/picture">
                          <pic:nvPicPr>
                            <pic:cNvPr id="173649" name="Picture 173649"/>
                            <pic:cNvPicPr/>
                          </pic:nvPicPr>
                          <pic:blipFill>
                            <a:blip r:embed="rId79"/>
                            <a:stretch>
                              <a:fillRect/>
                            </a:stretch>
                          </pic:blipFill>
                          <pic:spPr>
                            <a:xfrm>
                              <a:off x="-4063" y="158496"/>
                              <a:ext cx="920496" cy="515112"/>
                            </a:xfrm>
                            <a:prstGeom prst="rect">
                              <a:avLst/>
                            </a:prstGeom>
                          </pic:spPr>
                        </pic:pic>
                        <wps:wsp>
                          <wps:cNvPr id="11342" name="Shape 11342"/>
                          <wps:cNvSpPr/>
                          <wps:spPr>
                            <a:xfrm>
                              <a:off x="0" y="161544"/>
                              <a:ext cx="917448" cy="512064"/>
                            </a:xfrm>
                            <a:custGeom>
                              <a:pathLst>
                                <a:path w="917448" h="512064">
                                  <a:moveTo>
                                    <a:pt x="85344" y="0"/>
                                  </a:moveTo>
                                  <a:cubicBezTo>
                                    <a:pt x="39624" y="0"/>
                                    <a:pt x="0" y="39624"/>
                                    <a:pt x="0" y="85344"/>
                                  </a:cubicBezTo>
                                  <a:lnTo>
                                    <a:pt x="0" y="426720"/>
                                  </a:lnTo>
                                  <a:cubicBezTo>
                                    <a:pt x="0" y="472440"/>
                                    <a:pt x="39624" y="512064"/>
                                    <a:pt x="85344" y="512064"/>
                                  </a:cubicBezTo>
                                  <a:lnTo>
                                    <a:pt x="832104" y="512064"/>
                                  </a:lnTo>
                                  <a:cubicBezTo>
                                    <a:pt x="880872" y="512064"/>
                                    <a:pt x="917448" y="472440"/>
                                    <a:pt x="917448" y="426720"/>
                                  </a:cubicBezTo>
                                  <a:lnTo>
                                    <a:pt x="917448" y="85344"/>
                                  </a:lnTo>
                                  <a:cubicBezTo>
                                    <a:pt x="917448" y="39624"/>
                                    <a:pt x="880872" y="0"/>
                                    <a:pt x="832104" y="0"/>
                                  </a:cubicBezTo>
                                  <a:close/>
                                </a:path>
                              </a:pathLst>
                            </a:custGeom>
                            <a:ln w="24383" cap="rnd">
                              <a:round/>
                            </a:ln>
                          </wps:spPr>
                          <wps:style>
                            <a:lnRef idx="1">
                              <a:srgbClr val="243f60"/>
                            </a:lnRef>
                            <a:fillRef idx="0">
                              <a:srgbClr val="000000">
                                <a:alpha val="0"/>
                              </a:srgbClr>
                            </a:fillRef>
                            <a:effectRef idx="0"/>
                            <a:fontRef idx="none"/>
                          </wps:style>
                          <wps:bodyPr/>
                        </wps:wsp>
                        <wps:wsp>
                          <wps:cNvPr id="11343" name="Rectangle 11343"/>
                          <wps:cNvSpPr/>
                          <wps:spPr>
                            <a:xfrm>
                              <a:off x="280416" y="263652"/>
                              <a:ext cx="516963" cy="170262"/>
                            </a:xfrm>
                            <a:prstGeom prst="rect">
                              <a:avLst/>
                            </a:prstGeom>
                            <a:ln>
                              <a:noFill/>
                            </a:ln>
                          </wps:spPr>
                          <wps:txbx>
                            <w:txbxContent>
                              <w:p>
                                <w:pPr>
                                  <w:spacing w:before="0" w:after="160" w:line="259" w:lineRule="auto"/>
                                  <w:ind w:left="0" w:right="0" w:firstLine="0"/>
                                  <w:jc w:val="left"/>
                                </w:pPr>
                                <w:r>
                                  <w:rPr>
                                    <w:rFonts w:cs="Calibri" w:hAnsi="Calibri" w:eastAsia="Calibri" w:ascii="Calibri"/>
                                    <w:sz w:val="20"/>
                                  </w:rPr>
                                  <w:t xml:space="preserve">Labour </w:t>
                                </w:r>
                              </w:p>
                            </w:txbxContent>
                          </wps:txbx>
                          <wps:bodyPr horzOverflow="overflow" rtlCol="0" vert="horz" lIns="0" tIns="0" rIns="0" bIns="0">
                            <a:noAutofit/>
                          </wps:bodyPr>
                        </wps:wsp>
                        <wps:wsp>
                          <wps:cNvPr id="11344" name="Rectangle 11344"/>
                          <wps:cNvSpPr/>
                          <wps:spPr>
                            <a:xfrm>
                              <a:off x="259080" y="428244"/>
                              <a:ext cx="533410" cy="202692"/>
                            </a:xfrm>
                            <a:prstGeom prst="rect">
                              <a:avLst/>
                            </a:prstGeom>
                            <a:ln>
                              <a:noFill/>
                            </a:ln>
                          </wps:spPr>
                          <wps:txbx>
                            <w:txbxContent>
                              <w:p>
                                <w:pPr>
                                  <w:spacing w:before="0" w:after="160" w:line="259" w:lineRule="auto"/>
                                  <w:ind w:left="0" w:right="0" w:firstLine="0"/>
                                  <w:jc w:val="left"/>
                                </w:pPr>
                                <w:r>
                                  <w:rPr>
                                    <w:rFonts w:cs="Calibri" w:hAnsi="Calibri" w:eastAsia="Calibri" w:ascii="Calibri"/>
                                  </w:rPr>
                                  <w:t xml:space="preserve">supply</w:t>
                                </w:r>
                              </w:p>
                            </w:txbxContent>
                          </wps:txbx>
                          <wps:bodyPr horzOverflow="overflow" rtlCol="0" vert="horz" lIns="0" tIns="0" rIns="0" bIns="0">
                            <a:noAutofit/>
                          </wps:bodyPr>
                        </wps:wsp>
                        <wps:wsp>
                          <wps:cNvPr id="11345" name="Rectangle 11345"/>
                          <wps:cNvSpPr/>
                          <wps:spPr>
                            <a:xfrm>
                              <a:off x="661416" y="428244"/>
                              <a:ext cx="45736" cy="202692"/>
                            </a:xfrm>
                            <a:prstGeom prst="rect">
                              <a:avLst/>
                            </a:prstGeom>
                            <a:ln>
                              <a:noFill/>
                            </a:ln>
                          </wps:spPr>
                          <wps:txbx>
                            <w:txbxContent>
                              <w:p>
                                <w:pPr>
                                  <w:spacing w:before="0" w:after="160" w:line="259" w:lineRule="auto"/>
                                  <w:ind w:left="0" w:right="0" w:firstLine="0"/>
                                  <w:jc w:val="left"/>
                                </w:pPr>
                                <w:r>
                                  <w:rPr>
                                    <w:rFonts w:cs="Calibri" w:hAnsi="Calibri" w:eastAsia="Calibri" w:ascii="Calibri"/>
                                  </w:rPr>
                                  <w:t xml:space="preserve"> </w:t>
                                </w:r>
                              </w:p>
                            </w:txbxContent>
                          </wps:txbx>
                          <wps:bodyPr horzOverflow="overflow" rtlCol="0" vert="horz" lIns="0" tIns="0" rIns="0" bIns="0">
                            <a:noAutofit/>
                          </wps:bodyPr>
                        </wps:wsp>
                        <wps:wsp>
                          <wps:cNvPr id="11346" name="Shape 11346"/>
                          <wps:cNvSpPr/>
                          <wps:spPr>
                            <a:xfrm>
                              <a:off x="652272" y="893064"/>
                              <a:ext cx="694944" cy="240792"/>
                            </a:xfrm>
                            <a:custGeom>
                              <a:pathLst>
                                <a:path w="694944" h="240792">
                                  <a:moveTo>
                                    <a:pt x="67056" y="0"/>
                                  </a:moveTo>
                                  <a:lnTo>
                                    <a:pt x="67056" y="60960"/>
                                  </a:lnTo>
                                  <a:lnTo>
                                    <a:pt x="624840" y="60960"/>
                                  </a:lnTo>
                                  <a:lnTo>
                                    <a:pt x="624840" y="0"/>
                                  </a:lnTo>
                                  <a:lnTo>
                                    <a:pt x="694944" y="121920"/>
                                  </a:lnTo>
                                  <a:lnTo>
                                    <a:pt x="624840" y="240792"/>
                                  </a:lnTo>
                                  <a:lnTo>
                                    <a:pt x="624840" y="182880"/>
                                  </a:lnTo>
                                  <a:lnTo>
                                    <a:pt x="67056" y="182880"/>
                                  </a:lnTo>
                                  <a:lnTo>
                                    <a:pt x="67056" y="240792"/>
                                  </a:lnTo>
                                  <a:lnTo>
                                    <a:pt x="0" y="121920"/>
                                  </a:lnTo>
                                  <a:lnTo>
                                    <a:pt x="67056" y="0"/>
                                  </a:lnTo>
                                  <a:close/>
                                </a:path>
                              </a:pathLst>
                            </a:custGeom>
                            <a:ln w="0" cap="flat">
                              <a:miter lim="127000"/>
                            </a:ln>
                          </wps:spPr>
                          <wps:style>
                            <a:lnRef idx="0">
                              <a:srgbClr val="000000">
                                <a:alpha val="0"/>
                              </a:srgbClr>
                            </a:lnRef>
                            <a:fillRef idx="1">
                              <a:srgbClr val="4f81bd"/>
                            </a:fillRef>
                            <a:effectRef idx="0"/>
                            <a:fontRef idx="none"/>
                          </wps:style>
                          <wps:bodyPr/>
                        </wps:wsp>
                        <wps:wsp>
                          <wps:cNvPr id="11347" name="Shape 11347"/>
                          <wps:cNvSpPr/>
                          <wps:spPr>
                            <a:xfrm>
                              <a:off x="652272" y="893064"/>
                              <a:ext cx="694944" cy="240792"/>
                            </a:xfrm>
                            <a:custGeom>
                              <a:pathLst>
                                <a:path w="694944" h="240792">
                                  <a:moveTo>
                                    <a:pt x="0" y="121920"/>
                                  </a:moveTo>
                                  <a:lnTo>
                                    <a:pt x="67056" y="240792"/>
                                  </a:lnTo>
                                  <a:lnTo>
                                    <a:pt x="67056" y="182880"/>
                                  </a:lnTo>
                                  <a:lnTo>
                                    <a:pt x="624840" y="182880"/>
                                  </a:lnTo>
                                  <a:lnTo>
                                    <a:pt x="624840" y="240792"/>
                                  </a:lnTo>
                                  <a:lnTo>
                                    <a:pt x="694944" y="121920"/>
                                  </a:lnTo>
                                  <a:lnTo>
                                    <a:pt x="624840" y="0"/>
                                  </a:lnTo>
                                  <a:lnTo>
                                    <a:pt x="624840" y="60960"/>
                                  </a:lnTo>
                                  <a:lnTo>
                                    <a:pt x="67056" y="60960"/>
                                  </a:lnTo>
                                  <a:lnTo>
                                    <a:pt x="67056" y="0"/>
                                  </a:lnTo>
                                  <a:close/>
                                </a:path>
                              </a:pathLst>
                            </a:custGeom>
                            <a:ln w="24383" cap="rnd">
                              <a:miter lim="101600"/>
                            </a:ln>
                          </wps:spPr>
                          <wps:style>
                            <a:lnRef idx="1">
                              <a:srgbClr val="243f60"/>
                            </a:lnRef>
                            <a:fillRef idx="0">
                              <a:srgbClr val="000000">
                                <a:alpha val="0"/>
                              </a:srgbClr>
                            </a:fillRef>
                            <a:effectRef idx="0"/>
                            <a:fontRef idx="none"/>
                          </wps:style>
                          <wps:bodyPr/>
                        </wps:wsp>
                        <wps:wsp>
                          <wps:cNvPr id="11348" name="Rectangle 11348"/>
                          <wps:cNvSpPr/>
                          <wps:spPr>
                            <a:xfrm>
                              <a:off x="780288" y="1003440"/>
                              <a:ext cx="40987" cy="186475"/>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349" name="Shape 11349"/>
                          <wps:cNvSpPr/>
                          <wps:spPr>
                            <a:xfrm>
                              <a:off x="295656" y="0"/>
                              <a:ext cx="161544" cy="118873"/>
                            </a:xfrm>
                            <a:custGeom>
                              <a:pathLst>
                                <a:path w="161544" h="118873">
                                  <a:moveTo>
                                    <a:pt x="79248" y="0"/>
                                  </a:moveTo>
                                  <a:lnTo>
                                    <a:pt x="161544" y="60960"/>
                                  </a:lnTo>
                                  <a:lnTo>
                                    <a:pt x="118872" y="60960"/>
                                  </a:lnTo>
                                  <a:lnTo>
                                    <a:pt x="118872" y="118873"/>
                                  </a:lnTo>
                                  <a:lnTo>
                                    <a:pt x="39624" y="118873"/>
                                  </a:lnTo>
                                  <a:lnTo>
                                    <a:pt x="39624" y="60960"/>
                                  </a:lnTo>
                                  <a:lnTo>
                                    <a:pt x="0" y="60960"/>
                                  </a:lnTo>
                                  <a:lnTo>
                                    <a:pt x="79248" y="0"/>
                                  </a:lnTo>
                                  <a:close/>
                                </a:path>
                              </a:pathLst>
                            </a:custGeom>
                            <a:ln w="0" cap="flat">
                              <a:miter lim="127000"/>
                            </a:ln>
                          </wps:spPr>
                          <wps:style>
                            <a:lnRef idx="0">
                              <a:srgbClr val="000000">
                                <a:alpha val="0"/>
                              </a:srgbClr>
                            </a:lnRef>
                            <a:fillRef idx="1">
                              <a:srgbClr val="4f81bd"/>
                            </a:fillRef>
                            <a:effectRef idx="0"/>
                            <a:fontRef idx="none"/>
                          </wps:style>
                          <wps:bodyPr/>
                        </wps:wsp>
                        <wps:wsp>
                          <wps:cNvPr id="11350" name="Shape 11350"/>
                          <wps:cNvSpPr/>
                          <wps:spPr>
                            <a:xfrm>
                              <a:off x="295656" y="0"/>
                              <a:ext cx="161544" cy="118873"/>
                            </a:xfrm>
                            <a:custGeom>
                              <a:pathLst>
                                <a:path w="161544" h="118873">
                                  <a:moveTo>
                                    <a:pt x="0" y="60960"/>
                                  </a:moveTo>
                                  <a:lnTo>
                                    <a:pt x="39624" y="60960"/>
                                  </a:lnTo>
                                  <a:lnTo>
                                    <a:pt x="39624" y="118873"/>
                                  </a:lnTo>
                                  <a:lnTo>
                                    <a:pt x="118872" y="118873"/>
                                  </a:lnTo>
                                  <a:lnTo>
                                    <a:pt x="118872" y="60960"/>
                                  </a:lnTo>
                                  <a:lnTo>
                                    <a:pt x="161544" y="60960"/>
                                  </a:lnTo>
                                  <a:lnTo>
                                    <a:pt x="79248" y="0"/>
                                  </a:lnTo>
                                  <a:close/>
                                </a:path>
                              </a:pathLst>
                            </a:custGeom>
                            <a:ln w="24383" cap="rnd">
                              <a:miter lim="101600"/>
                            </a:ln>
                          </wps:spPr>
                          <wps:style>
                            <a:lnRef idx="1">
                              <a:srgbClr val="243f60"/>
                            </a:lnRef>
                            <a:fillRef idx="0">
                              <a:srgbClr val="000000">
                                <a:alpha val="0"/>
                              </a:srgbClr>
                            </a:fillRef>
                            <a:effectRef idx="0"/>
                            <a:fontRef idx="none"/>
                          </wps:style>
                          <wps:bodyPr/>
                        </wps:wsp>
                        <wps:wsp>
                          <wps:cNvPr id="11352" name="Shape 11352"/>
                          <wps:cNvSpPr/>
                          <wps:spPr>
                            <a:xfrm>
                              <a:off x="871728" y="0"/>
                              <a:ext cx="158496" cy="118873"/>
                            </a:xfrm>
                            <a:custGeom>
                              <a:pathLst>
                                <a:path w="158496" h="118873">
                                  <a:moveTo>
                                    <a:pt x="79248" y="0"/>
                                  </a:moveTo>
                                  <a:lnTo>
                                    <a:pt x="158496" y="60960"/>
                                  </a:lnTo>
                                  <a:lnTo>
                                    <a:pt x="118872" y="60960"/>
                                  </a:lnTo>
                                  <a:lnTo>
                                    <a:pt x="118872" y="118873"/>
                                  </a:lnTo>
                                  <a:lnTo>
                                    <a:pt x="39624" y="118873"/>
                                  </a:lnTo>
                                  <a:lnTo>
                                    <a:pt x="39624" y="60960"/>
                                  </a:lnTo>
                                  <a:lnTo>
                                    <a:pt x="0" y="60960"/>
                                  </a:lnTo>
                                  <a:lnTo>
                                    <a:pt x="79248" y="0"/>
                                  </a:lnTo>
                                  <a:close/>
                                </a:path>
                              </a:pathLst>
                            </a:custGeom>
                            <a:ln w="0" cap="flat">
                              <a:miter lim="127000"/>
                            </a:ln>
                          </wps:spPr>
                          <wps:style>
                            <a:lnRef idx="0">
                              <a:srgbClr val="000000">
                                <a:alpha val="0"/>
                              </a:srgbClr>
                            </a:lnRef>
                            <a:fillRef idx="1">
                              <a:srgbClr val="4f81bd"/>
                            </a:fillRef>
                            <a:effectRef idx="0"/>
                            <a:fontRef idx="none"/>
                          </wps:style>
                          <wps:bodyPr/>
                        </wps:wsp>
                        <wps:wsp>
                          <wps:cNvPr id="11353" name="Shape 11353"/>
                          <wps:cNvSpPr/>
                          <wps:spPr>
                            <a:xfrm>
                              <a:off x="871728" y="0"/>
                              <a:ext cx="158496" cy="118873"/>
                            </a:xfrm>
                            <a:custGeom>
                              <a:pathLst>
                                <a:path w="158496" h="118873">
                                  <a:moveTo>
                                    <a:pt x="0" y="60960"/>
                                  </a:moveTo>
                                  <a:lnTo>
                                    <a:pt x="39624" y="60960"/>
                                  </a:lnTo>
                                  <a:lnTo>
                                    <a:pt x="39624" y="118873"/>
                                  </a:lnTo>
                                  <a:lnTo>
                                    <a:pt x="118872" y="118873"/>
                                  </a:lnTo>
                                  <a:lnTo>
                                    <a:pt x="118872" y="60960"/>
                                  </a:lnTo>
                                  <a:lnTo>
                                    <a:pt x="158496" y="60960"/>
                                  </a:lnTo>
                                  <a:lnTo>
                                    <a:pt x="79248" y="0"/>
                                  </a:lnTo>
                                  <a:close/>
                                </a:path>
                              </a:pathLst>
                            </a:custGeom>
                            <a:ln w="24383" cap="rnd">
                              <a:miter lim="101600"/>
                            </a:ln>
                          </wps:spPr>
                          <wps:style>
                            <a:lnRef idx="1">
                              <a:srgbClr val="243f60"/>
                            </a:lnRef>
                            <a:fillRef idx="0">
                              <a:srgbClr val="000000">
                                <a:alpha val="0"/>
                              </a:srgbClr>
                            </a:fillRef>
                            <a:effectRef idx="0"/>
                            <a:fontRef idx="none"/>
                          </wps:style>
                          <wps:bodyPr/>
                        </wps:wsp>
                        <wps:wsp>
                          <wps:cNvPr id="11355" name="Shape 11355"/>
                          <wps:cNvSpPr/>
                          <wps:spPr>
                            <a:xfrm>
                              <a:off x="1444752" y="0"/>
                              <a:ext cx="161544" cy="118873"/>
                            </a:xfrm>
                            <a:custGeom>
                              <a:pathLst>
                                <a:path w="161544" h="118873">
                                  <a:moveTo>
                                    <a:pt x="82296" y="0"/>
                                  </a:moveTo>
                                  <a:lnTo>
                                    <a:pt x="161544" y="60960"/>
                                  </a:lnTo>
                                  <a:lnTo>
                                    <a:pt x="121920" y="60960"/>
                                  </a:lnTo>
                                  <a:lnTo>
                                    <a:pt x="121920" y="118873"/>
                                  </a:lnTo>
                                  <a:lnTo>
                                    <a:pt x="42672" y="118873"/>
                                  </a:lnTo>
                                  <a:lnTo>
                                    <a:pt x="42672" y="60960"/>
                                  </a:lnTo>
                                  <a:lnTo>
                                    <a:pt x="0" y="60960"/>
                                  </a:lnTo>
                                  <a:lnTo>
                                    <a:pt x="82296" y="0"/>
                                  </a:lnTo>
                                  <a:close/>
                                </a:path>
                              </a:pathLst>
                            </a:custGeom>
                            <a:ln w="0" cap="flat">
                              <a:miter lim="127000"/>
                            </a:ln>
                          </wps:spPr>
                          <wps:style>
                            <a:lnRef idx="0">
                              <a:srgbClr val="000000">
                                <a:alpha val="0"/>
                              </a:srgbClr>
                            </a:lnRef>
                            <a:fillRef idx="1">
                              <a:srgbClr val="4f81bd"/>
                            </a:fillRef>
                            <a:effectRef idx="0"/>
                            <a:fontRef idx="none"/>
                          </wps:style>
                          <wps:bodyPr/>
                        </wps:wsp>
                        <wps:wsp>
                          <wps:cNvPr id="11356" name="Shape 11356"/>
                          <wps:cNvSpPr/>
                          <wps:spPr>
                            <a:xfrm>
                              <a:off x="1444752" y="0"/>
                              <a:ext cx="161544" cy="118873"/>
                            </a:xfrm>
                            <a:custGeom>
                              <a:pathLst>
                                <a:path w="161544" h="118873">
                                  <a:moveTo>
                                    <a:pt x="0" y="60960"/>
                                  </a:moveTo>
                                  <a:lnTo>
                                    <a:pt x="42672" y="60960"/>
                                  </a:lnTo>
                                  <a:lnTo>
                                    <a:pt x="42672" y="118873"/>
                                  </a:lnTo>
                                  <a:lnTo>
                                    <a:pt x="121920" y="118873"/>
                                  </a:lnTo>
                                  <a:lnTo>
                                    <a:pt x="121920" y="60960"/>
                                  </a:lnTo>
                                  <a:lnTo>
                                    <a:pt x="161544" y="60960"/>
                                  </a:lnTo>
                                  <a:lnTo>
                                    <a:pt x="82296" y="0"/>
                                  </a:lnTo>
                                  <a:close/>
                                </a:path>
                              </a:pathLst>
                            </a:custGeom>
                            <a:ln w="24383" cap="rnd">
                              <a:miter lim="101600"/>
                            </a:ln>
                          </wps:spPr>
                          <wps:style>
                            <a:lnRef idx="1">
                              <a:srgbClr val="243f60"/>
                            </a:lnRef>
                            <a:fillRef idx="0">
                              <a:srgbClr val="000000">
                                <a:alpha val="0"/>
                              </a:srgbClr>
                            </a:fillRef>
                            <a:effectRef idx="0"/>
                            <a:fontRef idx="none"/>
                          </wps:style>
                          <wps:bodyPr/>
                        </wps:wsp>
                      </wpg:wgp>
                    </a:graphicData>
                  </a:graphic>
                </wp:inline>
              </w:drawing>
            </w:r>
          </w:p>
          <w:p>
            <w:pPr>
              <w:spacing w:before="0" w:after="34" w:line="259" w:lineRule="auto"/>
              <w:ind w:left="0" w:right="201" w:firstLine="0"/>
              <w:jc w:val="center"/>
            </w:pPr>
            <w:r>
              <w:rPr>
                <w:rFonts w:cs="Calibri" w:hAnsi="Calibri" w:eastAsia="Calibri" w:ascii="Calibri"/>
              </w:rPr>
              <w:t xml:space="preserve">Matching of </w:t>
            </w:r>
          </w:p>
          <w:p>
            <w:pPr>
              <w:tabs>
                <w:tab w:val="center" w:pos="4448"/>
                <w:tab w:val="center" w:pos="5510"/>
              </w:tabs>
              <w:spacing w:before="0" w:after="0" w:line="259" w:lineRule="auto"/>
              <w:ind w:left="0" w:right="0" w:firstLine="0"/>
              <w:jc w:val="left"/>
            </w:pPr>
            <w:r>
              <w:rPr>
                <w:rFonts w:cs="Calibri" w:hAnsi="Calibri" w:eastAsia="Calibri" w:ascii="Calibri"/>
                <w:sz w:val="22"/>
              </w:rPr>
              <w:drawing>
                <wp:anchor simplePos="0" relativeHeight="0" locked="0" layoutInCell="1" allowOverlap="1" behindDoc="1">
                  <wp:simplePos x="0" y="0"/>
                  <wp:positionH relativeFrom="column">
                    <wp:posOffset>2163318</wp:posOffset>
                  </wp:positionH>
                  <wp:positionV relativeFrom="paragraph">
                    <wp:posOffset>-260711</wp:posOffset>
                  </wp:positionV>
                  <wp:extent cx="1429512" cy="551688"/>
                  <wp:wrapNone/>
                  <wp:docPr id="136937" name="Group 136937"/>
                  <wp:cNvGraphicFramePr/>
                  <a:graphic>
                    <a:graphicData uri="http://schemas.microsoft.com/office/word/2010/wordprocessingGroup">
                      <wpg:wgp>
                        <wpg:cNvGrpSpPr/>
                        <wpg:grpSpPr>
                          <a:xfrm>
                            <a:off x="0" y="0"/>
                            <a:ext cx="1429512" cy="551688"/>
                            <a:chOff x="0" y="0"/>
                            <a:chExt cx="1429512" cy="551688"/>
                          </a:xfrm>
                        </wpg:grpSpPr>
                        <pic:pic xmlns:pic="http://schemas.openxmlformats.org/drawingml/2006/picture">
                          <pic:nvPicPr>
                            <pic:cNvPr id="173650" name="Picture 173650"/>
                            <pic:cNvPicPr/>
                          </pic:nvPicPr>
                          <pic:blipFill>
                            <a:blip r:embed="rId80"/>
                            <a:stretch>
                              <a:fillRect/>
                            </a:stretch>
                          </pic:blipFill>
                          <pic:spPr>
                            <a:xfrm>
                              <a:off x="187960" y="-4063"/>
                              <a:ext cx="944880" cy="554736"/>
                            </a:xfrm>
                            <a:prstGeom prst="rect">
                              <a:avLst/>
                            </a:prstGeom>
                          </pic:spPr>
                        </pic:pic>
                        <wps:wsp>
                          <wps:cNvPr id="11360" name="Shape 11360"/>
                          <wps:cNvSpPr/>
                          <wps:spPr>
                            <a:xfrm>
                              <a:off x="192024" y="0"/>
                              <a:ext cx="941832" cy="551688"/>
                            </a:xfrm>
                            <a:custGeom>
                              <a:pathLst>
                                <a:path w="941832" h="551688">
                                  <a:moveTo>
                                    <a:pt x="91440" y="0"/>
                                  </a:moveTo>
                                  <a:cubicBezTo>
                                    <a:pt x="39624" y="0"/>
                                    <a:pt x="0" y="39624"/>
                                    <a:pt x="0" y="91440"/>
                                  </a:cubicBezTo>
                                  <a:lnTo>
                                    <a:pt x="0" y="460248"/>
                                  </a:lnTo>
                                  <a:cubicBezTo>
                                    <a:pt x="0" y="509016"/>
                                    <a:pt x="39624" y="551688"/>
                                    <a:pt x="91440" y="551688"/>
                                  </a:cubicBezTo>
                                  <a:lnTo>
                                    <a:pt x="850392" y="551688"/>
                                  </a:lnTo>
                                  <a:cubicBezTo>
                                    <a:pt x="899160" y="551688"/>
                                    <a:pt x="941832" y="509016"/>
                                    <a:pt x="941832" y="460248"/>
                                  </a:cubicBezTo>
                                  <a:lnTo>
                                    <a:pt x="941832" y="91440"/>
                                  </a:lnTo>
                                  <a:cubicBezTo>
                                    <a:pt x="941832" y="39624"/>
                                    <a:pt x="899160" y="0"/>
                                    <a:pt x="850392" y="0"/>
                                  </a:cubicBezTo>
                                  <a:close/>
                                </a:path>
                              </a:pathLst>
                            </a:custGeom>
                            <a:ln w="24383" cap="rnd">
                              <a:round/>
                            </a:ln>
                          </wps:spPr>
                          <wps:style>
                            <a:lnRef idx="1">
                              <a:srgbClr val="243f60"/>
                            </a:lnRef>
                            <a:fillRef idx="0">
                              <a:srgbClr val="000000">
                                <a:alpha val="0"/>
                              </a:srgbClr>
                            </a:fillRef>
                            <a:effectRef idx="0"/>
                            <a:fontRef idx="none"/>
                          </wps:style>
                          <wps:bodyPr/>
                        </wps:wsp>
                        <wps:wsp>
                          <wps:cNvPr id="11365" name="Shape 11365"/>
                          <wps:cNvSpPr/>
                          <wps:spPr>
                            <a:xfrm>
                              <a:off x="0" y="265176"/>
                              <a:ext cx="173736" cy="222504"/>
                            </a:xfrm>
                            <a:custGeom>
                              <a:pathLst>
                                <a:path w="173736" h="222504">
                                  <a:moveTo>
                                    <a:pt x="0" y="0"/>
                                  </a:moveTo>
                                  <a:lnTo>
                                    <a:pt x="106680" y="42672"/>
                                  </a:lnTo>
                                  <a:lnTo>
                                    <a:pt x="85344" y="60960"/>
                                  </a:lnTo>
                                  <a:lnTo>
                                    <a:pt x="134112" y="124968"/>
                                  </a:lnTo>
                                  <a:lnTo>
                                    <a:pt x="155448" y="106680"/>
                                  </a:lnTo>
                                  <a:lnTo>
                                    <a:pt x="173736" y="222504"/>
                                  </a:lnTo>
                                  <a:lnTo>
                                    <a:pt x="67056" y="179832"/>
                                  </a:lnTo>
                                  <a:lnTo>
                                    <a:pt x="88392" y="161544"/>
                                  </a:lnTo>
                                  <a:lnTo>
                                    <a:pt x="39624" y="97536"/>
                                  </a:lnTo>
                                  <a:lnTo>
                                    <a:pt x="15240" y="115824"/>
                                  </a:lnTo>
                                  <a:lnTo>
                                    <a:pt x="0" y="0"/>
                                  </a:lnTo>
                                  <a:close/>
                                </a:path>
                              </a:pathLst>
                            </a:custGeom>
                            <a:ln w="0" cap="flat">
                              <a:miter lim="127000"/>
                            </a:ln>
                          </wps:spPr>
                          <wps:style>
                            <a:lnRef idx="0">
                              <a:srgbClr val="000000">
                                <a:alpha val="0"/>
                              </a:srgbClr>
                            </a:lnRef>
                            <a:fillRef idx="1">
                              <a:srgbClr val="4f81bd"/>
                            </a:fillRef>
                            <a:effectRef idx="0"/>
                            <a:fontRef idx="none"/>
                          </wps:style>
                          <wps:bodyPr/>
                        </wps:wsp>
                        <wps:wsp>
                          <wps:cNvPr id="11366" name="Shape 11366"/>
                          <wps:cNvSpPr/>
                          <wps:spPr>
                            <a:xfrm>
                              <a:off x="0" y="265176"/>
                              <a:ext cx="173736" cy="222504"/>
                            </a:xfrm>
                            <a:custGeom>
                              <a:pathLst>
                                <a:path w="173736" h="222504">
                                  <a:moveTo>
                                    <a:pt x="0" y="0"/>
                                  </a:moveTo>
                                  <a:lnTo>
                                    <a:pt x="15240" y="115824"/>
                                  </a:lnTo>
                                  <a:lnTo>
                                    <a:pt x="39624" y="97536"/>
                                  </a:lnTo>
                                  <a:lnTo>
                                    <a:pt x="88392" y="161544"/>
                                  </a:lnTo>
                                  <a:lnTo>
                                    <a:pt x="67056" y="179832"/>
                                  </a:lnTo>
                                  <a:lnTo>
                                    <a:pt x="173736" y="222504"/>
                                  </a:lnTo>
                                  <a:lnTo>
                                    <a:pt x="155448" y="106680"/>
                                  </a:lnTo>
                                  <a:lnTo>
                                    <a:pt x="134112" y="124968"/>
                                  </a:lnTo>
                                  <a:lnTo>
                                    <a:pt x="85344" y="60960"/>
                                  </a:lnTo>
                                  <a:lnTo>
                                    <a:pt x="106680" y="42672"/>
                                  </a:lnTo>
                                  <a:close/>
                                </a:path>
                              </a:pathLst>
                            </a:custGeom>
                            <a:ln w="24383" cap="rnd">
                              <a:miter lim="101600"/>
                            </a:ln>
                          </wps:spPr>
                          <wps:style>
                            <a:lnRef idx="1">
                              <a:srgbClr val="243f60"/>
                            </a:lnRef>
                            <a:fillRef idx="0">
                              <a:srgbClr val="000000">
                                <a:alpha val="0"/>
                              </a:srgbClr>
                            </a:fillRef>
                            <a:effectRef idx="0"/>
                            <a:fontRef idx="none"/>
                          </wps:style>
                          <wps:bodyPr/>
                        </wps:wsp>
                        <wps:wsp>
                          <wps:cNvPr id="11368" name="Shape 11368"/>
                          <wps:cNvSpPr/>
                          <wps:spPr>
                            <a:xfrm>
                              <a:off x="1246632" y="228600"/>
                              <a:ext cx="182880" cy="216408"/>
                            </a:xfrm>
                            <a:custGeom>
                              <a:pathLst>
                                <a:path w="182880" h="216408">
                                  <a:moveTo>
                                    <a:pt x="182880" y="0"/>
                                  </a:moveTo>
                                  <a:lnTo>
                                    <a:pt x="161544" y="112776"/>
                                  </a:lnTo>
                                  <a:lnTo>
                                    <a:pt x="140208" y="94488"/>
                                  </a:lnTo>
                                  <a:lnTo>
                                    <a:pt x="88392" y="155448"/>
                                  </a:lnTo>
                                  <a:lnTo>
                                    <a:pt x="109728" y="173736"/>
                                  </a:lnTo>
                                  <a:lnTo>
                                    <a:pt x="0" y="216408"/>
                                  </a:lnTo>
                                  <a:lnTo>
                                    <a:pt x="21336" y="100584"/>
                                  </a:lnTo>
                                  <a:lnTo>
                                    <a:pt x="42672" y="118872"/>
                                  </a:lnTo>
                                  <a:lnTo>
                                    <a:pt x="94488" y="57912"/>
                                  </a:lnTo>
                                  <a:lnTo>
                                    <a:pt x="73152" y="39624"/>
                                  </a:lnTo>
                                  <a:lnTo>
                                    <a:pt x="182880" y="0"/>
                                  </a:lnTo>
                                  <a:close/>
                                </a:path>
                              </a:pathLst>
                            </a:custGeom>
                            <a:ln w="0" cap="flat">
                              <a:miter lim="127000"/>
                            </a:ln>
                          </wps:spPr>
                          <wps:style>
                            <a:lnRef idx="0">
                              <a:srgbClr val="000000">
                                <a:alpha val="0"/>
                              </a:srgbClr>
                            </a:lnRef>
                            <a:fillRef idx="1">
                              <a:srgbClr val="4f81bd"/>
                            </a:fillRef>
                            <a:effectRef idx="0"/>
                            <a:fontRef idx="none"/>
                          </wps:style>
                          <wps:bodyPr/>
                        </wps:wsp>
                        <wps:wsp>
                          <wps:cNvPr id="11369" name="Shape 11369"/>
                          <wps:cNvSpPr/>
                          <wps:spPr>
                            <a:xfrm>
                              <a:off x="1246632" y="228600"/>
                              <a:ext cx="182880" cy="216408"/>
                            </a:xfrm>
                            <a:custGeom>
                              <a:pathLst>
                                <a:path w="182880" h="216408">
                                  <a:moveTo>
                                    <a:pt x="0" y="216408"/>
                                  </a:moveTo>
                                  <a:lnTo>
                                    <a:pt x="109728" y="173736"/>
                                  </a:lnTo>
                                  <a:lnTo>
                                    <a:pt x="88392" y="155448"/>
                                  </a:lnTo>
                                  <a:lnTo>
                                    <a:pt x="140208" y="94488"/>
                                  </a:lnTo>
                                  <a:lnTo>
                                    <a:pt x="161544" y="112776"/>
                                  </a:lnTo>
                                  <a:lnTo>
                                    <a:pt x="182880" y="0"/>
                                  </a:lnTo>
                                  <a:lnTo>
                                    <a:pt x="73152" y="39624"/>
                                  </a:lnTo>
                                  <a:lnTo>
                                    <a:pt x="94488" y="57912"/>
                                  </a:lnTo>
                                  <a:lnTo>
                                    <a:pt x="42672" y="118872"/>
                                  </a:lnTo>
                                  <a:lnTo>
                                    <a:pt x="21336" y="100584"/>
                                  </a:lnTo>
                                  <a:close/>
                                </a:path>
                              </a:pathLst>
                            </a:custGeom>
                            <a:ln w="24383" cap="rnd">
                              <a:miter lim="101600"/>
                            </a:ln>
                          </wps:spPr>
                          <wps:style>
                            <a:lnRef idx="1">
                              <a:srgbClr val="243f60"/>
                            </a:lnRef>
                            <a:fillRef idx="0">
                              <a:srgbClr val="000000">
                                <a:alpha val="0"/>
                              </a:srgbClr>
                            </a:fillRef>
                            <a:effectRef idx="0"/>
                            <a:fontRef idx="none"/>
                          </wps:style>
                          <wps:bodyPr/>
                        </wps:wsp>
                      </wpg:wgp>
                    </a:graphicData>
                  </a:graphic>
                </wp:anchor>
              </w:drawing>
            </w:r>
            <w:r>
              <w:rPr>
                <w:rFonts w:cs="Calibri" w:hAnsi="Calibri" w:eastAsia="Calibri" w:ascii="Calibri"/>
                <w:sz w:val="22"/>
              </w:rPr>
              <w:t xml:space="preserve">	</w:t>
            </w:r>
            <w:r>
              <w:rPr>
                <w:rFonts w:cs="Calibri" w:hAnsi="Calibri" w:eastAsia="Calibri" w:ascii="Calibri"/>
              </w:rPr>
              <w:t xml:space="preserve">supply and 	</w:t>
            </w:r>
            <w:r>
              <w:rPr>
                <w:sz w:val="34"/>
                <w:vertAlign w:val="subscript"/>
              </w:rPr>
              <w:t xml:space="preserve"> </w:t>
            </w:r>
          </w:p>
          <w:p>
            <w:pPr>
              <w:spacing w:before="0" w:after="0" w:line="259" w:lineRule="auto"/>
              <w:ind w:left="3538" w:right="0" w:firstLine="0"/>
              <w:jc w:val="left"/>
            </w:pPr>
            <w:r>
              <w:rPr>
                <w:sz w:val="22"/>
              </w:rPr>
              <w:t xml:space="preserve"> </w:t>
            </w:r>
          </w:p>
          <w:p>
            <w:pPr>
              <w:spacing w:before="0" w:after="0" w:line="259" w:lineRule="auto"/>
              <w:ind w:left="0" w:right="201" w:firstLine="0"/>
              <w:jc w:val="center"/>
            </w:pPr>
            <w:r>
              <w:rPr>
                <w:rFonts w:cs="Calibri" w:hAnsi="Calibri" w:eastAsia="Calibri" w:ascii="Calibri"/>
              </w:rPr>
              <w:t xml:space="preserve">demand</w:t>
            </w:r>
            <w:r>
              <w:rPr>
                <w:rFonts w:cs="Times New Roman" w:hAnsi="Times New Roman" w:eastAsia="Times New Roman" w:ascii="Times New Roman"/>
              </w:rPr>
              <w:t xml:space="preserve"> </w:t>
            </w:r>
          </w:p>
        </w:tc>
      </w:tr>
    </w:tbl>
    <w:p>
      <w:pPr>
        <w:spacing w:before="0" w:after="35" w:line="259" w:lineRule="auto"/>
        <w:ind w:left="0" w:right="0" w:firstLine="0"/>
        <w:jc w:val="left"/>
      </w:pPr>
      <w:r>
        <w:rPr>
          <w:rFonts w:cs="Cambria" w:hAnsi="Cambria" w:eastAsia="Cambria" w:ascii="Cambria"/>
          <w:b w:val="1"/>
          <w:i w:val="1"/>
          <w:sz w:val="22"/>
        </w:rPr>
        <w:t xml:space="preserve"> </w:t>
      </w:r>
    </w:p>
    <w:p>
      <w:pPr>
        <w:spacing w:before="0" w:after="5" w:line="268" w:lineRule="auto"/>
        <w:ind w:left="-5" w:right="0"/>
      </w:pPr>
      <w:r>
        <w:rPr>
          <w:rFonts w:cs="Cambria" w:hAnsi="Cambria" w:eastAsia="Cambria" w:ascii="Cambria"/>
          <w:b w:val="1"/>
          <w:i w:val="1"/>
        </w:rPr>
        <w:t xml:space="preserve">Activity result 2.2: Government aided vocational schools equipped with tools</w:t>
      </w:r>
      <w:r>
        <w:rPr>
          <w:rFonts w:cs="Cambria" w:hAnsi="Cambria" w:eastAsia="Cambria" w:ascii="Cambria"/>
          <w:b w:val="1"/>
          <w:i w:val="1"/>
        </w:rPr>
        <w:t xml:space="preserve"> </w:t>
      </w:r>
    </w:p>
    <w:p>
      <w:pPr>
        <w:pStyle w:val="normal"/>
        <w:spacing w:before="0" w:after="5" w:line="268" w:lineRule="auto"/>
        <w:ind w:left="-5" w:right="0"/>
      </w:pPr>
      <w:r>
        <w:rPr/>
        <w:t xml:space="preserve">To ensure that appropriate skills are being provided to the youth, UNDP will equip selected vocational schools</w:t>
      </w:r>
      <w:r>
        <w:rPr/>
        <w:t xml:space="preserve"> </w:t>
      </w:r>
      <w:r>
        <w:rPr/>
        <w:t xml:space="preserve">with training tools. An initial assessment of the needs of identified vocational schools will be made and it is based upon needs</w:t>
      </w:r>
      <w:r>
        <w:rPr/>
        <w:t xml:space="preserve"> </w:t>
      </w:r>
      <w:r>
        <w:rPr/>
        <w:t xml:space="preserve">that UNDP will provide the assistance. Some of the technical schools identified during the scoping include Apac Technical School in Lango, Kaabong Technical School in Karamoja and Moroto Technical School in Napak.</w:t>
      </w:r>
      <w:r>
        <w:rPr/>
        <w:t xml:space="preserve"> </w:t>
      </w:r>
    </w:p>
    <w:p>
      <w:pPr>
        <w:spacing w:before="0" w:after="15"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2.</w:t>
      </w:r>
      <w:r>
        <w:rPr>
          <w:rFonts w:cs="Cambria" w:hAnsi="Cambria" w:eastAsia="Cambria" w:ascii="Cambria"/>
          <w:b w:val="1"/>
          <w:i w:val="1"/>
        </w:rPr>
        <w:t xml:space="preserve">3</w:t>
      </w:r>
      <w:r>
        <w:rPr>
          <w:rFonts w:cs="Cambria" w:hAnsi="Cambria" w:eastAsia="Cambria" w:ascii="Cambria"/>
          <w:b w:val="1"/>
          <w:i w:val="1"/>
        </w:rPr>
        <w:t xml:space="preserve">: Enterprises established and/or developed while at the same time invest in value chains for certain products to enhance alternative livelihoods and diversified economic opportunities.</w:t>
      </w:r>
      <w:r>
        <w:rPr>
          <w:rFonts w:cs="Cambria" w:hAnsi="Cambria" w:eastAsia="Cambria" w:ascii="Cambria"/>
          <w:b w:val="1"/>
          <w:i w:val="1"/>
        </w:rPr>
        <w:t xml:space="preserve"> </w:t>
      </w:r>
    </w:p>
    <w:p>
      <w:pPr>
        <w:spacing w:before="0" w:after="20" w:line="259" w:lineRule="auto"/>
        <w:ind w:left="0" w:right="0" w:firstLine="0"/>
        <w:jc w:val="left"/>
      </w:pPr>
      <w:r>
        <w:rPr>
          <w:rFonts w:cs="Cambria" w:hAnsi="Cambria" w:eastAsia="Cambria" w:ascii="Cambria"/>
          <w:b w:val="1"/>
          <w:i w:val="1"/>
        </w:rPr>
        <w:t xml:space="preserve"> </w:t>
      </w:r>
    </w:p>
    <w:p>
      <w:pPr>
        <w:pStyle w:val="normal"/>
        <w:spacing w:before="0" w:after="5" w:line="268" w:lineRule="auto"/>
        <w:ind w:left="-5" w:right="0"/>
      </w:pPr>
      <w:r>
        <w:rPr/>
        <w:t xml:space="preserve">With increased agricultural production and productivity particularly in Lango and Acholi and to some extent in Karamoja, and with continued effort being made by UN agencies such as FAO and WFP, and a host of international NGOs particularly in Karamoja and Acholi towards increasing production and value chain development, UNDP will pay more attention to promotion of value addition and carrying out studies on a number of commodity crops with the view promoting</w:t>
      </w:r>
      <w:r>
        <w:rPr/>
        <w:t xml:space="preserve"> </w:t>
      </w:r>
      <w:r>
        <w:rPr/>
        <w:t xml:space="preserve">such commodity crops using a value chain approach in its future endeavours to contribute to the development of northern Uganda</w:t>
      </w:r>
      <w:r>
        <w:rPr/>
        <w:t xml:space="preserve"> </w:t>
      </w:r>
      <w:r>
        <w:rPr/>
        <w:t xml:space="preserve">but also to contribute to the knowledge about potential value chains in northern Uganda that investors or interested parties can</w:t>
      </w:r>
      <w:r>
        <w:rPr/>
        <w:t xml:space="preserve"> </w:t>
      </w:r>
      <w:r>
        <w:rPr/>
        <w:t xml:space="preserve">pick on for future development.</w:t>
      </w:r>
      <w:r>
        <w:rPr/>
        <w:t xml:space="preserve"> </w:t>
      </w:r>
    </w:p>
    <w:p>
      <w:pPr>
        <w:pStyle w:val="normal"/>
        <w:spacing w:before="0" w:after="5" w:line="268" w:lineRule="auto"/>
        <w:ind w:left="-5" w:right="0"/>
      </w:pPr>
      <w:r>
        <w:rPr/>
        <w:t xml:space="preserve">In light of the above, UNDP will identify existing active produce marketing groups and/or farmer groups and support them with the necessary inputs to enable them undertake value addition. Support in the form of technical advice and equipment/machinery will be provided to the groups, particularly women’s groups and other vulnerable groups such as people with disability (PWD) and youth groups. Entrepreneurial skills development will be provided to such groups to strengthen business management skills. </w:t>
      </w:r>
      <w:r>
        <w:rPr/>
        <w:t xml:space="preserve"> </w:t>
      </w:r>
    </w:p>
    <w:p>
      <w:pPr>
        <w:spacing w:before="0" w:after="20"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2.4: Local markets developed</w:t>
      </w:r>
      <w:r>
        <w:rPr>
          <w:rFonts w:cs="Cambria" w:hAnsi="Cambria" w:eastAsia="Cambria" w:ascii="Cambria"/>
          <w:b w:val="1"/>
          <w:i w:val="1"/>
        </w:rPr>
        <w:t xml:space="preserve"> </w:t>
      </w:r>
      <w:r>
        <w:rPr>
          <w:rFonts w:cs="Cambria" w:hAnsi="Cambria" w:eastAsia="Cambria" w:ascii="Cambria"/>
          <w:b w:val="1"/>
          <w:i w:val="1"/>
        </w:rPr>
        <w:t xml:space="preserve">and/or established.</w:t>
      </w:r>
      <w:r>
        <w:rPr>
          <w:rFonts w:cs="Cambria" w:hAnsi="Cambria" w:eastAsia="Cambria" w:ascii="Cambria"/>
          <w:b w:val="1"/>
          <w:i w:val="1"/>
        </w:rPr>
        <w:t xml:space="preserve"> </w:t>
      </w:r>
    </w:p>
    <w:p>
      <w:pPr>
        <w:pStyle w:val="normal"/>
        <w:spacing w:before="0" w:after="5" w:line="268" w:lineRule="auto"/>
        <w:ind w:left="-5" w:right="0"/>
      </w:pPr>
      <w:r>
        <w:rPr/>
        <w:t xml:space="preserve">Due to limited access to markets in Northern Uganda, the project will work within existing District development plans to establish and/or develop markets in the regions to contribute to livelihood security and contribute to the reduction of poverty.  However, the establishment of viable markets requires full partnership between the private and public sectors while advocating the rehabilitation of existing roads network and construction of secondary road networks, transportation sector and safety and security</w:t>
      </w:r>
      <w:r>
        <w:rPr/>
        <w:t xml:space="preserve">.  </w:t>
      </w:r>
      <w:r>
        <w:rPr/>
        <w:t xml:space="preserve"> </w:t>
      </w:r>
    </w:p>
    <w:p>
      <w:pPr>
        <w:spacing w:before="0" w:after="54" w:line="259" w:lineRule="auto"/>
        <w:ind w:left="0" w:right="0" w:firstLine="0"/>
        <w:jc w:val="left"/>
      </w:pPr>
      <w:r>
        <w:rPr/>
        <w:t xml:space="preserve"> </w:t>
      </w:r>
    </w:p>
    <w:p>
      <w:pPr>
        <w:pStyle w:val="heading1"/>
        <w:spacing w:before="0" w:after="5" w:line="267" w:lineRule="auto"/>
        <w:ind w:left="-5"/>
        <w:jc w:val="both"/>
      </w:pPr>
      <w:bookmarkStart w:id="179047" w:name="_Toc179047"/>
      <w:r>
        <w:rPr>
          <w:rFonts w:cs="Cambria" w:hAnsi="Cambria" w:eastAsia="Cambria" w:ascii="Cambria"/>
          <w:i w:val="1"/>
          <w:color w:val="000000"/>
          <w:sz w:val="28"/>
        </w:rPr>
        <w:t xml:space="preserve">Output 3: Building a peaceful and sustainable mining in Northern Uganda</w:t>
      </w:r>
      <w:r>
        <w:rPr>
          <w:rFonts w:cs="Cambria" w:hAnsi="Cambria" w:eastAsia="Cambria" w:ascii="Cambria"/>
          <w:i w:val="1"/>
          <w:color w:val="000000"/>
          <w:sz w:val="28"/>
        </w:rPr>
        <w:t xml:space="preserve"> </w:t>
      </w:r>
      <w:bookmarkEnd w:id="179047"/>
    </w:p>
    <w:p>
      <w:pPr>
        <w:pStyle w:val="normal"/>
        <w:spacing w:before="0" w:after="33" w:line="268" w:lineRule="auto"/>
        <w:ind w:left="-5" w:right="0"/>
      </w:pPr>
      <w:r>
        <w:rPr/>
        <w:t xml:space="preserve">The increasing discovery of oil and mineral resources  </w:t>
      </w:r>
      <w:r>
        <w:rPr/>
        <w:t xml:space="preserve">- </w:t>
      </w:r>
      <w:r>
        <w:rPr/>
        <w:t xml:space="preserve">such as gold, limestone, uranium, marble, graphite, gypsum, iron, wolfram, nickel, copper, cobalt, lithium, tin, base metals, and lead </w:t>
      </w:r>
      <w:r>
        <w:rPr/>
        <w:t xml:space="preserve">– </w:t>
      </w:r>
      <w:r>
        <w:rPr/>
        <w:t xml:space="preserve">in Northern Uganda brings opportunities but can also stir conflict and vulnerability for violations of the local communities’ social and economic rights. The influx of foreign investors and artisanal miners</w:t>
      </w:r>
      <w:r>
        <w:rPr/>
        <w:t xml:space="preserve"> </w:t>
      </w:r>
      <w:r>
        <w:rPr/>
        <w:t xml:space="preserve">into Northern Uganda is steadily increasing and has in some cases already created conflicts. In some cases private investors, local and central government officials have claimed ownership of land and have deprived indigenous owners from their land</w:t>
      </w:r>
      <w:r>
        <w:rPr>
          <w:vertAlign w:val="superscript"/>
        </w:rPr>
        <w:footnoteReference w:id="47"/>
      </w:r>
      <w:r>
        <w:rPr/>
        <w:t xml:space="preserve">. Also violations of International labour</w:t>
      </w:r>
      <w:r>
        <w:rPr/>
        <w:t xml:space="preserve"> </w:t>
      </w:r>
      <w:r>
        <w:rPr/>
        <w:t xml:space="preserve">laws, restrictions on movement through fencing of community roads and environmental degradation have been noticed</w:t>
      </w:r>
      <w:r>
        <w:rPr>
          <w:vertAlign w:val="superscript"/>
        </w:rPr>
        <w:t xml:space="preserve">40</w:t>
      </w:r>
      <w:r>
        <w:rPr/>
        <w:t xml:space="preserve">.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Artisanal diamond mining in many parts of Africa is a high risk, individualistic, flexible and cash</w:t>
      </w:r>
      <w:r>
        <w:rPr/>
        <w:t xml:space="preserve">-</w:t>
      </w:r>
      <w:r>
        <w:rPr/>
        <w:t xml:space="preserve">led business that crosses ethnicities and borders. Over recent years, it has been intricately linked to the protracted conflicts and endemic crises that have had such a catastrophic impact on Liberia and her neighbouring states of Guinea, Sierra Leone and Cote d’Ivoire. Mining has become acknowledged as encouraging ‘conflict without borders’, the uncontrolled movements of people and goods as well as smuggling of precious stones and minerals have had a considerable destabilising effect across the sub</w:t>
      </w:r>
      <w:r>
        <w:rPr/>
        <w:t xml:space="preserve">-</w:t>
      </w:r>
      <w:r>
        <w:rPr/>
        <w:t xml:space="preserve">region; if left unchecked, it poses future threats to the region’s security. As the north emerges out of a prolonged conflict it is of upmost importance to ensure that the mining sector does not undermine the</w:t>
      </w:r>
      <w:r>
        <w:rPr/>
        <w:t xml:space="preserve"> </w:t>
      </w:r>
      <w:r>
        <w:rPr/>
        <w:t xml:space="preserve">fragile peace but rather becomes a source of its recovery. </w:t>
      </w:r>
      <w:r>
        <w:rPr/>
        <w:t xml:space="preserve"> </w:t>
      </w:r>
    </w:p>
    <w:p>
      <w:pPr>
        <w:pStyle w:val="normal"/>
        <w:spacing w:before="0" w:after="5" w:line="268" w:lineRule="auto"/>
        <w:ind w:left="-5" w:right="0"/>
      </w:pPr>
      <w:r>
        <w:rPr/>
        <w:t xml:space="preserve">This output will therefore be specifically devoted to research/assessments</w:t>
      </w:r>
      <w:r>
        <w:rPr/>
        <w:t xml:space="preserve"> </w:t>
      </w:r>
      <w:r>
        <w:rPr/>
        <w:t xml:space="preserve">to understand the sector/the status and dynamics of mineral exploration and mining activities in the sub regions particularly in Karamoja where deposits of precious minerals have been discovered but also in Acholi where oil has been discovered with the view to promote dialogue between the resident community, the investors and government and come up with solutions to sustainable mining that will ensure that the resident population benefits and to minimise conflicts.</w:t>
      </w:r>
      <w:r>
        <w:rPr/>
        <w:t xml:space="preserve"> </w:t>
      </w:r>
    </w:p>
    <w:p>
      <w:pPr>
        <w:spacing w:before="0" w:after="15"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3.1: Research/assessment of the status of mineral exploration in northern Uganda. </w:t>
      </w:r>
      <w:r>
        <w:rPr>
          <w:rFonts w:cs="Cambria" w:hAnsi="Cambria" w:eastAsia="Cambria" w:ascii="Cambria"/>
          <w:b w:val="1"/>
          <w:i w:val="1"/>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Transforming artisanal mining into sustainable mining and a tool for poverty alleviation depends on the attainment of mutually reliant objectives, such us establishing enabling environment for sustainable mining, developing mechanisms of channelling mining revenues back to mining communities,  improving the living and working conditions of miners, developing environmental sensitive mining, developing alternative livelihoods to lessen over reliance in sector, creating a platform for communication and engagement with and among key stakeholders, including mining unions,</w:t>
      </w:r>
      <w:r>
        <w:rPr/>
        <w:t xml:space="preserve"> </w:t>
      </w:r>
      <w:r>
        <w:rPr/>
        <w:t xml:space="preserve">the government, local NGOs, dealers, exporters and donor community and finally assisting the government in formulating an inclusive and investment friendly mining policy.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Many small and medium scale foreign companies are scrambling for mineral resources in Northern Uganda. As the experience has shown, without necessary internal mechanisms mining companies will risk direct confrontations with local groups, who in many cases their arrival threatens their livelihoods.  The paradox of artisanal mining in is that the very mining communities that produce considerable wealth are one of the poorest and are burdened with all the ills related to mining, such as, environmental degradation, insecurity, proliferation of HIV AIDS, cholera outbreaks, and displacement,</w:t>
      </w:r>
      <w:r>
        <w:rPr/>
        <w:t xml:space="preserve"> </w:t>
      </w:r>
      <w:r>
        <w:rPr/>
        <w:t xml:space="preserve">this intervention aims, to unlock this contradiction, by building a sustainable artisanal mining that benefits the host communities, while improving the condition of miners in Uganda. UNDP Uganda will undertake research and analysis in collaboration with the government to;</w:t>
      </w:r>
      <w:r>
        <w:rPr/>
        <w:t xml:space="preserve"> </w:t>
      </w:r>
    </w:p>
    <w:p>
      <w:pPr>
        <w:pStyle w:val="normal"/>
        <w:numPr>
          <w:ilvl w:val="0"/>
          <w:numId w:val="4"/>
        </w:numPr>
        <w:spacing w:before="0" w:after="5" w:line="268" w:lineRule="auto"/>
        <w:ind w:left="720" w:right="0" w:hanging="360"/>
      </w:pPr>
      <w:r>
        <w:rPr/>
        <w:t xml:space="preserve">identifying, how a responsible, safe and legal artisanal livelihood sector can be enacted and integrated into the overall social and development of the region; </w:t>
      </w:r>
      <w:r>
        <w:rPr>
          <w:rFonts w:cs="Cambria" w:hAnsi="Cambria" w:eastAsia="Cambria" w:ascii="Cambria"/>
          <w:b w:val="1"/>
        </w:rPr>
        <w:t xml:space="preserve"> </w:t>
      </w:r>
    </w:p>
    <w:p>
      <w:pPr>
        <w:pStyle w:val="normal"/>
        <w:numPr>
          <w:ilvl w:val="0"/>
          <w:numId w:val="4"/>
        </w:numPr>
        <w:spacing w:before="0" w:after="5" w:line="268" w:lineRule="auto"/>
        <w:ind w:left="720" w:right="0" w:hanging="360"/>
      </w:pPr>
      <w:r>
        <w:rPr/>
        <w:t xml:space="preserve">mapping of numbers of people who directly or indirectly involved in mining sector, and developing a practical recommendations for alternative livelihoods;</w:t>
      </w:r>
      <w:r>
        <w:rPr>
          <w:rFonts w:cs="Cambria" w:hAnsi="Cambria" w:eastAsia="Cambria" w:ascii="Cambria"/>
          <w:b w:val="1"/>
        </w:rPr>
        <w:t xml:space="preserve"> </w:t>
      </w:r>
    </w:p>
    <w:p>
      <w:pPr>
        <w:pStyle w:val="normal"/>
        <w:numPr>
          <w:ilvl w:val="0"/>
          <w:numId w:val="4"/>
        </w:numPr>
        <w:spacing w:before="0" w:after="5" w:line="268" w:lineRule="auto"/>
        <w:ind w:left="720" w:right="0" w:hanging="360"/>
      </w:pPr>
      <w:r>
        <w:rPr/>
        <w:t xml:space="preserve">highlighting and addressing,</w:t>
      </w:r>
      <w:r>
        <w:rPr/>
        <w:t xml:space="preserve">  </w:t>
      </w:r>
      <w:r>
        <w:rPr/>
        <w:t xml:space="preserve">the role of women and children in the mining sector and specific challenges faced by them;</w:t>
      </w:r>
      <w:r>
        <w:rPr>
          <w:rFonts w:cs="Cambria" w:hAnsi="Cambria" w:eastAsia="Cambria" w:ascii="Cambria"/>
          <w:b w:val="1"/>
        </w:rPr>
        <w:t xml:space="preserve"> </w:t>
      </w:r>
    </w:p>
    <w:p>
      <w:pPr>
        <w:pStyle w:val="normal"/>
        <w:numPr>
          <w:ilvl w:val="0"/>
          <w:numId w:val="4"/>
        </w:numPr>
        <w:spacing w:before="0" w:after="5" w:line="268" w:lineRule="auto"/>
        <w:ind w:left="720" w:right="0" w:hanging="360"/>
      </w:pPr>
      <w:r>
        <w:rPr/>
        <w:t xml:space="preserve">Looking into setting</w:t>
      </w:r>
      <w:r>
        <w:rPr/>
        <w:t xml:space="preserve">-</w:t>
      </w:r>
      <w:r>
        <w:rPr/>
        <w:t xml:space="preserve">up platform for the resolution of immediate and long</w:t>
      </w:r>
      <w:r>
        <w:rPr/>
        <w:t xml:space="preserve">-</w:t>
      </w:r>
      <w:r>
        <w:rPr/>
        <w:t xml:space="preserve">term conflicts</w:t>
      </w:r>
      <w:r>
        <w:rPr/>
        <w:t xml:space="preserve"> </w:t>
      </w:r>
    </w:p>
    <w:p>
      <w:pPr>
        <w:pStyle w:val="normal"/>
        <w:spacing w:before="0" w:after="5" w:line="268" w:lineRule="auto"/>
        <w:ind w:left="-5" w:right="0"/>
      </w:pPr>
      <w:r>
        <w:rPr/>
        <w:t xml:space="preserve">The project will commission studies to understand the status of mineral exploration in Acholi and Karamoja sub</w:t>
      </w:r>
      <w:r>
        <w:rPr/>
        <w:t xml:space="preserve">-</w:t>
      </w:r>
      <w:r>
        <w:rPr/>
        <w:t xml:space="preserve">regions and use the results to inform national policy on mining as well as help in the development of strategies for sustainable mining. </w:t>
      </w:r>
      <w:r>
        <w:rPr/>
        <w:t xml:space="preserve"> </w:t>
      </w:r>
    </w:p>
    <w:p>
      <w:pPr>
        <w:spacing w:before="0" w:after="73" w:line="259" w:lineRule="auto"/>
        <w:ind w:left="0" w:right="0" w:firstLine="0"/>
        <w:jc w:val="left"/>
      </w:pPr>
      <w:r>
        <w:rPr>
          <w:sz w:val="22"/>
        </w:rPr>
        <w:t xml:space="preserve"> </w:t>
      </w:r>
    </w:p>
    <w:p>
      <w:pPr>
        <w:pStyle w:val="heading2"/>
        <w:spacing w:before="0" w:after="5" w:line="267" w:lineRule="auto"/>
        <w:ind w:left="-5"/>
        <w:jc w:val="both"/>
      </w:pPr>
      <w:bookmarkStart w:id="179048" w:name="_Toc179048"/>
      <w:r>
        <w:rPr>
          <w:rFonts w:cs="Cambria" w:hAnsi="Cambria" w:eastAsia="Cambria" w:ascii="Cambria"/>
          <w:i w:val="1"/>
          <w:color w:val="000000"/>
          <w:sz w:val="28"/>
        </w:rPr>
        <w:t xml:space="preserve">Output </w:t>
      </w:r>
      <w:r>
        <w:rPr>
          <w:rFonts w:cs="Cambria" w:hAnsi="Cambria" w:eastAsia="Cambria" w:ascii="Cambria"/>
          <w:i w:val="1"/>
          <w:color w:val="000000"/>
          <w:sz w:val="28"/>
        </w:rPr>
        <w:t xml:space="preserve">4</w:t>
      </w:r>
      <w:r>
        <w:rPr>
          <w:rFonts w:cs="Cambria" w:hAnsi="Cambria" w:eastAsia="Cambria" w:ascii="Cambria"/>
          <w:i w:val="1"/>
          <w:color w:val="000000"/>
          <w:sz w:val="28"/>
        </w:rPr>
        <w:t xml:space="preserve">: Capacity</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of local authorities and civil society strengthened</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in civic engagement, coordination, and planning</w:t>
      </w:r>
      <w:r>
        <w:rPr>
          <w:rFonts w:cs="Cambria" w:hAnsi="Cambria" w:eastAsia="Cambria" w:ascii="Cambria"/>
          <w:i w:val="1"/>
          <w:color w:val="000000"/>
          <w:sz w:val="28"/>
        </w:rPr>
        <w:t xml:space="preserve"> </w:t>
      </w:r>
      <w:r>
        <w:rPr>
          <w:rFonts w:cs="Cambria" w:hAnsi="Cambria" w:eastAsia="Cambria" w:ascii="Cambria"/>
          <w:i w:val="1"/>
          <w:color w:val="000000"/>
          <w:sz w:val="28"/>
        </w:rPr>
        <w:t xml:space="preserve">for economic recovery and peace consolidation</w:t>
      </w:r>
      <w:r>
        <w:rPr>
          <w:rFonts w:cs="Cambria" w:hAnsi="Cambria" w:eastAsia="Cambria" w:ascii="Cambria"/>
          <w:b w:val="0"/>
          <w:i w:val="1"/>
          <w:color w:val="000000"/>
          <w:sz w:val="28"/>
        </w:rPr>
        <w:t xml:space="preserve"> </w:t>
      </w:r>
      <w:bookmarkEnd w:id="179048"/>
    </w:p>
    <w:p>
      <w:pPr>
        <w:spacing w:before="0" w:after="35" w:line="259" w:lineRule="auto"/>
        <w:ind w:left="0" w:right="0" w:firstLine="0"/>
        <w:jc w:val="left"/>
      </w:pPr>
      <w:r>
        <w:rPr>
          <w:rFonts w:cs="Cambria" w:hAnsi="Cambria" w:eastAsia="Cambria" w:ascii="Cambria"/>
          <w:i w:val="1"/>
          <w:sz w:val="22"/>
        </w:rPr>
        <w:t xml:space="preserve"> </w:t>
      </w:r>
    </w:p>
    <w:p>
      <w:pPr>
        <w:pStyle w:val="normal"/>
        <w:spacing w:before="0" w:after="31" w:line="268" w:lineRule="auto"/>
        <w:ind w:left="-5" w:right="0"/>
      </w:pPr>
      <w:r>
        <w:rPr/>
        <w:t xml:space="preserve">The capacity of the PRDP local institutions is insufficient for addressing</w:t>
      </w:r>
      <w:r>
        <w:rPr/>
        <w:t xml:space="preserve"> </w:t>
      </w:r>
      <w:r>
        <w:rPr/>
        <w:t xml:space="preserve">the challenges outlined in the context</w:t>
      </w:r>
      <w:r>
        <w:rPr/>
        <w:t xml:space="preserve"> </w:t>
      </w:r>
      <w:r>
        <w:rPr/>
        <w:t xml:space="preserve">analysis and to take economic recovery (output 2) and peaceful dispute resolution forward (output 1). While local government administrations</w:t>
      </w:r>
      <w:r>
        <w:rPr/>
        <w:t xml:space="preserve"> </w:t>
      </w:r>
      <w:r>
        <w:rPr/>
        <w:t xml:space="preserve">are much more firmly embedded in the region than they were at the start of PRDP, coverage is not complete in all areas</w:t>
      </w:r>
      <w:r>
        <w:rPr>
          <w:vertAlign w:val="superscript"/>
        </w:rPr>
        <w:footnoteReference w:id="48"/>
      </w:r>
      <w:r>
        <w:rPr/>
        <w:t xml:space="preserve">. Where structures do exist their effectiveness in delivering services to local communities continues to be limited by physical, technical and human resource capacity constraints</w:t>
      </w:r>
      <w:r>
        <w:rPr>
          <w:vertAlign w:val="superscript"/>
        </w:rPr>
        <w:footnoteReference w:id="49"/>
      </w:r>
      <w:r>
        <w:rPr/>
        <w:t xml:space="preserve">.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Under the Government of Uganda’s decentralization policy, there are a number of functions and responsibilities devolved to elected councils. These include the administration of justice (Local Councils Courts), development planning and budgeting</w:t>
      </w:r>
      <w:r>
        <w:rPr/>
        <w:t xml:space="preserve"> </w:t>
      </w:r>
      <w:r>
        <w:rPr/>
        <w:t xml:space="preserve">and provision of basic social services such as education, health, water, agricultural extension, and community development among others. The decentralization policy</w:t>
      </w:r>
      <w:r>
        <w:rPr/>
        <w:t xml:space="preserve"> </w:t>
      </w:r>
      <w:r>
        <w:rPr/>
        <w:t xml:space="preserve">resulted in steep increase of Districts (currently 112) that have</w:t>
      </w:r>
      <w:r>
        <w:rPr/>
        <w:t xml:space="preserve"> </w:t>
      </w:r>
      <w:r>
        <w:rPr/>
        <w:t xml:space="preserve">adversely affected the capacity of the institutions t</w:t>
      </w:r>
      <w:r>
        <w:rPr/>
        <w:t xml:space="preserve">o </w:t>
      </w:r>
      <w:r>
        <w:rPr/>
        <w:t xml:space="preserve">deliver services.  As it were, creation of new creates capacity gaps in both the new and old districts. In the old districts, part of the technical team always moves to start the new district and often their positions are not filled. In the new districts, most of the members of the technical team that open the districts often comprise of people who are in acting capacities and it usually takes very long</w:t>
      </w:r>
      <w:r>
        <w:rPr/>
        <w:t xml:space="preserve"> </w:t>
      </w:r>
      <w:r>
        <w:rPr/>
        <w:t xml:space="preserve">to fill these positions with substantive staff. In a nutshell, this incapacitates service delivery in both the old and the new districts.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initial assessment of capacity gaps in local governments in the targeted districts reveals</w:t>
      </w:r>
      <w:r>
        <w:rPr/>
        <w:t xml:space="preserve"> </w:t>
      </w:r>
      <w:r>
        <w:rPr/>
        <w:t xml:space="preserve">that they lack capacity in the following areas:</w:t>
      </w:r>
      <w:r>
        <w:rPr/>
        <w:t xml:space="preserve"> </w:t>
      </w:r>
    </w:p>
    <w:p>
      <w:pPr>
        <w:pStyle w:val="normal"/>
        <w:numPr>
          <w:ilvl w:val="0"/>
          <w:numId w:val="5"/>
        </w:numPr>
        <w:spacing w:before="0" w:after="5" w:line="268" w:lineRule="auto"/>
        <w:ind w:left="720" w:right="0" w:hanging="360"/>
      </w:pPr>
      <w:r>
        <w:rPr/>
        <w:t xml:space="preserve">Coordination of development partners: Most districts especially in Karamoja and Acholi where there are a lot of interventions by international NGOs are not aware of what and where most of them are working. This has the potential of creating overlaps and duplication</w:t>
      </w:r>
      <w:r>
        <w:rPr/>
        <w:t xml:space="preserve"> </w:t>
      </w:r>
      <w:r>
        <w:rPr/>
        <w:t xml:space="preserve">of services. It is imperative that development partners’ activities</w:t>
      </w:r>
      <w:r>
        <w:rPr/>
        <w:t xml:space="preserve"> </w:t>
      </w:r>
      <w:r>
        <w:rPr/>
        <w:t xml:space="preserve">be well coordinated so that equity in resource allocation and development is realised.</w:t>
      </w:r>
      <w:r>
        <w:rPr/>
        <w:t xml:space="preserve"> </w:t>
      </w:r>
    </w:p>
    <w:p>
      <w:pPr>
        <w:pStyle w:val="normal"/>
        <w:numPr>
          <w:ilvl w:val="0"/>
          <w:numId w:val="5"/>
        </w:numPr>
        <w:spacing w:before="0" w:after="5" w:line="268" w:lineRule="auto"/>
        <w:ind w:left="720" w:right="0" w:hanging="360"/>
      </w:pPr>
      <w:r>
        <w:rPr/>
        <w:t xml:space="preserve">Districts lack infrastructure and capacity for data collection and management. The planning units</w:t>
      </w:r>
      <w:r>
        <w:rPr/>
        <w:t xml:space="preserve"> </w:t>
      </w:r>
      <w:r>
        <w:rPr/>
        <w:t xml:space="preserve">in the districts are</w:t>
      </w:r>
      <w:r>
        <w:rPr/>
        <w:t xml:space="preserve"> </w:t>
      </w:r>
      <w:r>
        <w:rPr/>
        <w:t xml:space="preserve">dependent</w:t>
      </w:r>
      <w:r>
        <w:rPr/>
        <w:t xml:space="preserve"> </w:t>
      </w:r>
      <w:r>
        <w:rPr/>
        <w:t xml:space="preserve">on abstract statistics which are rather</w:t>
      </w:r>
      <w:r>
        <w:rPr/>
        <w:t xml:space="preserve"> </w:t>
      </w:r>
      <w:r>
        <w:rPr/>
        <w:t xml:space="preserve">subjective in development planning</w:t>
      </w:r>
      <w:r>
        <w:rPr/>
        <w:t xml:space="preserve">.</w:t>
      </w:r>
      <w:r>
        <w:rPr/>
        <w:t xml:space="preserve"> </w:t>
      </w:r>
      <w:r>
        <w:rPr/>
        <w:t xml:space="preserve">In most new districts, technical capacity for planning is lacking largely because the staff are new to their jobs or are just technically not oriented.</w:t>
      </w:r>
      <w:r>
        <w:rPr/>
        <w:t xml:space="preserve"> </w:t>
      </w:r>
    </w:p>
    <w:p>
      <w:pPr>
        <w:pStyle w:val="normal"/>
        <w:numPr>
          <w:ilvl w:val="0"/>
          <w:numId w:val="5"/>
        </w:numPr>
        <w:spacing w:before="0" w:after="5" w:line="268" w:lineRule="auto"/>
        <w:ind w:left="720" w:right="0" w:hanging="360"/>
      </w:pPr>
      <w:r>
        <w:rPr/>
        <w:t xml:space="preserve">The planning structures at different levels lack technical capacity</w:t>
      </w:r>
      <w:r>
        <w:rPr/>
        <w:t xml:space="preserve">.</w:t>
      </w:r>
      <w:r>
        <w:rPr/>
        <w:t xml:space="preserve"> </w:t>
      </w:r>
      <w:r>
        <w:rPr/>
        <w:t xml:space="preserve">The Parish Development Committees (PDC) and the Parish Chiefs that facilitate development planning community level have either been newly recruited or have not undergone any capacity building training in development planning.</w:t>
      </w:r>
      <w:r>
        <w:rPr/>
        <w:t xml:space="preserve"> </w:t>
      </w:r>
      <w:r>
        <w:rPr/>
        <w:t xml:space="preserve">As a result the quality of plans submitted to the districts is</w:t>
      </w:r>
      <w:r>
        <w:rPr/>
        <w:t xml:space="preserve"> </w:t>
      </w:r>
      <w:r>
        <w:rPr/>
        <w:t xml:space="preserve">not very good. Other important statutory structures at the grassroots such as health unit management committees, school management committees lack capacity.</w:t>
      </w:r>
      <w:r>
        <w:rPr/>
        <w:t xml:space="preserve"> </w:t>
      </w:r>
    </w:p>
    <w:p>
      <w:pPr>
        <w:pStyle w:val="normal"/>
        <w:numPr>
          <w:ilvl w:val="0"/>
          <w:numId w:val="5"/>
        </w:numPr>
        <w:spacing w:before="0" w:after="5" w:line="268" w:lineRule="auto"/>
        <w:ind w:left="720" w:right="0" w:hanging="360"/>
      </w:pPr>
      <w:r>
        <w:rPr/>
        <w:t xml:space="preserve">Districts lack capacity to monitor project implementation because of the absence of or inadequate logistical</w:t>
      </w:r>
      <w:r>
        <w:rPr/>
        <w:t xml:space="preserve"> </w:t>
      </w:r>
      <w:r>
        <w:rPr/>
        <w:t xml:space="preserve">requirements such as motorcycles and vehicles. The newly created districts are the most lacking</w:t>
      </w:r>
      <w:r>
        <w:rPr/>
        <w:t xml:space="preserve"> </w:t>
      </w:r>
      <w:r>
        <w:rPr/>
        <w:t xml:space="preserve">both technically and logistically because of reasons already alluded to in the analysis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Of note are the local institutions responsible for land administration that is</w:t>
      </w:r>
      <w:r>
        <w:rPr/>
        <w:t xml:space="preserve"> </w:t>
      </w:r>
      <w:r>
        <w:rPr/>
        <w:t xml:space="preserve">weak and suffering from inadequate or absent legislation and overlapping mandates</w:t>
      </w:r>
      <w:r>
        <w:rPr>
          <w:vertAlign w:val="superscript"/>
        </w:rPr>
        <w:footnoteReference w:id="50"/>
      </w:r>
      <w:r>
        <w:rPr/>
        <w:t xml:space="preserve">. In a number of cases the local governments are party in land disputes with the community themselves. For instance, where local authorities claim to be the owner of the land despite claims of local population to the contrary and sold the land to private investors</w:t>
      </w:r>
      <w:r>
        <w:rPr>
          <w:vertAlign w:val="superscript"/>
        </w:rPr>
        <w:footnoteReference w:id="51"/>
      </w:r>
      <w:r>
        <w:rPr/>
        <w:t xml:space="preserve">.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Over the past years, the emergence of CSOs platforms represented an opportunity for engagement with the government on strategic issues, yet their space is rather constrained by actions on the ground.  The NGO law</w:t>
      </w:r>
      <w:r>
        <w:rPr>
          <w:vertAlign w:val="superscript"/>
        </w:rPr>
        <w:t xml:space="preserve">45</w:t>
      </w:r>
      <w:r>
        <w:rPr/>
        <w:t xml:space="preserve"> </w:t>
      </w:r>
      <w:r>
        <w:rPr/>
        <w:t xml:space="preserve">does not provide an enabling environment for effective engagement with the various government institutions, thus create space for</w:t>
      </w:r>
      <w:r>
        <w:rPr/>
        <w:t xml:space="preserve"> </w:t>
      </w:r>
      <w:r>
        <w:rPr/>
        <w:t xml:space="preserve">various interpretation of “cooperation and engagement”. Additionally, most CSOs are donors</w:t>
      </w:r>
      <w:r>
        <w:rPr/>
        <w:t xml:space="preserve">-</w:t>
      </w:r>
      <w:r>
        <w:rPr/>
        <w:t xml:space="preserve">dependent, thus their accountability “favours” donors over that of the communities they serve. CSOs in Uganda are important actors</w:t>
      </w:r>
      <w:r>
        <w:rPr/>
        <w:t xml:space="preserve"> </w:t>
      </w:r>
      <w:r>
        <w:rPr/>
        <w:t xml:space="preserve">in establishing a space of trust with the Government towards inclusive development and social cohesion while at the same time take responsibility as economic actors to contribute to local development and services delivery in a conflict sensitive manner.  </w:t>
      </w:r>
      <w:r>
        <w:rPr/>
        <w:t xml:space="preserve"> </w:t>
      </w:r>
    </w:p>
    <w:p>
      <w:pPr>
        <w:spacing w:before="0" w:after="15" w:line="259" w:lineRule="auto"/>
        <w:ind w:left="0" w:right="0" w:firstLine="0"/>
        <w:jc w:val="left"/>
      </w:pPr>
      <w:r>
        <w:rPr/>
        <w:t xml:space="preserve"> </w:t>
      </w:r>
    </w:p>
    <w:p>
      <w:pPr>
        <w:pStyle w:val="normal"/>
        <w:numPr>
          <w:ilvl w:val="0"/>
          <w:numId w:val="6"/>
        </w:numPr>
        <w:spacing w:before="0" w:after="5" w:line="268" w:lineRule="auto"/>
        <w:ind w:left="720" w:right="0" w:hanging="360"/>
      </w:pPr>
      <w:r>
        <w:rPr/>
        <w:t xml:space="preserve">Coordination of development partners: Most districts especially in Karamoja and Acholi where there are a lot of interventions by international NGOs are not aware of what and where most of them are working. This has the potential of creating </w:t>
      </w:r>
      <w:r>
        <w:rPr/>
        <w:t xml:space="preserve">overlaps and duplication of services. It is imperative that development partners’ activities be well coordinated so that equity in resource allocation and development is realised.</w:t>
      </w:r>
      <w:r>
        <w:rPr/>
        <w:t xml:space="preserve"> </w:t>
      </w:r>
    </w:p>
    <w:p>
      <w:pPr>
        <w:pStyle w:val="normal"/>
        <w:numPr>
          <w:ilvl w:val="0"/>
          <w:numId w:val="6"/>
        </w:numPr>
        <w:spacing w:before="0" w:after="5" w:line="268" w:lineRule="auto"/>
        <w:ind w:left="720" w:right="0" w:hanging="360"/>
      </w:pPr>
      <w:r>
        <w:rPr/>
        <w:t xml:space="preserve">Districts lack infrastructure and capacity for data collection and management. The planning units in the districts are dependent on abstract statistics which are rather subjective in development planning.</w:t>
      </w:r>
      <w:r>
        <w:rPr/>
        <w:t xml:space="preserve"> </w:t>
      </w:r>
    </w:p>
    <w:p>
      <w:pPr>
        <w:pStyle w:val="normal"/>
        <w:numPr>
          <w:ilvl w:val="0"/>
          <w:numId w:val="6"/>
        </w:numPr>
        <w:spacing w:before="0" w:after="5" w:line="268" w:lineRule="auto"/>
        <w:ind w:left="720" w:right="0" w:hanging="360"/>
      </w:pPr>
      <w:r>
        <w:rPr/>
        <w:t xml:space="preserve">The planning structures at different levels lack technical capacity. The Parish Development Committees (PDC) and the Parish Chiefs that facilitate development planning community level have either</w:t>
      </w:r>
      <w:r>
        <w:rPr/>
        <w:t xml:space="preserve"> </w:t>
      </w:r>
      <w:r>
        <w:rPr/>
        <w:t xml:space="preserve">been newly recruited or have not undergone any capacity building training in development planning. As a result the quality of plans submitted to the districts are not very good</w:t>
      </w:r>
      <w:r>
        <w:rPr/>
        <w:t xml:space="preserve"> </w:t>
      </w:r>
    </w:p>
    <w:p>
      <w:pPr>
        <w:pStyle w:val="normal"/>
        <w:numPr>
          <w:ilvl w:val="0"/>
          <w:numId w:val="6"/>
        </w:numPr>
        <w:spacing w:before="0" w:after="5" w:line="268" w:lineRule="auto"/>
        <w:ind w:left="720" w:right="0" w:hanging="360"/>
      </w:pPr>
      <w:r>
        <w:rPr/>
        <w:t xml:space="preserve">Districts lack capacity to monitor project implementation because of the absence of or inadequate logistical requirements such as motorcycles and vehicles. The newly created districts are the most lacking both technically and logistically because of reasons already alluded to in the analysis</w:t>
      </w:r>
      <w:r>
        <w:rPr/>
        <w:t xml:space="preserve"> </w:t>
      </w:r>
    </w:p>
    <w:p>
      <w:pPr>
        <w:spacing w:before="0" w:after="20"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w:t>
      </w:r>
      <w:r>
        <w:rPr>
          <w:rFonts w:cs="Cambria" w:hAnsi="Cambria" w:eastAsia="Cambria" w:ascii="Cambria"/>
          <w:b w:val="1"/>
          <w:i w:val="1"/>
        </w:rPr>
        <w:t xml:space="preserve">4</w:t>
      </w:r>
      <w:r>
        <w:rPr>
          <w:rFonts w:cs="Cambria" w:hAnsi="Cambria" w:eastAsia="Cambria" w:ascii="Cambria"/>
          <w:b w:val="1"/>
          <w:i w:val="1"/>
        </w:rPr>
        <w:t xml:space="preserve">.1. Improved delivery of basic services, including participatory planning systems</w:t>
      </w:r>
      <w:r>
        <w:rPr>
          <w:rFonts w:cs="Cambria" w:hAnsi="Cambria" w:eastAsia="Cambria" w:ascii="Cambria"/>
          <w:b w:val="1"/>
          <w:i w:val="1"/>
        </w:rPr>
        <w:t xml:space="preserve"> </w:t>
      </w:r>
    </w:p>
    <w:p>
      <w:pPr>
        <w:pStyle w:val="normal"/>
        <w:spacing w:before="0" w:after="5" w:line="268" w:lineRule="auto"/>
        <w:ind w:left="-5" w:right="0"/>
      </w:pPr>
      <w:r>
        <w:rPr/>
        <w:t xml:space="preserve">Activities under output </w:t>
      </w:r>
      <w:r>
        <w:rPr/>
        <w:t xml:space="preserve">3</w:t>
      </w:r>
      <w:r>
        <w:rPr/>
        <w:t xml:space="preserve"> </w:t>
      </w:r>
      <w:r>
        <w:rPr/>
        <w:t xml:space="preserve">will focus on the capacity development of local government authorities to coordinate and ensure service delivery in their District.  Firstly an assessment of the capacity of the</w:t>
      </w:r>
      <w:r>
        <w:rPr/>
        <w:t xml:space="preserve"> </w:t>
      </w:r>
      <w:r>
        <w:rPr/>
        <w:t xml:space="preserve">sub</w:t>
      </w:r>
      <w:r>
        <w:rPr/>
        <w:t xml:space="preserve">-</w:t>
      </w:r>
      <w:r>
        <w:rPr/>
        <w:t xml:space="preserve">county and District authorities will be carried out in terms of human capacity, systems and infrastructure looking at their roles of coordinating service delivery including public financial and procurement management and public</w:t>
      </w:r>
      <w:r>
        <w:rPr/>
        <w:t xml:space="preserve"/>
      </w:r>
      <w:r>
        <w:rPr/>
        <w:t xml:space="preserve">private partnerships.  The assessment will identify the capacities that need to be addressed with a focus on sustainable service delivery and the promotion of economic activities.  Capacity development of local government authorities is required in terms of both ensuring participatory planning and coordination capacity with all local stakeholders to allow specifically for the implementation of economic recovery service delivery, land governance and local justice services.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For land issues, the research on land conflicts in</w:t>
      </w:r>
      <w:r>
        <w:rPr/>
        <w:t xml:space="preserve"> </w:t>
      </w:r>
      <w:r>
        <w:rPr/>
        <w:t xml:space="preserve">Acholi conducted by the United Nations Peacebuilding Programme</w:t>
      </w:r>
      <w:r>
        <w:rPr>
          <w:rFonts w:cs="Cambria" w:hAnsi="Cambria" w:eastAsia="Cambria" w:ascii="Cambria"/>
          <w:i w:val="1"/>
          <w:vertAlign w:val="superscript"/>
        </w:rPr>
        <w:footnoteReference w:id="52"/>
      </w:r>
      <w:r>
        <w:rPr/>
        <w:t xml:space="preserve"> </w:t>
      </w:r>
      <w:r>
        <w:rPr/>
        <w:t xml:space="preserve">identified weak land administration systems and ‘considerable confusion concerning procedures, legislation and institutional bodies.’ This in addition to the weak capacity of the justice and security institutions to address land issues (see output 1.2), constitutes a land governance framework. To that end, in the target areas UNDP will support capacity development assessments and provide capacity development support to the relevant local government institutions that are responsible for land administration or are otherwise engaged in land issues. </w:t>
      </w:r>
      <w:r>
        <w:rPr/>
        <w:t xml:space="preserve"> </w:t>
      </w:r>
    </w:p>
    <w:p>
      <w:pPr>
        <w:spacing w:before="0" w:after="15" w:line="259" w:lineRule="auto"/>
        <w:ind w:left="0" w:right="0" w:firstLine="0"/>
        <w:jc w:val="left"/>
      </w:pPr>
      <w:r>
        <w:rPr/>
        <w:t xml:space="preserve"> </w:t>
      </w:r>
    </w:p>
    <w:p>
      <w:pPr>
        <w:pStyle w:val="normal"/>
        <w:spacing w:before="0" w:after="27" w:line="268" w:lineRule="auto"/>
        <w:ind w:left="-5" w:right="0"/>
      </w:pPr>
      <w:r>
        <w:rPr/>
        <w:t xml:space="preserve">UNDP will also seek to bring together the various players engaged in land issues in an effort to share information and raise awareness of each’ others engagement, mandates and functions. It will support JLOS in the piloting of District Land Tribunals in the target areas</w:t>
      </w:r>
      <w:r>
        <w:rPr>
          <w:vertAlign w:val="superscript"/>
        </w:rPr>
        <w:footnoteReference w:id="53"/>
      </w:r>
      <w:r>
        <w:rPr/>
        <w:t xml:space="preserve">.</w:t>
      </w:r>
      <w:r>
        <w:rPr/>
        <w:t xml:space="preserve"> </w:t>
      </w:r>
    </w:p>
    <w:p>
      <w:pPr>
        <w:spacing w:before="0" w:after="15" w:line="259" w:lineRule="auto"/>
        <w:ind w:left="0" w:right="0" w:firstLine="0"/>
        <w:jc w:val="left"/>
      </w:pPr>
      <w:r>
        <w:rPr>
          <w:rFonts w:cs="Cambria" w:hAnsi="Cambria" w:eastAsia="Cambria" w:ascii="Cambria"/>
          <w:b w:val="1"/>
        </w:rPr>
        <w:t xml:space="preserve"> </w:t>
      </w:r>
    </w:p>
    <w:p>
      <w:pPr>
        <w:spacing w:before="0" w:after="5" w:line="268" w:lineRule="auto"/>
        <w:ind w:left="-5" w:right="0"/>
      </w:pPr>
      <w:r>
        <w:rPr>
          <w:rFonts w:cs="Cambria" w:hAnsi="Cambria" w:eastAsia="Cambria" w:ascii="Cambria"/>
          <w:b w:val="1"/>
          <w:i w:val="1"/>
        </w:rPr>
        <w:t xml:space="preserve">Activity result 4.2: Improved capacity of selected local governments to collect and manage data for development planning</w:t>
      </w:r>
      <w:r>
        <w:rPr>
          <w:rFonts w:cs="Cambria" w:hAnsi="Cambria" w:eastAsia="Cambria" w:ascii="Cambria"/>
          <w:b w:val="1"/>
          <w:i w:val="1"/>
        </w:rPr>
        <w:t xml:space="preserve"> </w:t>
      </w:r>
    </w:p>
    <w:p>
      <w:pPr>
        <w:pStyle w:val="normal"/>
        <w:spacing w:before="0" w:after="5" w:line="268" w:lineRule="auto"/>
        <w:ind w:left="-5" w:right="0"/>
      </w:pPr>
      <w:r>
        <w:rPr/>
        <w:t xml:space="preserve">The planning units in the target districts are dependent on abstract statistics which are rather inaccurate and cannot adequately respond to the needs of the target community. Districts lack information</w:t>
      </w:r>
      <w:r>
        <w:rPr/>
        <w:t xml:space="preserve"> </w:t>
      </w:r>
      <w:r>
        <w:rPr/>
        <w:t xml:space="preserve">infrastructure</w:t>
      </w:r>
      <w:r>
        <w:rPr/>
        <w:t xml:space="preserve"> </w:t>
      </w:r>
      <w:r>
        <w:rPr/>
        <w:t xml:space="preserve">and the skills for data collection and management.</w:t>
      </w:r>
      <w:r>
        <w:rPr/>
        <w:t xml:space="preserve"> </w:t>
      </w:r>
      <w:r>
        <w:rPr/>
        <w:t xml:space="preserve">The project will provide the infrastructural needs and build human capacity for data collection and management</w:t>
      </w:r>
      <w:r>
        <w:rPr/>
        <w:t xml:space="preserve"> </w:t>
      </w:r>
      <w:r>
        <w:rPr/>
        <w:t xml:space="preserve">in all the targeted districts</w:t>
      </w:r>
      <w:r>
        <w:rPr/>
        <w:t xml:space="preserve">.</w:t>
      </w:r>
      <w:r>
        <w:rPr>
          <w:rFonts w:cs="Cambria" w:hAnsi="Cambria" w:eastAsia="Cambria" w:ascii="Cambria"/>
          <w:b w:val="1"/>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i w:val="1"/>
        </w:rPr>
        <w:t xml:space="preserve">Activity result 4.3: Improved planning and budgeting at lower levels of government. </w:t>
      </w:r>
      <w:r>
        <w:rPr>
          <w:rFonts w:cs="Cambria" w:hAnsi="Cambria" w:eastAsia="Cambria" w:ascii="Cambria"/>
          <w:b w:val="1"/>
          <w:i w:val="1"/>
        </w:rPr>
        <w:t xml:space="preserve"> </w:t>
      </w:r>
      <w:r>
        <w:rPr/>
        <w:t xml:space="preserve">As already discussed, the</w:t>
      </w:r>
      <w:r>
        <w:rPr/>
        <w:t xml:space="preserve"> </w:t>
      </w:r>
      <w:r>
        <w:rPr/>
        <w:t xml:space="preserve">creation of new districts came with its challenges particularly the human resource capacity. In districts where human resource capacity had been developed, creation of new districts meant that the capacity must be shared. The new districts move with part of the staff from the mother districts and this often leaves gaps to be filled hence affecting quality of planning and budgeting. Districts also recruit personnel which due to budget constraints are not adequately inducted. The recent creation of districts</w:t>
      </w:r>
      <w:r>
        <w:rPr/>
        <w:t xml:space="preserve"> </w:t>
      </w:r>
      <w:r>
        <w:rPr/>
        <w:t xml:space="preserve">led to increased number of sub counties and parishes which are manned by sub county and parish chiefs. There also exist Parish development committees that facilitate development planning at village level. However, many of these do not have capacity to carry out quality development planning and budgeting.</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In addition, the target districts indicated the need to strengthen capacity of the Health Centre Management Committee and School Management Committee because government have since not provided resources to orient them to their role and responsibilities.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project will build capacity of structures at different levels of local government. Focus will be put on strengthening capacity of the Parish Chiefs, Parish Development Committee members (PDC), Health Unit Management Committees (HUMC), and School Management Committees (SMC) to ensure effective governance and improvement in the quality of planning and budgeting.</w:t>
      </w:r>
      <w:r>
        <w:rPr/>
        <w:t xml:space="preserve"> </w:t>
      </w:r>
    </w:p>
    <w:p>
      <w:pPr>
        <w:spacing w:before="0" w:after="15" w:line="259" w:lineRule="auto"/>
        <w:ind w:left="0" w:right="0" w:firstLine="0"/>
        <w:jc w:val="left"/>
      </w:pPr>
      <w:r>
        <w:rPr>
          <w:rFonts w:cs="Cambria" w:hAnsi="Cambria" w:eastAsia="Cambria" w:ascii="Cambria"/>
          <w:b w:val="1"/>
          <w:i w:val="1"/>
        </w:rPr>
        <w:t xml:space="preserve"> </w:t>
      </w:r>
    </w:p>
    <w:p>
      <w:pPr>
        <w:spacing w:before="0" w:after="20" w:line="259" w:lineRule="auto"/>
        <w:ind w:left="0" w:right="0" w:firstLine="0"/>
        <w:jc w:val="left"/>
      </w:pPr>
      <w:r>
        <w:rPr>
          <w:rFonts w:cs="Cambria" w:hAnsi="Cambria" w:eastAsia="Cambria" w:ascii="Cambria"/>
          <w:b w:val="1"/>
          <w:i w:val="1"/>
        </w:rPr>
        <w:t xml:space="preserve"> </w:t>
      </w:r>
    </w:p>
    <w:p>
      <w:pPr>
        <w:spacing w:before="0" w:after="0" w:line="259" w:lineRule="auto"/>
        <w:ind w:left="0" w:right="0" w:firstLine="0"/>
        <w:jc w:val="left"/>
      </w:pPr>
      <w:r>
        <w:rPr>
          <w:rFonts w:cs="Cambria" w:hAnsi="Cambria" w:eastAsia="Cambria" w:ascii="Cambria"/>
          <w:b w:val="1"/>
          <w:i w:val="1"/>
        </w:rPr>
        <w:t xml:space="preserve"> </w:t>
      </w:r>
    </w:p>
    <w:p>
      <w:pPr>
        <w:spacing w:before="0" w:after="5" w:line="268" w:lineRule="auto"/>
        <w:ind w:left="-5" w:right="0"/>
      </w:pPr>
      <w:r>
        <w:rPr>
          <w:rFonts w:cs="Cambria" w:hAnsi="Cambria" w:eastAsia="Cambria" w:ascii="Cambria"/>
          <w:b w:val="1"/>
          <w:i w:val="1"/>
        </w:rPr>
        <w:t xml:space="preserve">Activity result </w:t>
      </w:r>
      <w:r>
        <w:rPr>
          <w:rFonts w:cs="Cambria" w:hAnsi="Cambria" w:eastAsia="Cambria" w:ascii="Cambria"/>
          <w:b w:val="1"/>
          <w:i w:val="1"/>
        </w:rPr>
        <w:t xml:space="preserve">4.4:</w:t>
      </w:r>
      <w:r>
        <w:rPr>
          <w:rFonts w:cs="Cambria" w:hAnsi="Cambria" w:eastAsia="Cambria" w:ascii="Cambria"/>
          <w:b w:val="1"/>
          <w:i w:val="1"/>
        </w:rPr>
        <w:t xml:space="preserve"> </w:t>
      </w:r>
      <w:r>
        <w:rPr>
          <w:rFonts w:cs="Cambria" w:hAnsi="Cambria" w:eastAsia="Cambria" w:ascii="Cambria"/>
          <w:b w:val="1"/>
          <w:i w:val="1"/>
        </w:rPr>
        <w:t xml:space="preserve">Increased capacity of the districts to monitor the implementation of development projects.</w:t>
      </w:r>
      <w:r>
        <w:rPr>
          <w:rFonts w:cs="Cambria" w:hAnsi="Cambria" w:eastAsia="Cambria" w:ascii="Cambria"/>
          <w:b w:val="1"/>
          <w:i w:val="1"/>
        </w:rPr>
        <w:t xml:space="preserve"> </w:t>
      </w:r>
    </w:p>
    <w:p>
      <w:pPr>
        <w:pStyle w:val="normal"/>
        <w:spacing w:before="0" w:after="5" w:line="268" w:lineRule="auto"/>
        <w:ind w:left="-5" w:right="0"/>
      </w:pPr>
      <w:r>
        <w:rPr/>
        <w:t xml:space="preserve">Across the targeted districts, there has been inadequate monitoring and evaluation of development interventions. The districts have expressed their inability to monitor development intervention because of inadequate logistics and facilitation.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t xml:space="preserve">The project will provide means of transport to facilitate movement of staff for monitoring purposes. More attention will be paid to the newly created districts. In addition, the project will also build technical capacity of staff within the districts in monitoring and evaluation.</w:t>
      </w:r>
      <w:r>
        <w:rPr/>
        <w:t xml:space="preserve"> </w:t>
      </w:r>
    </w:p>
    <w:p>
      <w:pPr>
        <w:spacing w:before="0" w:after="15" w:line="259" w:lineRule="auto"/>
        <w:ind w:left="0" w:right="0" w:firstLine="0"/>
        <w:jc w:val="left"/>
      </w:pPr>
      <w:r>
        <w:rPr/>
        <w:t xml:space="preserve"> </w:t>
      </w:r>
    </w:p>
    <w:p>
      <w:pPr>
        <w:spacing w:before="0" w:after="5" w:line="268" w:lineRule="auto"/>
        <w:ind w:left="-5" w:right="0"/>
      </w:pPr>
      <w:r>
        <w:rPr>
          <w:rFonts w:cs="Cambria" w:hAnsi="Cambria" w:eastAsia="Cambria" w:ascii="Cambria"/>
          <w:b w:val="1"/>
          <w:i w:val="1"/>
        </w:rPr>
        <w:t xml:space="preserve">Activity result </w:t>
      </w:r>
      <w:r>
        <w:rPr>
          <w:rFonts w:cs="Cambria" w:hAnsi="Cambria" w:eastAsia="Cambria" w:ascii="Cambria"/>
          <w:b w:val="1"/>
          <w:i w:val="1"/>
        </w:rPr>
        <w:t xml:space="preserve">4.5:</w:t>
      </w:r>
      <w:r>
        <w:rPr>
          <w:rFonts w:cs="Cambria" w:hAnsi="Cambria" w:eastAsia="Cambria" w:ascii="Cambria"/>
          <w:b w:val="1"/>
          <w:i w:val="1"/>
        </w:rPr>
        <w:t xml:space="preserve"> </w:t>
      </w:r>
      <w:r>
        <w:rPr>
          <w:rFonts w:cs="Cambria" w:hAnsi="Cambria" w:eastAsia="Cambria" w:ascii="Cambria"/>
          <w:b w:val="1"/>
          <w:i w:val="1"/>
        </w:rPr>
        <w:t xml:space="preserve">Improved participation of the beneficiaries in development planning</w:t>
      </w:r>
      <w:r>
        <w:rPr>
          <w:rFonts w:cs="Cambria" w:hAnsi="Cambria" w:eastAsia="Cambria" w:ascii="Cambria"/>
          <w:b w:val="1"/>
          <w:i w:val="1"/>
        </w:rPr>
        <w:t xml:space="preserve">  </w:t>
      </w:r>
    </w:p>
    <w:p>
      <w:pPr>
        <w:pStyle w:val="normal"/>
        <w:spacing w:before="0" w:after="5" w:line="268" w:lineRule="auto"/>
        <w:ind w:left="-5" w:right="0"/>
      </w:pPr>
      <w:r>
        <w:rPr/>
        <w:t xml:space="preserve">To strengthen social cohesion and inclusive development at the District level, a comprehensive civic outreach campaign will be designed to cover all issues of the programme.</w:t>
      </w:r>
      <w:r>
        <w:rPr/>
        <w:t xml:space="preserve"> </w:t>
      </w:r>
      <w:r>
        <w:rPr/>
        <w:t xml:space="preserve">Using rights</w:t>
      </w:r>
      <w:r>
        <w:rPr/>
        <w:t xml:space="preserve"> </w:t>
      </w:r>
      <w:r>
        <w:rPr/>
        <w:t xml:space="preserve">based approach, the</w:t>
      </w:r>
      <w:r>
        <w:rPr/>
        <w:t xml:space="preserve"> </w:t>
      </w:r>
      <w:r>
        <w:rPr/>
        <w:t xml:space="preserve">capacity of the population to understand the role of the government and other relevant stakeholders, define and prioritize their needs and engage with the government will be strengthened.  This will strengthen the participatory planning from both the side of the civil society and the local authorities.   </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The campaign will ensure that the population and government officials are aware of the role of the state</w:t>
      </w:r>
      <w:r>
        <w:rPr/>
        <w:t xml:space="preserve"> </w:t>
      </w:r>
      <w:r>
        <w:rPr/>
        <w:t xml:space="preserve">and the citizens, the relevant laws and responsibilities through a civic education campaign carried out.  The civic education will ensure that the population is able to engage constructively within the participatory planning dialogues at the sub</w:t>
      </w:r>
      <w:r>
        <w:rPr/>
        <w:t xml:space="preserve">-</w:t>
      </w:r>
      <w:r>
        <w:rPr/>
        <w:t xml:space="preserve">county and District level. Community meetings and dialogues with the community will also discuss budgets issues and work towards enhancing transparency at the sub</w:t>
      </w:r>
      <w:r>
        <w:rPr/>
        <w:t xml:space="preserve">-</w:t>
      </w:r>
      <w:r>
        <w:rPr/>
        <w:t xml:space="preserve">county and District level.</w:t>
      </w:r>
      <w:r>
        <w:rPr/>
        <w:t xml:space="preserve"> </w:t>
      </w:r>
    </w:p>
    <w:p>
      <w:pPr>
        <w:sectPr>
          <w:footerReference w:type="even" r:id="rId6"/>
          <w:footerReference w:type="default" r:id="rId5"/>
          <w:footerReference w:type="first" r:id="rId4"/>
          <w:pgSz w:w="12240" w:h="15840" w:orient="portrait"/>
          <w:pgMar w:footer="762" w:left="1440" w:top="1451" w:right="1434" w:bottom="1438"/>
          <w:pgNumType w:start="1" w:fmt="decimal"/>
          <w:cols/>
        </w:sectPr>
      </w:pPr>
    </w:p>
    <w:p>
      <w:pPr>
        <w:spacing w:before="0" w:after="0" w:line="259" w:lineRule="auto"/>
        <w:ind w:left="0" w:right="0" w:firstLine="0"/>
        <w:jc w:val="left"/>
      </w:pPr>
      <w:r>
        <w:rPr>
          <w:sz w:val="22"/>
        </w:rPr>
        <w:t xml:space="preserve"> </w:t>
      </w:r>
    </w:p>
    <w:p>
      <w:pPr>
        <w:spacing w:before="0" w:after="73" w:line="259" w:lineRule="auto"/>
        <w:ind w:left="-29" w:right="-23" w:firstLine="0"/>
        <w:jc w:val="left"/>
      </w:pPr>
      <w:r>
        <w:rPr>
          <w:rFonts w:cs="Calibri" w:hAnsi="Calibri" w:eastAsia="Calibri" w:ascii="Calibri"/>
          <w:sz w:val="22"/>
        </w:rPr>
        <w:drawing>
          <wp:inline distT="0" distB="0" distL="0" distR="0">
            <wp:extent cx="8266176" cy="6096"/>
            <wp:docPr id="139265" name="Group 139265"/>
            <wp:cNvGraphicFramePr/>
            <a:graphic>
              <a:graphicData uri="http://schemas.microsoft.com/office/word/2010/wordprocessingGroup">
                <wpg:wgp>
                  <wpg:cNvGrpSpPr/>
                  <wpg:grpSpPr>
                    <a:xfrm>
                      <a:off x="0" y="0"/>
                      <a:ext cx="8266176" cy="6096"/>
                      <a:chOff x="0" y="0"/>
                      <a:chExt cx="8266176" cy="6096"/>
                    </a:xfrm>
                  </wpg:grpSpPr>
                  <wps:wsp>
                    <wps:cNvPr id="180729" name="Shape 180729"/>
                    <wps:cNvSpPr/>
                    <wps:spPr>
                      <a:xfrm>
                        <a:off x="0" y="0"/>
                        <a:ext cx="8266176" cy="9144"/>
                      </a:xfrm>
                      <a:custGeom>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w:r>
    </w:p>
    <w:p>
      <w:pPr>
        <w:pStyle w:val="heading1"/>
        <w:tabs>
          <w:tab w:val="center" w:pos="3392"/>
        </w:tabs>
        <w:spacing w:before="0" w:after="0" w:line="259" w:lineRule="auto"/>
        <w:ind w:left="-15" w:firstLine="0"/>
      </w:pPr>
      <w:bookmarkStart w:id="179049" w:name="_Toc179049"/>
      <w:r>
        <w:rPr>
          <w:rFonts w:cs="Arial" w:hAnsi="Arial" w:eastAsia="Arial" w:ascii="Arial"/>
        </w:rPr>
        <w:t xml:space="preserve">1.</w:t>
      </w:r>
      <w:r>
        <w:rPr>
          <w:rFonts w:cs="Arial" w:hAnsi="Arial" w:eastAsia="Arial" w:ascii="Arial"/>
        </w:rPr>
        <w:t xml:space="preserve"> 	</w:t>
      </w:r>
      <w:r>
        <w:rPr>
          <w:rFonts w:cs="Arial" w:hAnsi="Arial" w:eastAsia="Arial" w:ascii="Arial"/>
        </w:rPr>
        <w:t xml:space="preserve">Results and Resources Framework</w:t>
      </w:r>
      <w:r>
        <w:rPr>
          <w:rFonts w:cs="Arial" w:hAnsi="Arial" w:eastAsia="Arial" w:ascii="Arial"/>
        </w:rPr>
        <w:t xml:space="preserve"> </w:t>
      </w:r>
      <w:bookmarkEnd w:id="179049"/>
    </w:p>
    <w:tbl>
      <w:tblPr>
        <w:tblStyle w:val="TableGrid"/>
        <w:tblW w:w="14580" w:type="dxa"/>
        <w:tblInd w:w="-810" w:type="dxa"/>
        <w:tblCellMar>
          <w:top w:w="30" w:type="dxa"/>
          <w:left w:w="82" w:type="dxa"/>
          <w:bottom w:w="0" w:type="dxa"/>
          <w:right w:w="68" w:type="dxa"/>
        </w:tblCellMar>
      </w:tblPr>
      <w:tblGrid>
        <w:gridCol w:w="3421"/>
        <w:gridCol w:w="2880"/>
        <w:gridCol w:w="3960"/>
        <w:gridCol w:w="2338"/>
        <w:gridCol w:w="1981"/>
      </w:tblGrid>
      <w:tr>
        <w:trPr>
          <w:trHeight w:val="739" w:hRule="atLeast"/>
        </w:trPr>
        <w:tc>
          <w:tcPr>
            <w:tcW w:w="14580" w:type="dxa"/>
            <w:gridSpan w:val="5"/>
            <w:tcBorders>
              <w:top w:val="single" w:sz="4" w:color="000000"/>
              <w:left w:val="single" w:sz="4" w:color="000000"/>
              <w:bottom w:val="single" w:sz="4" w:color="000000"/>
              <w:right w:val="single" w:sz="4" w:color="000000"/>
            </w:tcBorders>
            <w:vAlign w:val="top"/>
          </w:tcPr>
          <w:p>
            <w:pPr>
              <w:spacing w:before="0" w:after="33" w:line="259" w:lineRule="auto"/>
              <w:ind w:left="28" w:right="0" w:firstLine="0"/>
              <w:jc w:val="left"/>
            </w:pPr>
            <w:r>
              <w:rPr>
                <w:rFonts w:cs="Cambria" w:hAnsi="Cambria" w:eastAsia="Cambria" w:ascii="Cambria"/>
                <w:b w:val="1"/>
                <w:sz w:val="18"/>
              </w:rPr>
              <w:t xml:space="preserve">Intended Outcome as stated in the Country Programme Results and Resource Framework: </w:t>
            </w:r>
            <w:r>
              <w:rPr>
                <w:rFonts w:cs="Cambria" w:hAnsi="Cambria" w:eastAsia="Cambria" w:ascii="Cambria"/>
                <w:b w:val="1"/>
                <w:sz w:val="18"/>
              </w:rPr>
              <w:t xml:space="preserve"> </w:t>
            </w:r>
          </w:p>
          <w:p>
            <w:pPr>
              <w:spacing w:before="0" w:after="0" w:line="259" w:lineRule="auto"/>
              <w:ind w:left="28" w:right="156" w:firstLine="0"/>
              <w:jc w:val="left"/>
            </w:pPr>
            <w:r>
              <w:rPr>
                <w:sz w:val="18"/>
              </w:rPr>
              <w:t xml:space="preserve">Outcome 1.2:</w:t>
            </w:r>
            <w:r>
              <w:rPr>
                <w:rFonts w:cs="Cambria" w:hAnsi="Cambria" w:eastAsia="Cambria" w:ascii="Cambria"/>
                <w:i w:val="1"/>
                <w:sz w:val="18"/>
              </w:rPr>
              <w:t xml:space="preserve"> </w:t>
            </w:r>
            <w:r>
              <w:rPr>
                <w:rFonts w:cs="Verdana" w:hAnsi="Verdana" w:eastAsia="Verdana" w:ascii="Verdana"/>
                <w:color w:val="333333"/>
                <w:sz w:val="15"/>
              </w:rPr>
              <w:t xml:space="preserve">Access to justice especially for women, in war affected northern regions increased and justice systems and structures uphold human rights standards and principles.</w:t>
            </w:r>
            <w:r>
              <w:rPr>
                <w:rFonts w:cs="Cambria" w:hAnsi="Cambria" w:eastAsia="Cambria" w:ascii="Cambria"/>
                <w:i w:val="1"/>
                <w:sz w:val="18"/>
              </w:rPr>
              <w:t xml:space="preserve"> </w:t>
            </w:r>
            <w:r>
              <w:rPr>
                <w:sz w:val="18"/>
              </w:rPr>
              <w:t xml:space="preserve">Outcome 2</w:t>
            </w:r>
            <w:r>
              <w:rPr>
                <w:sz w:val="18"/>
              </w:rPr>
              <w:t xml:space="preserve">.2:</w:t>
            </w:r>
            <w:r>
              <w:rPr>
                <w:rFonts w:cs="Cambria" w:hAnsi="Cambria" w:eastAsia="Cambria" w:ascii="Cambria"/>
                <w:i w:val="1"/>
                <w:sz w:val="18"/>
              </w:rPr>
              <w:t xml:space="preserve"> </w:t>
            </w:r>
            <w:r>
              <w:rPr>
                <w:rFonts w:cs="Verdana" w:hAnsi="Verdana" w:eastAsia="Verdana" w:ascii="Verdana"/>
                <w:color w:val="333333"/>
                <w:sz w:val="15"/>
              </w:rPr>
              <w:t xml:space="preserve">Improved productivity, competitiveness and employment in selected sub sectors and districts, including the north.</w:t>
            </w:r>
            <w:r>
              <w:rPr>
                <w:sz w:val="22"/>
              </w:rPr>
              <w:t xml:space="preserve"> </w:t>
            </w:r>
          </w:p>
        </w:tc>
      </w:tr>
      <w:tr>
        <w:trPr>
          <w:trHeight w:val="1579" w:hRule="atLeast"/>
        </w:trPr>
        <w:tc>
          <w:tcPr>
            <w:tcW w:w="14580" w:type="dxa"/>
            <w:gridSpan w:val="5"/>
            <w:tcBorders>
              <w:top w:val="single" w:sz="4" w:color="000000"/>
              <w:left w:val="single" w:sz="4" w:color="000000"/>
              <w:bottom w:val="single" w:sz="4" w:color="000000"/>
              <w:right w:val="single" w:sz="4" w:color="000000"/>
            </w:tcBorders>
            <w:vAlign w:val="top"/>
          </w:tcPr>
          <w:p>
            <w:pPr>
              <w:spacing w:before="0" w:after="0" w:line="273" w:lineRule="auto"/>
              <w:ind w:left="28" w:right="3506" w:firstLine="0"/>
            </w:pPr>
            <w:r>
              <w:rPr>
                <w:rFonts w:cs="Cambria" w:hAnsi="Cambria" w:eastAsia="Cambria" w:ascii="Cambria"/>
                <w:b w:val="1"/>
                <w:sz w:val="18"/>
              </w:rPr>
              <w:t xml:space="preserve">Outcome indicators as stated in the Country Programme Results and Resources Framework, including baseline and targets:</w:t>
            </w:r>
            <w:r>
              <w:rPr>
                <w:rFonts w:cs="Cambria" w:hAnsi="Cambria" w:eastAsia="Cambria" w:ascii="Cambria"/>
                <w:b w:val="1"/>
                <w:sz w:val="18"/>
              </w:rPr>
              <w:t xml:space="preserve"> </w:t>
            </w:r>
            <w:r>
              <w:rPr>
                <w:sz w:val="18"/>
              </w:rPr>
              <w:t xml:space="preserve">Outcome 1</w:t>
            </w:r>
            <w:r>
              <w:rPr>
                <w:sz w:val="18"/>
              </w:rPr>
              <w:t xml:space="preserve">.2</w:t>
            </w:r>
            <w:r>
              <w:rPr>
                <w:sz w:val="18"/>
              </w:rPr>
              <w:t xml:space="preserve"> </w:t>
            </w:r>
            <w:r>
              <w:rPr>
                <w:sz w:val="18"/>
              </w:rPr>
              <w:t xml:space="preserve">indicators: </w:t>
            </w:r>
            <w:r>
              <w:rPr>
                <w:sz w:val="18"/>
              </w:rPr>
              <w:t xml:space="preserve"> </w:t>
            </w:r>
          </w:p>
          <w:p>
            <w:pPr>
              <w:spacing w:before="0" w:after="0" w:line="257" w:lineRule="auto"/>
              <w:ind w:left="28" w:right="7205" w:firstLine="0"/>
            </w:pPr>
            <w:r>
              <w:rPr>
                <w:rFonts w:cs="Verdana" w:hAnsi="Verdana" w:eastAsia="Verdana" w:ascii="Verdana"/>
                <w:color w:val="333333"/>
                <w:sz w:val="15"/>
              </w:rPr>
              <w:t xml:space="preserve">Number of government institutions and CSOs delivering effective community security</w:t>
            </w:r>
            <w:r>
              <w:rPr>
                <w:rFonts w:cs="Verdana" w:hAnsi="Verdana" w:eastAsia="Verdana" w:ascii="Verdana"/>
                <w:color w:val="333333"/>
                <w:sz w:val="15"/>
              </w:rPr>
              <w:t xml:space="preserve"> </w:t>
            </w:r>
            <w:r>
              <w:rPr>
                <w:sz w:val="18"/>
              </w:rPr>
              <w:t xml:space="preserve">Outcome 2</w:t>
            </w:r>
            <w:r>
              <w:rPr>
                <w:sz w:val="18"/>
              </w:rPr>
              <w:t xml:space="preserve">.2</w:t>
            </w:r>
            <w:r>
              <w:rPr>
                <w:sz w:val="18"/>
              </w:rPr>
              <w:t xml:space="preserve"> </w:t>
            </w:r>
            <w:r>
              <w:rPr>
                <w:sz w:val="18"/>
              </w:rPr>
              <w:t xml:space="preserve">Indicators: </w:t>
            </w:r>
            <w:r>
              <w:rPr>
                <w:sz w:val="18"/>
              </w:rPr>
              <w:t xml:space="preserve"> </w:t>
            </w:r>
          </w:p>
          <w:p>
            <w:pPr>
              <w:spacing w:before="0" w:after="11" w:line="259" w:lineRule="auto"/>
              <w:ind w:left="28" w:right="0" w:firstLine="0"/>
              <w:jc w:val="left"/>
            </w:pPr>
            <w:r>
              <w:rPr>
                <w:rFonts w:cs="Verdana" w:hAnsi="Verdana" w:eastAsia="Verdana" w:ascii="Verdana"/>
                <w:color w:val="333333"/>
                <w:sz w:val="15"/>
              </w:rPr>
              <w:t xml:space="preserve">%GDP Growth in the Agricultural Sector</w:t>
            </w:r>
            <w:r>
              <w:rPr>
                <w:rFonts w:cs="Verdana" w:hAnsi="Verdana" w:eastAsia="Verdana" w:ascii="Verdana"/>
                <w:color w:val="333333"/>
                <w:sz w:val="15"/>
              </w:rPr>
              <w:t xml:space="preserve"> </w:t>
            </w:r>
          </w:p>
          <w:p>
            <w:pPr>
              <w:spacing w:before="0" w:after="43" w:line="259" w:lineRule="auto"/>
              <w:ind w:left="28" w:right="0" w:firstLine="0"/>
              <w:jc w:val="left"/>
            </w:pPr>
            <w:r>
              <w:rPr>
                <w:rFonts w:cs="Verdana" w:hAnsi="Verdana" w:eastAsia="Verdana" w:ascii="Verdana"/>
                <w:color w:val="333333"/>
                <w:sz w:val="15"/>
              </w:rPr>
              <w:t xml:space="preserve">% GDP growth in the Tourism Sector</w:t>
            </w:r>
            <w:r>
              <w:rPr>
                <w:rFonts w:cs="Verdana" w:hAnsi="Verdana" w:eastAsia="Verdana" w:ascii="Verdana"/>
                <w:color w:val="333333"/>
                <w:sz w:val="15"/>
              </w:rPr>
              <w:t xml:space="preserve"> </w:t>
            </w:r>
          </w:p>
          <w:p>
            <w:pPr>
              <w:spacing w:before="0" w:after="0" w:line="259" w:lineRule="auto"/>
              <w:ind w:left="28" w:right="0" w:firstLine="0"/>
              <w:jc w:val="left"/>
            </w:pPr>
            <w:r>
              <w:rPr>
                <w:rFonts w:cs="Verdana" w:hAnsi="Verdana" w:eastAsia="Verdana" w:ascii="Verdana"/>
                <w:color w:val="333333"/>
                <w:sz w:val="15"/>
              </w:rPr>
              <w:t xml:space="preserve">Number of jobs/employment</w:t>
            </w:r>
            <w:r>
              <w:rPr>
                <w:rFonts w:cs="Verdana" w:hAnsi="Verdana" w:eastAsia="Verdana" w:ascii="Verdana"/>
                <w:color w:val="333333"/>
                <w:sz w:val="15"/>
              </w:rPr>
              <w:t xml:space="preserve"> </w:t>
            </w:r>
            <w:r>
              <w:rPr>
                <w:rFonts w:cs="Verdana" w:hAnsi="Verdana" w:eastAsia="Verdana" w:ascii="Verdana"/>
                <w:color w:val="333333"/>
                <w:sz w:val="15"/>
              </w:rPr>
              <w:t xml:space="preserve">opportunities</w:t>
            </w:r>
            <w:r>
              <w:rPr>
                <w:rFonts w:cs="Verdana" w:hAnsi="Verdana" w:eastAsia="Verdana" w:ascii="Verdana"/>
                <w:color w:val="333333"/>
                <w:sz w:val="15"/>
              </w:rPr>
              <w:t xml:space="preserve"> </w:t>
            </w:r>
            <w:r>
              <w:rPr>
                <w:rFonts w:cs="Verdana" w:hAnsi="Verdana" w:eastAsia="Verdana" w:ascii="Verdana"/>
                <w:color w:val="333333"/>
                <w:sz w:val="15"/>
              </w:rPr>
              <w:t xml:space="preserve">created</w:t>
            </w:r>
            <w:r>
              <w:rPr>
                <w:rFonts w:cs="Cambria" w:hAnsi="Cambria" w:eastAsia="Cambria" w:ascii="Cambria"/>
                <w:b w:val="1"/>
                <w:sz w:val="18"/>
              </w:rPr>
              <w:t xml:space="preserve"> </w:t>
            </w:r>
          </w:p>
        </w:tc>
      </w:tr>
      <w:tr>
        <w:trPr>
          <w:trHeight w:val="250" w:hRule="atLeast"/>
        </w:trPr>
        <w:tc>
          <w:tcPr>
            <w:tcW w:w="14580" w:type="dxa"/>
            <w:gridSpan w:val="5"/>
            <w:tcBorders>
              <w:top w:val="single" w:sz="4" w:color="000000"/>
              <w:left w:val="single" w:sz="4" w:color="000000"/>
              <w:bottom w:val="single" w:sz="4" w:color="000000"/>
              <w:right w:val="single" w:sz="4" w:color="000000"/>
            </w:tcBorders>
            <w:vAlign w:val="top"/>
          </w:tcPr>
          <w:p>
            <w:pPr>
              <w:spacing w:before="0" w:after="0" w:line="259" w:lineRule="auto"/>
              <w:ind w:left="28" w:right="0" w:firstLine="0"/>
              <w:jc w:val="left"/>
            </w:pPr>
            <w:r>
              <w:rPr>
                <w:rFonts w:cs="Cambria" w:hAnsi="Cambria" w:eastAsia="Cambria" w:ascii="Cambria"/>
                <w:b w:val="1"/>
                <w:sz w:val="18"/>
              </w:rPr>
              <w:t xml:space="preserve">Applicable Key Result Area (from 2008</w:t>
            </w:r>
            <w:r>
              <w:rPr>
                <w:rFonts w:cs="Cambria" w:hAnsi="Cambria" w:eastAsia="Cambria" w:ascii="Cambria"/>
                <w:b w:val="1"/>
                <w:sz w:val="18"/>
              </w:rPr>
              <w:t xml:space="preserve">-</w:t>
            </w:r>
            <w:r>
              <w:rPr>
                <w:rFonts w:cs="Cambria" w:hAnsi="Cambria" w:eastAsia="Cambria" w:ascii="Cambria"/>
                <w:b w:val="1"/>
                <w:sz w:val="18"/>
              </w:rPr>
              <w:t xml:space="preserve">2011 Strategic Plan):  </w:t>
            </w:r>
            <w:r>
              <w:rPr>
                <w:rFonts w:cs="Cambria" w:hAnsi="Cambria" w:eastAsia="Cambria" w:ascii="Cambria"/>
                <w:b w:val="1"/>
                <w:sz w:val="18"/>
              </w:rPr>
              <w:t xml:space="preserve"> </w:t>
            </w:r>
          </w:p>
        </w:tc>
      </w:tr>
      <w:tr>
        <w:trPr>
          <w:trHeight w:val="739" w:hRule="atLeast"/>
        </w:trPr>
        <w:tc>
          <w:tcPr>
            <w:tcW w:w="14580" w:type="dxa"/>
            <w:gridSpan w:val="5"/>
            <w:tcBorders>
              <w:top w:val="single" w:sz="4" w:color="000000"/>
              <w:left w:val="single" w:sz="4" w:color="000000"/>
              <w:bottom w:val="single" w:sz="4" w:color="000000"/>
              <w:right w:val="single" w:sz="4" w:color="000000"/>
            </w:tcBorders>
            <w:vAlign w:val="top"/>
          </w:tcPr>
          <w:p>
            <w:pPr>
              <w:spacing w:before="0" w:after="0" w:line="259" w:lineRule="auto"/>
              <w:ind w:left="28" w:right="37" w:firstLine="0"/>
            </w:pPr>
            <w:r>
              <w:rPr>
                <w:rFonts w:cs="Cambria" w:hAnsi="Cambria" w:eastAsia="Cambria" w:ascii="Cambria"/>
                <w:b w:val="1"/>
                <w:sz w:val="18"/>
              </w:rPr>
              <w:t xml:space="preserve">Partnership Strategy: </w:t>
            </w:r>
            <w:r>
              <w:rPr>
                <w:sz w:val="18"/>
              </w:rPr>
              <w:t xml:space="preserve">Several partnerships will be enhanced and established under this project to maximize the use of available resources, and achieve the objectives efficiently and timely.  The project will build partnerships with the government of Uganda, local authorities, CSOs, NGOs, private sector, research institutions, specialized UN agencies and donor communities.  In addition, the project will promote south</w:t>
            </w:r>
            <w:r>
              <w:rPr>
                <w:sz w:val="18"/>
              </w:rPr>
              <w:t xml:space="preserve">-</w:t>
            </w:r>
            <w:r>
              <w:rPr>
                <w:sz w:val="18"/>
              </w:rPr>
              <w:t xml:space="preserve">south collaboration.</w:t>
            </w:r>
            <w:r>
              <w:rPr>
                <w:rFonts w:cs="Cambria" w:hAnsi="Cambria" w:eastAsia="Cambria" w:ascii="Cambria"/>
                <w:b w:val="1"/>
                <w:sz w:val="18"/>
              </w:rPr>
              <w:t xml:space="preserve"> </w:t>
            </w:r>
          </w:p>
        </w:tc>
      </w:tr>
      <w:tr>
        <w:trPr>
          <w:trHeight w:val="256" w:hRule="atLeast"/>
        </w:trPr>
        <w:tc>
          <w:tcPr>
            <w:tcW w:w="14580" w:type="dxa"/>
            <w:gridSpan w:val="5"/>
            <w:tcBorders>
              <w:top w:val="single" w:sz="4" w:color="000000"/>
              <w:left w:val="single" w:sz="4" w:color="000000"/>
              <w:bottom w:val="single" w:sz="4" w:color="000000"/>
              <w:right w:val="single" w:sz="4" w:color="000000"/>
            </w:tcBorders>
            <w:vAlign w:val="top"/>
          </w:tcPr>
          <w:p>
            <w:pPr>
              <w:spacing w:before="0" w:after="0" w:line="259" w:lineRule="auto"/>
              <w:ind w:left="28" w:right="0" w:firstLine="0"/>
              <w:jc w:val="left"/>
            </w:pPr>
            <w:r>
              <w:rPr>
                <w:rFonts w:cs="Cambria" w:hAnsi="Cambria" w:eastAsia="Cambria" w:ascii="Cambria"/>
                <w:b w:val="1"/>
                <w:sz w:val="18"/>
              </w:rPr>
              <w:t xml:space="preserve">Project title and ID (ATLAS Award ID):</w:t>
            </w:r>
            <w:r>
              <w:rPr>
                <w:rFonts w:cs="Cambria" w:hAnsi="Cambria" w:eastAsia="Cambria" w:ascii="Cambria"/>
                <w:b w:val="1"/>
                <w:sz w:val="18"/>
              </w:rPr>
              <w:t xml:space="preserve"> </w:t>
            </w:r>
          </w:p>
        </w:tc>
      </w:tr>
      <w:tr>
        <w:trPr>
          <w:trHeight w:val="492" w:hRule="atLeast"/>
        </w:trPr>
        <w:tc>
          <w:tcPr>
            <w:tcW w:w="3421" w:type="dxa"/>
            <w:tcBorders>
              <w:top w:val="single" w:sz="4" w:color="000000"/>
              <w:left w:val="single" w:sz="4" w:color="000000"/>
              <w:bottom w:val="single" w:sz="4" w:color="000000"/>
              <w:right w:val="single" w:sz="4" w:color="000000"/>
            </w:tcBorders>
            <w:shd w:val="clear" w:fill="ffff99"/>
            <w:vAlign w:val="top"/>
          </w:tcPr>
          <w:p>
            <w:pPr>
              <w:spacing w:before="0" w:after="7" w:line="259" w:lineRule="auto"/>
              <w:ind w:left="0" w:right="12" w:firstLine="0"/>
              <w:jc w:val="center"/>
            </w:pPr>
            <w:r>
              <w:rPr>
                <w:rFonts w:cs="Cambria" w:hAnsi="Cambria" w:eastAsia="Cambria" w:ascii="Cambria"/>
                <w:b w:val="1"/>
                <w:sz w:val="18"/>
              </w:rPr>
              <w:t xml:space="preserve">INTENDED OUTPUTS</w:t>
            </w:r>
            <w:r>
              <w:rPr>
                <w:rFonts w:cs="Cambria" w:hAnsi="Cambria" w:eastAsia="Cambria" w:ascii="Cambria"/>
                <w:b w:val="1"/>
                <w:sz w:val="18"/>
              </w:rPr>
              <w:t xml:space="preserve"> </w:t>
            </w:r>
          </w:p>
          <w:p>
            <w:pPr>
              <w:spacing w:before="0" w:after="0" w:line="259" w:lineRule="auto"/>
              <w:ind w:left="21" w:right="0" w:firstLine="0"/>
              <w:jc w:val="center"/>
            </w:pPr>
            <w:r>
              <w:rPr>
                <w:rFonts w:cs="Cambria" w:hAnsi="Cambria" w:eastAsia="Cambria" w:ascii="Cambria"/>
                <w:b w:val="1"/>
                <w:sz w:val="18"/>
              </w:rPr>
              <w:t xml:space="preserve"> </w:t>
            </w:r>
          </w:p>
        </w:tc>
        <w:tc>
          <w:tcPr>
            <w:tcW w:w="2880"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34" w:right="0" w:firstLine="0"/>
              <w:jc w:val="left"/>
            </w:pPr>
            <w:r>
              <w:rPr>
                <w:rFonts w:cs="Cambria" w:hAnsi="Cambria" w:eastAsia="Cambria" w:ascii="Cambria"/>
                <w:b w:val="1"/>
                <w:sz w:val="18"/>
              </w:rPr>
              <w:t xml:space="preserve">OUTPUT TARGETS</w:t>
            </w:r>
            <w:r>
              <w:rPr>
                <w:rFonts w:cs="Cambria" w:hAnsi="Cambria" w:eastAsia="Cambria" w:ascii="Cambria"/>
                <w:b w:val="1"/>
                <w:sz w:val="18"/>
              </w:rPr>
              <w:t xml:space="preserve"> </w:t>
            </w:r>
            <w:r>
              <w:rPr>
                <w:rFonts w:cs="Cambria" w:hAnsi="Cambria" w:eastAsia="Cambria" w:ascii="Cambria"/>
                <w:b w:val="1"/>
                <w:sz w:val="18"/>
              </w:rPr>
              <w:t xml:space="preserve">FOR (YEARS)</w:t>
            </w:r>
            <w:r>
              <w:rPr>
                <w:rFonts w:cs="Cambria" w:hAnsi="Cambria" w:eastAsia="Cambria" w:ascii="Cambria"/>
                <w:b w:val="1"/>
                <w:sz w:val="18"/>
              </w:rPr>
              <w:t xml:space="preserve"> </w:t>
            </w:r>
          </w:p>
        </w:tc>
        <w:tc>
          <w:tcPr>
            <w:tcW w:w="3960"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20" w:firstLine="0"/>
              <w:jc w:val="center"/>
            </w:pPr>
            <w:r>
              <w:rPr>
                <w:rFonts w:cs="Cambria" w:hAnsi="Cambria" w:eastAsia="Cambria" w:ascii="Cambria"/>
                <w:b w:val="1"/>
                <w:sz w:val="18"/>
              </w:rPr>
              <w:t xml:space="preserve">INDICATIVE ACTIVITIES</w:t>
            </w:r>
            <w:r>
              <w:rPr>
                <w:rFonts w:cs="Cambria" w:hAnsi="Cambria" w:eastAsia="Cambria" w:ascii="Cambria"/>
                <w:b w:val="1"/>
                <w:sz w:val="18"/>
              </w:rPr>
              <w:t xml:space="preserve"> </w:t>
            </w:r>
          </w:p>
        </w:tc>
        <w:tc>
          <w:tcPr>
            <w:tcW w:w="2338"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15" w:firstLine="0"/>
              <w:jc w:val="center"/>
            </w:pPr>
            <w:r>
              <w:rPr>
                <w:rFonts w:cs="Cambria" w:hAnsi="Cambria" w:eastAsia="Cambria" w:ascii="Cambria"/>
                <w:b w:val="1"/>
                <w:sz w:val="18"/>
              </w:rPr>
              <w:t xml:space="preserve">RESPONSIBLE PARTIES</w:t>
            </w:r>
            <w:r>
              <w:rPr>
                <w:rFonts w:cs="Cambria" w:hAnsi="Cambria" w:eastAsia="Cambria" w:ascii="Cambria"/>
                <w:b w:val="1"/>
                <w:sz w:val="18"/>
              </w:rPr>
              <w:t xml:space="preserve"> </w:t>
            </w:r>
          </w:p>
        </w:tc>
        <w:tc>
          <w:tcPr>
            <w:tcW w:w="1981"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29" w:right="0" w:firstLine="0"/>
              <w:jc w:val="left"/>
            </w:pPr>
            <w:r>
              <w:rPr>
                <w:rFonts w:cs="Cambria" w:hAnsi="Cambria" w:eastAsia="Cambria" w:ascii="Cambria"/>
                <w:b w:val="1"/>
                <w:sz w:val="18"/>
              </w:rPr>
              <w:t xml:space="preserve">INPUTS</w:t>
            </w:r>
            <w:r>
              <w:rPr>
                <w:rFonts w:cs="Cambria" w:hAnsi="Cambria" w:eastAsia="Cambria" w:ascii="Cambria"/>
                <w:b w:val="1"/>
                <w:sz w:val="18"/>
              </w:rPr>
              <w:t xml:space="preserve"> </w:t>
            </w:r>
          </w:p>
        </w:tc>
      </w:tr>
      <w:tr>
        <w:trPr>
          <w:trHeight w:val="3649" w:hRule="atLeast"/>
        </w:trPr>
        <w:tc>
          <w:tcPr>
            <w:tcW w:w="3421" w:type="dxa"/>
            <w:tcBorders>
              <w:top w:val="single" w:sz="4" w:color="000000"/>
              <w:left w:val="single" w:sz="4" w:color="000000"/>
              <w:bottom w:val="single" w:sz="4" w:color="000000"/>
              <w:right w:val="single" w:sz="4" w:color="000000"/>
            </w:tcBorders>
            <w:vAlign w:val="top"/>
          </w:tcPr>
          <w:p>
            <w:pPr>
              <w:spacing w:before="0" w:after="2" w:line="270" w:lineRule="auto"/>
              <w:ind w:left="28" w:right="37" w:firstLine="0"/>
            </w:pPr>
            <w:r>
              <w:rPr>
                <w:rFonts w:cs="Cambria" w:hAnsi="Cambria" w:eastAsia="Cambria" w:ascii="Cambria"/>
                <w:b w:val="1"/>
                <w:sz w:val="18"/>
              </w:rPr>
              <w:t xml:space="preserve">Output 1: </w:t>
            </w:r>
            <w:r>
              <w:rPr>
                <w:sz w:val="18"/>
              </w:rPr>
              <w:t xml:space="preserve">C</w:t>
            </w:r>
            <w:r>
              <w:rPr>
                <w:rFonts w:cs="Cambria" w:hAnsi="Cambria" w:eastAsia="Cambria" w:ascii="Cambria"/>
                <w:b w:val="1"/>
                <w:sz w:val="18"/>
              </w:rPr>
              <w:t xml:space="preserve">ommunity justice, security and social cohesion increased for peaceful resolution of disputes, in particular as related to land and women’s issues.</w:t>
            </w:r>
            <w:r>
              <w:rPr>
                <w:rFonts w:cs="Cambria" w:hAnsi="Cambria" w:eastAsia="Cambria" w:ascii="Cambria"/>
                <w:b w:val="1"/>
                <w:sz w:val="18"/>
              </w:rPr>
              <w:t xml:space="preserve"> </w:t>
            </w:r>
          </w:p>
          <w:p>
            <w:pPr>
              <w:spacing w:before="0" w:after="7" w:line="259" w:lineRule="auto"/>
              <w:ind w:left="28" w:right="0" w:firstLine="0"/>
              <w:jc w:val="left"/>
            </w:pPr>
            <w:r>
              <w:rPr>
                <w:rFonts w:cs="Cambria" w:hAnsi="Cambria" w:eastAsia="Cambria" w:ascii="Cambria"/>
                <w:b w:val="1"/>
                <w:sz w:val="18"/>
              </w:rPr>
              <w:t xml:space="preserve"> </w:t>
            </w:r>
          </w:p>
          <w:p>
            <w:pPr>
              <w:spacing w:before="0" w:after="12" w:line="259" w:lineRule="auto"/>
              <w:ind w:left="28" w:right="0" w:firstLine="0"/>
              <w:jc w:val="left"/>
            </w:pPr>
            <w:r>
              <w:rPr>
                <w:rFonts w:cs="Cambria" w:hAnsi="Cambria" w:eastAsia="Cambria" w:ascii="Cambria"/>
                <w:b w:val="1"/>
                <w:sz w:val="18"/>
              </w:rPr>
              <w:t xml:space="preserve">Baseline:</w:t>
            </w:r>
            <w:r>
              <w:rPr>
                <w:rFonts w:cs="Cambria" w:hAnsi="Cambria" w:eastAsia="Cambria" w:ascii="Cambria"/>
                <w:b w:val="1"/>
                <w:sz w:val="18"/>
              </w:rPr>
              <w:t xml:space="preserve"> </w:t>
            </w:r>
          </w:p>
          <w:p>
            <w:pPr>
              <w:spacing w:before="0" w:after="0" w:line="271" w:lineRule="auto"/>
              <w:ind w:left="28" w:right="0" w:firstLine="0"/>
              <w:jc w:val="left"/>
            </w:pPr>
            <w:r>
              <w:rPr>
                <w:sz w:val="18"/>
              </w:rPr>
              <w:t xml:space="preserve">Mid</w:t>
            </w:r>
            <w:r>
              <w:rPr>
                <w:sz w:val="18"/>
              </w:rPr>
              <w:t xml:space="preserve">-</w:t>
            </w:r>
            <w:r>
              <w:rPr>
                <w:sz w:val="18"/>
              </w:rPr>
              <w:t xml:space="preserve">Term Review PRDP I including data on disputes: 69% of counties raising land conflicts as problem; 58% violence against women and children; 20% </w:t>
            </w:r>
          </w:p>
          <w:p>
            <w:pPr>
              <w:spacing w:before="0" w:after="29" w:line="259" w:lineRule="auto"/>
              <w:ind w:left="28" w:right="0" w:firstLine="0"/>
              <w:jc w:val="left"/>
            </w:pPr>
            <w:r>
              <w:rPr>
                <w:sz w:val="18"/>
              </w:rPr>
              <w:t xml:space="preserve">increase in crime. </w:t>
            </w:r>
            <w:r>
              <w:rPr>
                <w:sz w:val="18"/>
                <w:vertAlign w:val="superscript"/>
              </w:rPr>
              <w:footnoteReference w:id="54"/>
            </w:r>
            <w:r>
              <w:rPr>
                <w:sz w:val="18"/>
              </w:rPr>
              <w:t xml:space="preserve"> </w:t>
            </w:r>
          </w:p>
          <w:p>
            <w:pPr>
              <w:spacing w:before="0" w:after="7" w:line="259" w:lineRule="auto"/>
              <w:ind w:left="28" w:right="0" w:firstLine="0"/>
              <w:jc w:val="left"/>
            </w:pPr>
            <w:r>
              <w:rPr>
                <w:sz w:val="18"/>
              </w:rPr>
              <w:t xml:space="preserve"> </w:t>
            </w:r>
          </w:p>
          <w:p>
            <w:pPr>
              <w:spacing w:before="0" w:after="12" w:line="259" w:lineRule="auto"/>
              <w:ind w:left="28" w:right="0" w:firstLine="0"/>
              <w:jc w:val="left"/>
            </w:pPr>
            <w:r>
              <w:rPr>
                <w:sz w:val="18"/>
              </w:rPr>
              <w:t xml:space="preserve">Burke and Egaru, on behalf of the UN </w:t>
            </w:r>
          </w:p>
          <w:p>
            <w:pPr>
              <w:spacing w:before="0" w:after="0" w:line="259" w:lineRule="auto"/>
              <w:ind w:left="28" w:right="0" w:firstLine="0"/>
              <w:jc w:val="left"/>
            </w:pPr>
            <w:r>
              <w:rPr>
                <w:sz w:val="18"/>
              </w:rPr>
              <w:t xml:space="preserve">Peacebuilding Programme in Acholi, </w:t>
            </w:r>
          </w:p>
        </w:tc>
        <w:tc>
          <w:tcPr>
            <w:tcW w:w="2880" w:type="dxa"/>
            <w:tcBorders>
              <w:top w:val="single" w:sz="4" w:color="000000"/>
              <w:left w:val="single" w:sz="4" w:color="000000"/>
              <w:bottom w:val="single" w:sz="4" w:color="000000"/>
              <w:right w:val="single" w:sz="4" w:color="000000"/>
            </w:tcBorders>
            <w:vAlign w:val="top"/>
          </w:tcPr>
          <w:p>
            <w:pPr>
              <w:spacing w:before="0" w:after="62" w:line="259" w:lineRule="auto"/>
              <w:ind w:left="24" w:right="0" w:firstLine="0"/>
              <w:jc w:val="left"/>
            </w:pPr>
            <w:r>
              <w:rPr>
                <w:rFonts w:cs="Cambria" w:hAnsi="Cambria" w:eastAsia="Cambria" w:ascii="Cambria"/>
                <w:b w:val="1"/>
                <w:sz w:val="16"/>
              </w:rPr>
              <w:t xml:space="preserve">Targets (year 1):</w:t>
            </w:r>
            <w:r>
              <w:rPr>
                <w:rFonts w:cs="Cambria" w:hAnsi="Cambria" w:eastAsia="Cambria" w:ascii="Cambria"/>
                <w:b w:val="1"/>
                <w:sz w:val="16"/>
              </w:rPr>
              <w:t xml:space="preserve"> </w:t>
            </w:r>
          </w:p>
          <w:p>
            <w:pPr>
              <w:numPr>
                <w:ilvl w:val="0"/>
                <w:numId w:val="9"/>
              </w:numPr>
              <w:spacing w:before="0" w:after="12" w:line="275" w:lineRule="auto"/>
              <w:ind w:left="139" w:right="0" w:hanging="139"/>
              <w:jc w:val="left"/>
            </w:pPr>
            <w:r>
              <w:rPr>
                <w:sz w:val="16"/>
              </w:rPr>
              <w:t xml:space="preserve">Baselines for police, human rights coordination, local council courts, and traditional justice institutions established</w:t>
            </w:r>
            <w:r>
              <w:rPr>
                <w:sz w:val="16"/>
              </w:rPr>
              <w:t xml:space="preserve"> </w:t>
            </w:r>
          </w:p>
          <w:p>
            <w:pPr>
              <w:numPr>
                <w:ilvl w:val="0"/>
                <w:numId w:val="9"/>
              </w:numPr>
              <w:spacing w:before="0" w:after="10" w:line="277" w:lineRule="auto"/>
              <w:ind w:left="139" w:right="0" w:hanging="139"/>
              <w:jc w:val="left"/>
            </w:pPr>
            <w:r>
              <w:rPr>
                <w:sz w:val="16"/>
              </w:rPr>
              <w:t xml:space="preserve">Partnership between UNDP and local police and other justice institutions established. </w:t>
            </w:r>
            <w:r>
              <w:rPr>
                <w:sz w:val="16"/>
              </w:rPr>
              <w:t xml:space="preserve"> </w:t>
            </w:r>
          </w:p>
          <w:p>
            <w:pPr>
              <w:numPr>
                <w:ilvl w:val="0"/>
                <w:numId w:val="9"/>
              </w:numPr>
              <w:spacing w:before="0" w:after="5" w:line="277" w:lineRule="auto"/>
              <w:ind w:left="139" w:right="0" w:hanging="139"/>
              <w:jc w:val="left"/>
            </w:pPr>
            <w:r>
              <w:rPr>
                <w:sz w:val="16"/>
              </w:rPr>
              <w:t xml:space="preserve">All human, institutional and material capacity development assessments undertaken and plans developed for capacity development</w:t>
            </w:r>
            <w:r>
              <w:rPr>
                <w:sz w:val="16"/>
              </w:rPr>
              <w:t xml:space="preserve"> </w:t>
            </w:r>
          </w:p>
          <w:p>
            <w:pPr>
              <w:numPr>
                <w:ilvl w:val="0"/>
                <w:numId w:val="9"/>
              </w:numPr>
              <w:spacing w:before="0" w:after="10" w:line="277" w:lineRule="auto"/>
              <w:ind w:left="139" w:right="0" w:hanging="139"/>
              <w:jc w:val="left"/>
            </w:pPr>
            <w:r>
              <w:rPr>
                <w:sz w:val="16"/>
              </w:rPr>
              <w:t xml:space="preserve">Plans developed for community policing </w:t>
            </w:r>
            <w:r>
              <w:rPr>
                <w:sz w:val="16"/>
              </w:rPr>
              <w:t xml:space="preserve"> </w:t>
            </w:r>
          </w:p>
          <w:p>
            <w:pPr>
              <w:numPr>
                <w:ilvl w:val="0"/>
                <w:numId w:val="9"/>
              </w:numPr>
              <w:spacing w:before="0" w:after="0" w:line="259" w:lineRule="auto"/>
              <w:ind w:left="139" w:right="0" w:hanging="139"/>
              <w:jc w:val="left"/>
            </w:pPr>
            <w:r>
              <w:rPr>
                <w:sz w:val="16"/>
              </w:rPr>
              <w:t xml:space="preserve">Material support / equipment provided and in place.</w:t>
            </w:r>
            <w:r>
              <w:rPr>
                <w:sz w:val="16"/>
              </w:rPr>
              <w:t xml:space="preserve"> </w:t>
            </w:r>
          </w:p>
        </w:tc>
        <w:tc>
          <w:tcPr>
            <w:tcW w:w="3960" w:type="dxa"/>
            <w:tcBorders>
              <w:top w:val="single" w:sz="4" w:color="000000"/>
              <w:left w:val="single" w:sz="4" w:color="000000"/>
              <w:bottom w:val="single" w:sz="4" w:color="000000"/>
              <w:right w:val="single" w:sz="4" w:color="000000"/>
            </w:tcBorders>
            <w:vAlign w:val="top"/>
          </w:tcPr>
          <w:p>
            <w:pPr>
              <w:spacing w:before="0" w:after="2" w:line="270" w:lineRule="auto"/>
              <w:ind w:left="24" w:right="38" w:firstLine="0"/>
            </w:pPr>
            <w:r>
              <w:rPr>
                <w:rFonts w:cs="Cambria" w:hAnsi="Cambria" w:eastAsia="Cambria" w:ascii="Cambria"/>
                <w:b w:val="1"/>
                <w:sz w:val="18"/>
              </w:rPr>
              <w:t xml:space="preserve">1.1 Activity Result: </w:t>
            </w:r>
            <w:r>
              <w:rPr>
                <w:rFonts w:cs="Cambria" w:hAnsi="Cambria" w:eastAsia="Cambria" w:ascii="Cambria"/>
                <w:i w:val="1"/>
                <w:sz w:val="18"/>
              </w:rPr>
              <w:t xml:space="preserve">Community security services and public confidence increased, in particular for women.</w:t>
            </w:r>
            <w:r>
              <w:rPr>
                <w:rFonts w:cs="Cambria" w:hAnsi="Cambria" w:eastAsia="Cambria" w:ascii="Cambria"/>
                <w:b w:val="1"/>
                <w:i w:val="1"/>
                <w:sz w:val="18"/>
              </w:rPr>
              <w:t xml:space="preserve"> </w:t>
            </w:r>
          </w:p>
          <w:p>
            <w:pPr>
              <w:spacing w:before="0" w:after="7" w:line="259" w:lineRule="auto"/>
              <w:ind w:left="24" w:right="0" w:firstLine="0"/>
              <w:jc w:val="left"/>
            </w:pPr>
            <w:r>
              <w:rPr>
                <w:sz w:val="18"/>
              </w:rPr>
              <w:t xml:space="preserve"> </w:t>
            </w:r>
          </w:p>
          <w:p>
            <w:pPr>
              <w:spacing w:before="0" w:after="12" w:line="259" w:lineRule="auto"/>
              <w:ind w:left="24" w:right="0" w:firstLine="0"/>
              <w:jc w:val="left"/>
            </w:pPr>
            <w:r>
              <w:rPr>
                <w:sz w:val="18"/>
              </w:rPr>
              <w:t xml:space="preserve">1.1.1. Establish participatory assessments </w:t>
            </w:r>
          </w:p>
          <w:p>
            <w:pPr>
              <w:spacing w:before="0" w:after="7" w:line="259" w:lineRule="auto"/>
              <w:ind w:left="24" w:right="0" w:firstLine="0"/>
              <w:jc w:val="left"/>
            </w:pPr>
            <w:r>
              <w:rPr>
                <w:sz w:val="18"/>
              </w:rPr>
              <w:t xml:space="preserve">(baseline), including annual data collection on:</w:t>
            </w:r>
            <w:r>
              <w:rPr>
                <w:sz w:val="18"/>
              </w:rPr>
              <w:t xml:space="preserve"> </w:t>
            </w:r>
          </w:p>
          <w:p>
            <w:pPr>
              <w:numPr>
                <w:ilvl w:val="0"/>
                <w:numId w:val="10"/>
              </w:numPr>
              <w:spacing w:before="0" w:after="0" w:line="273" w:lineRule="auto"/>
              <w:ind w:left="456" w:right="0" w:hanging="269"/>
              <w:jc w:val="left"/>
            </w:pPr>
            <w:r>
              <w:rPr>
                <w:sz w:val="18"/>
              </w:rPr>
              <w:t xml:space="preserve">People’s perception on access to justice services and security in target areas.</w:t>
            </w:r>
            <w:r>
              <w:rPr>
                <w:sz w:val="18"/>
              </w:rPr>
              <w:t xml:space="preserve"> </w:t>
            </w:r>
          </w:p>
          <w:p>
            <w:pPr>
              <w:numPr>
                <w:ilvl w:val="0"/>
                <w:numId w:val="10"/>
              </w:numPr>
              <w:spacing w:before="0" w:after="0" w:line="273" w:lineRule="auto"/>
              <w:ind w:left="456" w:right="0" w:hanging="269"/>
              <w:jc w:val="left"/>
            </w:pPr>
            <w:r>
              <w:rPr>
                <w:sz w:val="18"/>
              </w:rPr>
              <w:t xml:space="preserve">People’s awareness of rights and legal services (to be fed into output 4.2). </w:t>
            </w:r>
            <w:r>
              <w:rPr>
                <w:sz w:val="18"/>
              </w:rPr>
              <w:t xml:space="preserve"> </w:t>
            </w:r>
          </w:p>
          <w:p>
            <w:pPr>
              <w:numPr>
                <w:ilvl w:val="0"/>
                <w:numId w:val="10"/>
              </w:numPr>
              <w:spacing w:before="0" w:after="0" w:line="259" w:lineRule="auto"/>
              <w:ind w:left="456" w:right="0" w:hanging="269"/>
              <w:jc w:val="left"/>
            </w:pPr>
            <w:r>
              <w:rPr>
                <w:sz w:val="18"/>
              </w:rPr>
              <w:t xml:space="preserve">Number and type (land/SGBV etc.) of legal cases/crimes/conflicts reported to UNDP supported justice and security providers (JLOS, police, but also lawyers, NGOs, paralegals as per 1.2.</w:t>
            </w:r>
            <w:r>
              <w:rPr>
                <w:sz w:val="18"/>
              </w:rPr>
              <w:t xml:space="preserve"> </w:t>
            </w:r>
          </w:p>
        </w:tc>
        <w:tc>
          <w:tcPr>
            <w:tcW w:w="2338" w:type="dxa"/>
            <w:tcBorders>
              <w:top w:val="single" w:sz="4" w:color="000000"/>
              <w:left w:val="single" w:sz="4" w:color="000000"/>
              <w:bottom w:val="single" w:sz="4" w:color="000000"/>
              <w:right w:val="single" w:sz="4" w:color="000000"/>
            </w:tcBorders>
            <w:vAlign w:val="top"/>
          </w:tcPr>
          <w:p>
            <w:pPr>
              <w:spacing w:before="0" w:after="0" w:line="273" w:lineRule="auto"/>
              <w:ind w:left="24" w:right="0" w:firstLine="0"/>
              <w:jc w:val="left"/>
            </w:pPr>
            <w:r>
              <w:rPr>
                <w:sz w:val="18"/>
              </w:rPr>
              <w:t xml:space="preserve">JLOS local and national institutions; JLOS </w:t>
            </w:r>
          </w:p>
          <w:p>
            <w:pPr>
              <w:spacing w:before="0" w:after="0" w:line="271" w:lineRule="auto"/>
              <w:ind w:left="24" w:right="90" w:firstLine="0"/>
            </w:pPr>
            <w:r>
              <w:rPr>
                <w:sz w:val="18"/>
              </w:rPr>
              <w:t xml:space="preserve">Secretariat; District and Sub</w:t>
            </w:r>
            <w:r>
              <w:rPr>
                <w:sz w:val="18"/>
              </w:rPr>
              <w:t xml:space="preserve">-</w:t>
            </w:r>
            <w:r>
              <w:rPr>
                <w:sz w:val="18"/>
              </w:rPr>
              <w:t xml:space="preserve">county local government; District Court Committee; Universities; </w:t>
            </w:r>
          </w:p>
          <w:p>
            <w:pPr>
              <w:spacing w:before="0" w:after="12" w:line="259" w:lineRule="auto"/>
              <w:ind w:left="24" w:right="0" w:firstLine="0"/>
              <w:jc w:val="left"/>
            </w:pPr>
            <w:r>
              <w:rPr>
                <w:sz w:val="18"/>
              </w:rPr>
              <w:t xml:space="preserve">UN partners; NGOs (African </w:t>
            </w:r>
          </w:p>
          <w:p>
            <w:pPr>
              <w:spacing w:before="0" w:after="0" w:line="259" w:lineRule="auto"/>
              <w:ind w:left="24" w:right="0" w:firstLine="0"/>
              <w:jc w:val="left"/>
            </w:pPr>
            <w:r>
              <w:rPr>
                <w:sz w:val="18"/>
              </w:rPr>
              <w:t xml:space="preserve">Leadership initiative, FIDA, FHRI, Community Legal Advice Service). </w:t>
            </w:r>
            <w:r>
              <w:rPr>
                <w:sz w:val="18"/>
              </w:rPr>
              <w:t xml:space="preserve"> </w:t>
            </w:r>
          </w:p>
        </w:tc>
        <w:tc>
          <w:tcPr>
            <w:tcW w:w="1981"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rFonts w:cs="Cambria" w:hAnsi="Cambria" w:eastAsia="Cambria" w:ascii="Cambria"/>
                <w:i w:val="1"/>
                <w:sz w:val="18"/>
              </w:rPr>
              <w:t xml:space="preserve">Consultancies</w:t>
            </w: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200,000 </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Professional services</w:t>
            </w: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150,000</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M&amp;E, Baseline,</w:t>
            </w: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80,000</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Research</w:t>
            </w: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70,000</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Trainings </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80,000</w:t>
            </w: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Material, </w:t>
            </w:r>
          </w:p>
          <w:p>
            <w:pPr>
              <w:spacing w:before="0" w:after="12" w:line="259" w:lineRule="auto"/>
              <w:ind w:left="29" w:right="0" w:firstLine="0"/>
              <w:jc w:val="left"/>
            </w:pPr>
            <w:r>
              <w:rPr>
                <w:rFonts w:cs="Cambria" w:hAnsi="Cambria" w:eastAsia="Cambria" w:ascii="Cambria"/>
                <w:i w:val="1"/>
                <w:sz w:val="18"/>
              </w:rPr>
              <w:t xml:space="preserve">Infrastructure, </w:t>
            </w:r>
          </w:p>
          <w:p>
            <w:pPr>
              <w:spacing w:before="0" w:after="7" w:line="259" w:lineRule="auto"/>
              <w:ind w:left="29" w:right="0" w:firstLine="0"/>
              <w:jc w:val="left"/>
            </w:pPr>
            <w:r>
              <w:rPr>
                <w:rFonts w:cs="Cambria" w:hAnsi="Cambria" w:eastAsia="Cambria" w:ascii="Cambria"/>
                <w:i w:val="1"/>
                <w:sz w:val="18"/>
              </w:rPr>
              <w:t xml:space="preserve">Equipment </w:t>
            </w: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300,000</w:t>
            </w:r>
            <w:r>
              <w:rPr>
                <w:rFonts w:cs="Cambria" w:hAnsi="Cambria" w:eastAsia="Cambria" w:ascii="Cambria"/>
                <w:i w:val="1"/>
                <w:sz w:val="18"/>
              </w:rPr>
              <w:t xml:space="preserve"> </w:t>
            </w:r>
          </w:p>
          <w:p>
            <w:pPr>
              <w:spacing w:before="0" w:after="0" w:line="259" w:lineRule="auto"/>
              <w:ind w:left="29" w:right="0" w:firstLine="0"/>
              <w:jc w:val="left"/>
            </w:pPr>
            <w:r>
              <w:rPr>
                <w:rFonts w:cs="Cambria" w:hAnsi="Cambria" w:eastAsia="Cambria" w:ascii="Cambria"/>
                <w:i w:val="1"/>
                <w:sz w:val="18"/>
              </w:rPr>
              <w:t xml:space="preserve"> </w:t>
            </w:r>
          </w:p>
        </w:tc>
      </w:tr>
    </w:tbl>
    <w:p>
      <w:pPr>
        <w:spacing w:before="0" w:after="0" w:line="259" w:lineRule="auto"/>
        <w:ind w:left="-1440" w:right="14405" w:firstLine="0"/>
        <w:jc w:val="left"/>
      </w:pPr>
    </w:p>
    <w:tbl>
      <w:tblPr>
        <w:tblStyle w:val="TableGrid"/>
        <w:tblW w:w="14582" w:type="dxa"/>
        <w:tblInd w:w="-811" w:type="dxa"/>
        <w:tblCellMar>
          <w:top w:w="31" w:type="dxa"/>
          <w:left w:w="82" w:type="dxa"/>
          <w:bottom w:w="0" w:type="dxa"/>
          <w:right w:w="70" w:type="dxa"/>
        </w:tblCellMar>
      </w:tblPr>
      <w:tblGrid>
        <w:gridCol w:w="3422"/>
        <w:gridCol w:w="2880"/>
        <w:gridCol w:w="3960"/>
        <w:gridCol w:w="2338"/>
        <w:gridCol w:w="1982"/>
      </w:tblGrid>
      <w:tr>
        <w:trPr>
          <w:trHeight w:val="8506" w:hRule="atLeast"/>
        </w:trPr>
        <w:tc>
          <w:tcPr>
            <w:tcW w:w="3422" w:type="dxa"/>
            <w:tcBorders>
              <w:top w:val="single" w:sz="4" w:color="000000"/>
              <w:left w:val="single" w:sz="4" w:color="000000"/>
              <w:bottom w:val="single" w:sz="4" w:color="000000"/>
              <w:right w:val="single" w:sz="4" w:color="000000"/>
            </w:tcBorders>
            <w:vAlign w:val="top"/>
          </w:tcPr>
          <w:p>
            <w:pPr>
              <w:spacing w:before="0" w:after="2" w:line="270" w:lineRule="auto"/>
              <w:ind w:left="29" w:right="0" w:firstLine="0"/>
              <w:jc w:val="left"/>
            </w:pPr>
            <w:r>
              <w:rPr>
                <w:rFonts w:cs="Cambria" w:hAnsi="Cambria" w:eastAsia="Cambria" w:ascii="Cambria"/>
                <w:i w:val="1"/>
                <w:sz w:val="18"/>
              </w:rPr>
              <w:t xml:space="preserve">identification of good practices in land conflict resolution in Acholi Land, </w:t>
            </w:r>
            <w:r>
              <w:rPr>
                <w:sz w:val="18"/>
              </w:rPr>
              <w:t xml:space="preserve">November 2011.</w:t>
            </w:r>
            <w:r>
              <w:rPr>
                <w:sz w:val="18"/>
              </w:rPr>
              <w:t xml:space="preserve"> </w:t>
            </w:r>
          </w:p>
          <w:p>
            <w:pPr>
              <w:spacing w:before="0" w:after="7" w:line="259" w:lineRule="auto"/>
              <w:ind w:left="29" w:right="0" w:firstLine="0"/>
              <w:jc w:val="left"/>
            </w:pPr>
            <w:r>
              <w:rPr>
                <w:rFonts w:cs="Cambria" w:hAnsi="Cambria" w:eastAsia="Cambria" w:ascii="Cambria"/>
                <w:b w:val="1"/>
                <w:sz w:val="18"/>
              </w:rPr>
              <w:t xml:space="preserve">Indicators:</w:t>
            </w:r>
            <w:r>
              <w:rPr>
                <w:rFonts w:cs="Cambria" w:hAnsi="Cambria" w:eastAsia="Cambria" w:ascii="Cambria"/>
                <w:b w:val="1"/>
                <w:sz w:val="18"/>
              </w:rPr>
              <w:t xml:space="preserve"> </w:t>
            </w:r>
          </w:p>
          <w:p>
            <w:pPr>
              <w:spacing w:before="0" w:after="0" w:line="273" w:lineRule="auto"/>
              <w:ind w:left="29" w:right="0" w:firstLine="0"/>
              <w:jc w:val="left"/>
            </w:pPr>
            <w:r>
              <w:rPr>
                <w:sz w:val="18"/>
              </w:rPr>
              <w:t xml:space="preserve">% reduction in Crime statistics disaggregated by category </w:t>
            </w:r>
          </w:p>
          <w:p>
            <w:pPr>
              <w:spacing w:before="0" w:after="0" w:line="271" w:lineRule="auto"/>
              <w:ind w:left="29" w:right="0" w:firstLine="0"/>
              <w:jc w:val="left"/>
            </w:pPr>
            <w:r>
              <w:rPr>
                <w:sz w:val="18"/>
              </w:rPr>
              <w:t xml:space="preserve">(violence/crime related to women’s issues (broken down by category </w:t>
            </w:r>
            <w:r>
              <w:rPr>
                <w:sz w:val="18"/>
              </w:rPr>
              <w:t xml:space="preserve">– </w:t>
            </w:r>
            <w:r>
              <w:rPr>
                <w:sz w:val="18"/>
              </w:rPr>
              <w:t xml:space="preserve">domestic/sexual assault etc.) land; cattle rustling; mining; (broken down by category).</w:t>
            </w:r>
            <w:r>
              <w:rPr>
                <w:sz w:val="18"/>
              </w:rPr>
              <w:t xml:space="preserve"> </w:t>
            </w:r>
          </w:p>
          <w:p>
            <w:pPr>
              <w:spacing w:before="0" w:after="2" w:line="270" w:lineRule="auto"/>
              <w:ind w:left="29" w:right="0" w:firstLine="0"/>
              <w:jc w:val="left"/>
            </w:pPr>
            <w:r>
              <w:rPr>
                <w:sz w:val="18"/>
              </w:rPr>
              <w:t xml:space="preserve">Number of cases taken up and resolved by the LCCs</w:t>
            </w:r>
            <w:r>
              <w:rPr>
                <w:sz w:val="18"/>
              </w:rPr>
              <w:t xml:space="preserve"> </w:t>
            </w:r>
            <w:r>
              <w:rPr>
                <w:sz w:val="18"/>
              </w:rPr>
              <w:t xml:space="preserve">disaggregated by category </w:t>
            </w:r>
            <w:r>
              <w:rPr>
                <w:sz w:val="18"/>
              </w:rPr>
              <w:t xml:space="preserve">(</w:t>
            </w:r>
            <w:r>
              <w:rPr>
                <w:sz w:val="18"/>
              </w:rPr>
              <w:t xml:space="preserve">i.e.</w:t>
            </w:r>
            <w:r>
              <w:rPr>
                <w:sz w:val="18"/>
              </w:rPr>
              <w:t xml:space="preserve">  </w:t>
            </w:r>
            <w:r>
              <w:rPr>
                <w:sz w:val="18"/>
              </w:rPr>
              <w:t xml:space="preserve">Land, sexual assault etc)</w:t>
            </w:r>
            <w:r>
              <w:rPr>
                <w:sz w:val="18"/>
              </w:rPr>
              <w:t xml:space="preserve">.</w:t>
            </w:r>
            <w:r>
              <w:rPr>
                <w:sz w:val="18"/>
              </w:rPr>
              <w:t xml:space="preserve"> </w:t>
            </w:r>
          </w:p>
          <w:p>
            <w:pPr>
              <w:spacing w:before="0" w:after="2" w:line="270" w:lineRule="auto"/>
              <w:ind w:left="29" w:right="0" w:firstLine="0"/>
              <w:jc w:val="left"/>
            </w:pPr>
            <w:r>
              <w:rPr>
                <w:sz w:val="18"/>
              </w:rPr>
              <w:t xml:space="preserve">Numbers of prisoners with legal representation from prison services in target areas.</w:t>
            </w:r>
            <w:r>
              <w:rPr>
                <w:sz w:val="18"/>
              </w:rPr>
              <w:t xml:space="preserve"> </w:t>
            </w:r>
          </w:p>
          <w:p>
            <w:pPr>
              <w:spacing w:before="0" w:after="7" w:line="259" w:lineRule="auto"/>
              <w:ind w:left="29" w:right="0" w:firstLine="0"/>
              <w:jc w:val="left"/>
            </w:pPr>
            <w:r>
              <w:rPr>
                <w:rFonts w:cs="Cambria" w:hAnsi="Cambria" w:eastAsia="Cambria" w:ascii="Cambria"/>
                <w:b w:val="1"/>
                <w:sz w:val="18"/>
              </w:rPr>
              <w:t xml:space="preserve"> </w:t>
            </w:r>
          </w:p>
          <w:p>
            <w:pPr>
              <w:spacing w:before="0" w:after="12" w:line="259" w:lineRule="auto"/>
              <w:ind w:left="29" w:right="0" w:firstLine="0"/>
              <w:jc w:val="left"/>
            </w:pPr>
            <w:r>
              <w:rPr>
                <w:rFonts w:cs="Cambria" w:hAnsi="Cambria" w:eastAsia="Cambria" w:ascii="Cambria"/>
                <w:b w:val="1"/>
                <w:sz w:val="18"/>
              </w:rPr>
              <w:t xml:space="preserve"> </w:t>
            </w:r>
          </w:p>
          <w:p>
            <w:pPr>
              <w:spacing w:before="0" w:after="7" w:line="259" w:lineRule="auto"/>
              <w:ind w:left="163" w:right="0" w:firstLine="0"/>
              <w:jc w:val="left"/>
            </w:pPr>
            <w:r>
              <w:rPr>
                <w:sz w:val="18"/>
              </w:rPr>
              <w:t xml:space="preserve"> </w:t>
            </w:r>
          </w:p>
          <w:p>
            <w:pPr>
              <w:spacing w:before="0" w:after="0" w:line="259" w:lineRule="auto"/>
              <w:ind w:left="29" w:right="0" w:firstLine="0"/>
              <w:jc w:val="left"/>
            </w:pPr>
            <w:r>
              <w:rPr>
                <w:rFonts w:cs="Cambria" w:hAnsi="Cambria" w:eastAsia="Cambria" w:ascii="Cambria"/>
                <w:i w:val="1"/>
                <w:sz w:val="18"/>
              </w:rPr>
              <w:t xml:space="preserve"> </w:t>
            </w:r>
          </w:p>
        </w:tc>
        <w:tc>
          <w:tcPr>
            <w:tcW w:w="2880" w:type="dxa"/>
            <w:tcBorders>
              <w:top w:val="single" w:sz="4" w:color="000000"/>
              <w:left w:val="single" w:sz="4" w:color="000000"/>
              <w:bottom w:val="single" w:sz="4" w:color="000000"/>
              <w:right w:val="single" w:sz="4" w:color="000000"/>
            </w:tcBorders>
            <w:vAlign w:val="top"/>
          </w:tcPr>
          <w:p>
            <w:pPr>
              <w:numPr>
                <w:ilvl w:val="0"/>
                <w:numId w:val="11"/>
              </w:numPr>
              <w:spacing w:before="0" w:after="10" w:line="277" w:lineRule="auto"/>
              <w:ind w:left="163" w:right="0" w:hanging="139"/>
              <w:jc w:val="left"/>
            </w:pPr>
            <w:r>
              <w:rPr>
                <w:sz w:val="16"/>
              </w:rPr>
              <w:t xml:space="preserve">Technical support to justice in institutions in target areas. </w:t>
            </w:r>
            <w:r>
              <w:rPr>
                <w:sz w:val="16"/>
              </w:rPr>
              <w:t xml:space="preserve"> </w:t>
            </w:r>
          </w:p>
          <w:p>
            <w:pPr>
              <w:numPr>
                <w:ilvl w:val="0"/>
                <w:numId w:val="11"/>
              </w:numPr>
              <w:spacing w:before="0" w:after="10" w:line="277" w:lineRule="auto"/>
              <w:ind w:left="163" w:right="0" w:hanging="139"/>
              <w:jc w:val="left"/>
            </w:pPr>
            <w:r>
              <w:rPr>
                <w:sz w:val="16"/>
              </w:rPr>
              <w:t xml:space="preserve">5% increase in police presence in target areas. </w:t>
            </w:r>
            <w:r>
              <w:rPr>
                <w:sz w:val="16"/>
              </w:rPr>
              <w:t xml:space="preserve"> </w:t>
            </w:r>
          </w:p>
          <w:p>
            <w:pPr>
              <w:numPr>
                <w:ilvl w:val="0"/>
                <w:numId w:val="11"/>
              </w:numPr>
              <w:spacing w:before="0" w:after="13" w:line="274" w:lineRule="auto"/>
              <w:ind w:left="163" w:right="0" w:hanging="139"/>
              <w:jc w:val="left"/>
            </w:pPr>
            <w:r>
              <w:rPr>
                <w:sz w:val="16"/>
              </w:rPr>
              <w:t xml:space="preserve">2% decrease in case back log in LCCs and magistrates’ courts in the target areas</w:t>
            </w:r>
            <w:r>
              <w:rPr>
                <w:sz w:val="16"/>
              </w:rPr>
              <w:t xml:space="preserve"> </w:t>
            </w:r>
          </w:p>
          <w:p>
            <w:pPr>
              <w:numPr>
                <w:ilvl w:val="0"/>
                <w:numId w:val="11"/>
              </w:numPr>
              <w:spacing w:before="0" w:after="10" w:line="277" w:lineRule="auto"/>
              <w:ind w:left="163" w:right="0" w:hanging="139"/>
              <w:jc w:val="left"/>
            </w:pPr>
            <w:r>
              <w:rPr>
                <w:sz w:val="16"/>
              </w:rPr>
              <w:t xml:space="preserve">Partnerships established with Universities</w:t>
            </w:r>
            <w:r>
              <w:rPr>
                <w:sz w:val="16"/>
              </w:rPr>
              <w:t xml:space="preserve">-</w:t>
            </w:r>
            <w:r>
              <w:rPr>
                <w:sz w:val="16"/>
              </w:rPr>
              <w:t xml:space="preserve">JLOS</w:t>
            </w:r>
            <w:r>
              <w:rPr>
                <w:sz w:val="16"/>
              </w:rPr>
              <w:t xml:space="preserve">-</w:t>
            </w:r>
            <w:r>
              <w:rPr>
                <w:sz w:val="16"/>
              </w:rPr>
              <w:t xml:space="preserve">UNDP.</w:t>
            </w:r>
            <w:r>
              <w:rPr>
                <w:sz w:val="16"/>
              </w:rPr>
              <w:t xml:space="preserve"> </w:t>
            </w:r>
          </w:p>
          <w:p>
            <w:pPr>
              <w:numPr>
                <w:ilvl w:val="0"/>
                <w:numId w:val="11"/>
              </w:numPr>
              <w:spacing w:before="0" w:after="4" w:line="259" w:lineRule="auto"/>
              <w:ind w:left="163" w:right="0" w:hanging="139"/>
              <w:jc w:val="left"/>
            </w:pPr>
            <w:r>
              <w:rPr>
                <w:sz w:val="16"/>
              </w:rPr>
              <w:t xml:space="preserve">Facilitated dialogues held.</w:t>
            </w:r>
            <w:r>
              <w:rPr>
                <w:sz w:val="16"/>
              </w:rPr>
              <w:t xml:space="preserve"> </w:t>
            </w:r>
          </w:p>
          <w:p>
            <w:pPr>
              <w:numPr>
                <w:ilvl w:val="0"/>
                <w:numId w:val="11"/>
              </w:numPr>
              <w:spacing w:before="0" w:after="25" w:line="299" w:lineRule="auto"/>
              <w:ind w:left="163" w:right="0" w:hanging="139"/>
              <w:jc w:val="left"/>
            </w:pPr>
            <w:r>
              <w:rPr>
                <w:sz w:val="16"/>
              </w:rPr>
              <w:t xml:space="preserve">Research initiated. </w:t>
            </w:r>
            <w:r>
              <w:rPr>
                <w:sz w:val="16"/>
              </w:rPr>
              <w:t xml:space="preserve"> </w:t>
            </w:r>
            <w:r>
              <w:rPr>
                <w:rFonts w:cs="Cambria" w:hAnsi="Cambria" w:eastAsia="Cambria" w:ascii="Cambria"/>
                <w:b w:val="1"/>
                <w:sz w:val="18"/>
              </w:rPr>
              <w:t xml:space="preserve">Targets (year 2):</w:t>
            </w:r>
            <w:r>
              <w:rPr>
                <w:rFonts w:cs="Cambria" w:hAnsi="Cambria" w:eastAsia="Cambria" w:ascii="Cambria"/>
                <w:b w:val="1"/>
                <w:sz w:val="18"/>
              </w:rPr>
              <w:t xml:space="preserve"> </w:t>
            </w:r>
          </w:p>
          <w:p>
            <w:pPr>
              <w:numPr>
                <w:ilvl w:val="0"/>
                <w:numId w:val="11"/>
              </w:numPr>
              <w:spacing w:before="0" w:after="15" w:line="267" w:lineRule="auto"/>
              <w:ind w:left="163" w:right="0" w:hanging="139"/>
              <w:jc w:val="left"/>
            </w:pPr>
            <w:r>
              <w:rPr>
                <w:sz w:val="18"/>
              </w:rPr>
              <w:t xml:space="preserve">Capacity development plans implemented.</w:t>
            </w:r>
            <w:r>
              <w:rPr>
                <w:sz w:val="18"/>
              </w:rPr>
              <w:t xml:space="preserve"> </w:t>
            </w:r>
          </w:p>
          <w:p>
            <w:pPr>
              <w:numPr>
                <w:ilvl w:val="0"/>
                <w:numId w:val="11"/>
              </w:numPr>
              <w:spacing w:before="0" w:after="15" w:line="267" w:lineRule="auto"/>
              <w:ind w:left="163" w:right="0" w:hanging="139"/>
              <w:jc w:val="left"/>
            </w:pPr>
            <w:r>
              <w:rPr>
                <w:sz w:val="18"/>
              </w:rPr>
              <w:t xml:space="preserve">10%</w:t>
            </w:r>
            <w:r>
              <w:rPr>
                <w:sz w:val="18"/>
              </w:rPr>
              <w:t xml:space="preserve"> </w:t>
            </w:r>
            <w:r>
              <w:rPr>
                <w:sz w:val="18"/>
              </w:rPr>
              <w:t xml:space="preserve">increase in police presence in target areas. </w:t>
            </w:r>
            <w:r>
              <w:rPr>
                <w:sz w:val="18"/>
              </w:rPr>
              <w:t xml:space="preserve"> </w:t>
            </w:r>
          </w:p>
          <w:p>
            <w:pPr>
              <w:numPr>
                <w:ilvl w:val="0"/>
                <w:numId w:val="11"/>
              </w:numPr>
              <w:spacing w:before="0" w:after="6" w:line="273" w:lineRule="auto"/>
              <w:ind w:left="163" w:right="0" w:hanging="139"/>
              <w:jc w:val="left"/>
            </w:pPr>
            <w:r>
              <w:rPr>
                <w:sz w:val="18"/>
              </w:rPr>
              <w:t xml:space="preserve">10% decrease in case back log in LCCs. </w:t>
            </w:r>
            <w:r>
              <w:rPr>
                <w:sz w:val="18"/>
              </w:rPr>
              <w:t xml:space="preserve"> </w:t>
            </w:r>
          </w:p>
          <w:p>
            <w:pPr>
              <w:numPr>
                <w:ilvl w:val="0"/>
                <w:numId w:val="11"/>
              </w:numPr>
              <w:spacing w:before="0" w:after="5" w:line="273" w:lineRule="auto"/>
              <w:ind w:left="163" w:right="0" w:hanging="139"/>
              <w:jc w:val="left"/>
            </w:pPr>
            <w:r>
              <w:rPr>
                <w:sz w:val="18"/>
              </w:rPr>
              <w:t xml:space="preserve">Trainings undertaken in identified areas.</w:t>
            </w:r>
            <w:r>
              <w:rPr>
                <w:sz w:val="18"/>
              </w:rPr>
              <w:t xml:space="preserve"> </w:t>
            </w:r>
          </w:p>
          <w:p>
            <w:pPr>
              <w:numPr>
                <w:ilvl w:val="0"/>
                <w:numId w:val="11"/>
              </w:numPr>
              <w:spacing w:before="0" w:after="10" w:line="273" w:lineRule="auto"/>
              <w:ind w:left="163" w:right="0" w:hanging="139"/>
              <w:jc w:val="left"/>
            </w:pPr>
            <w:r>
              <w:rPr>
                <w:sz w:val="18"/>
              </w:rPr>
              <w:t xml:space="preserve">Infrastructure provided and in place. </w:t>
            </w:r>
            <w:r>
              <w:rPr>
                <w:sz w:val="18"/>
              </w:rPr>
              <w:t xml:space="preserve"> </w:t>
            </w:r>
          </w:p>
          <w:p>
            <w:pPr>
              <w:numPr>
                <w:ilvl w:val="0"/>
                <w:numId w:val="11"/>
              </w:numPr>
              <w:spacing w:before="0" w:after="8" w:line="270" w:lineRule="auto"/>
              <w:ind w:left="163" w:right="0" w:hanging="139"/>
              <w:jc w:val="left"/>
            </w:pPr>
            <w:r>
              <w:rPr>
                <w:sz w:val="18"/>
              </w:rPr>
              <w:t xml:space="preserve">2 additional facilitated dialogues held and action points implemented. </w:t>
            </w:r>
            <w:r>
              <w:rPr>
                <w:sz w:val="18"/>
              </w:rPr>
              <w:t xml:space="preserve"> </w:t>
            </w:r>
          </w:p>
          <w:p>
            <w:pPr>
              <w:numPr>
                <w:ilvl w:val="0"/>
                <w:numId w:val="11"/>
              </w:numPr>
              <w:spacing w:before="0" w:after="17" w:line="273" w:lineRule="auto"/>
              <w:ind w:left="163" w:right="0" w:hanging="139"/>
              <w:jc w:val="left"/>
            </w:pPr>
            <w:r>
              <w:rPr>
                <w:sz w:val="18"/>
              </w:rPr>
              <w:t xml:space="preserve">Record keeping established and functional. </w:t>
            </w:r>
            <w:r>
              <w:rPr>
                <w:sz w:val="18"/>
              </w:rPr>
              <w:t xml:space="preserve"> </w:t>
            </w:r>
          </w:p>
          <w:p>
            <w:pPr>
              <w:numPr>
                <w:ilvl w:val="0"/>
                <w:numId w:val="11"/>
              </w:numPr>
              <w:spacing w:before="0" w:after="2" w:line="277" w:lineRule="auto"/>
              <w:ind w:left="163" w:right="0" w:hanging="139"/>
              <w:jc w:val="left"/>
            </w:pPr>
            <w:r>
              <w:rPr>
                <w:sz w:val="18"/>
              </w:rPr>
              <w:t xml:space="preserve">Annual 	data 	collection conducted and communicated to national 	level 	to 	feed 	into national 	level 	policy 	making processes.</w:t>
            </w:r>
            <w:r>
              <w:rPr>
                <w:sz w:val="18"/>
              </w:rPr>
              <w:t xml:space="preserve"> </w:t>
            </w:r>
          </w:p>
          <w:p>
            <w:pPr>
              <w:numPr>
                <w:ilvl w:val="0"/>
                <w:numId w:val="11"/>
              </w:numPr>
              <w:spacing w:before="0" w:after="0" w:line="259" w:lineRule="auto"/>
              <w:ind w:left="163" w:right="0" w:hanging="139"/>
              <w:jc w:val="left"/>
            </w:pPr>
            <w:r>
              <w:rPr>
                <w:sz w:val="18"/>
              </w:rPr>
              <w:t xml:space="preserve">Continued implementation, review and revision of capacity plans.</w:t>
            </w:r>
            <w:r>
              <w:rPr>
                <w:sz w:val="18"/>
              </w:rPr>
              <w:t xml:space="preserve"> </w:t>
            </w:r>
          </w:p>
        </w:tc>
        <w:tc>
          <w:tcPr>
            <w:tcW w:w="3960" w:type="dxa"/>
            <w:tcBorders>
              <w:top w:val="single" w:sz="4" w:color="000000"/>
              <w:left w:val="single" w:sz="4" w:color="000000"/>
              <w:bottom w:val="single" w:sz="4" w:color="000000"/>
              <w:right w:val="single" w:sz="4" w:color="000000"/>
            </w:tcBorders>
            <w:vAlign w:val="top"/>
          </w:tcPr>
          <w:p>
            <w:pPr>
              <w:numPr>
                <w:ilvl w:val="0"/>
                <w:numId w:val="12"/>
              </w:numPr>
              <w:spacing w:before="0" w:after="0" w:line="273" w:lineRule="auto"/>
              <w:ind w:left="456" w:right="0" w:hanging="269"/>
              <w:jc w:val="left"/>
            </w:pPr>
            <w:r>
              <w:rPr>
                <w:sz w:val="18"/>
              </w:rPr>
              <w:t xml:space="preserve">Number of these cases that are satisfactory resolved by JLOS institutions.</w:t>
            </w:r>
            <w:r>
              <w:rPr>
                <w:sz w:val="18"/>
              </w:rPr>
              <w:t xml:space="preserve"> </w:t>
            </w:r>
          </w:p>
          <w:p>
            <w:pPr>
              <w:numPr>
                <w:ilvl w:val="0"/>
                <w:numId w:val="12"/>
              </w:numPr>
              <w:spacing w:before="0" w:after="0" w:line="271" w:lineRule="auto"/>
              <w:ind w:left="456" w:right="0" w:hanging="269"/>
              <w:jc w:val="left"/>
            </w:pPr>
            <w:r>
              <w:rPr>
                <w:sz w:val="18"/>
              </w:rPr>
              <w:t xml:space="preserve">Number of people reached through community policing and as per 4.2 outreach activities by JLOS officials to sensitize and reach local communities.</w:t>
            </w:r>
            <w:r>
              <w:rPr>
                <w:sz w:val="18"/>
              </w:rPr>
              <w:t xml:space="preserve"> </w:t>
            </w:r>
          </w:p>
          <w:p>
            <w:pPr>
              <w:spacing w:before="0" w:after="2" w:line="271" w:lineRule="auto"/>
              <w:ind w:left="24" w:right="0" w:firstLine="0"/>
              <w:jc w:val="left"/>
            </w:pPr>
            <w:r>
              <w:rPr>
                <w:sz w:val="18"/>
              </w:rPr>
              <w:t xml:space="preserve">1</w:t>
            </w:r>
            <w:r>
              <w:rPr>
                <w:sz w:val="18"/>
              </w:rPr>
              <w:t xml:space="preserve">.1.2: Assist local authorities to feed in data into national policy making processes (on legal aid /on policing/ SGBV /on AVR / on Land /traditional justice etc.).</w:t>
            </w:r>
            <w:r>
              <w:rPr>
                <w:sz w:val="18"/>
              </w:rPr>
              <w:t xml:space="preserve"> </w:t>
            </w:r>
          </w:p>
          <w:p>
            <w:pPr>
              <w:spacing w:before="0" w:after="5" w:line="267" w:lineRule="auto"/>
              <w:ind w:left="24" w:right="0" w:firstLine="0"/>
            </w:pPr>
            <w:r>
              <w:rPr>
                <w:sz w:val="18"/>
              </w:rPr>
              <w:t xml:space="preserve">1</w:t>
            </w:r>
            <w:r>
              <w:rPr>
                <w:sz w:val="18"/>
              </w:rPr>
              <w:t xml:space="preserve">1.1.3 Establish a central repository for decisions of LCCs</w:t>
            </w:r>
            <w:r>
              <w:rPr>
                <w:sz w:val="18"/>
              </w:rPr>
              <w:t xml:space="preserve"> </w:t>
            </w:r>
          </w:p>
          <w:p>
            <w:pPr>
              <w:spacing w:before="0" w:after="7" w:line="259" w:lineRule="auto"/>
              <w:ind w:left="24" w:right="0" w:firstLine="0"/>
              <w:jc w:val="left"/>
            </w:pPr>
            <w:r>
              <w:rPr>
                <w:sz w:val="18"/>
              </w:rPr>
              <w:t xml:space="preserve"> </w:t>
            </w:r>
          </w:p>
          <w:p>
            <w:pPr>
              <w:spacing w:before="0" w:after="16" w:line="262" w:lineRule="auto"/>
              <w:ind w:left="24" w:right="0" w:firstLine="0"/>
              <w:jc w:val="left"/>
            </w:pPr>
            <w:r>
              <w:rPr>
                <w:sz w:val="18"/>
              </w:rPr>
              <w:t xml:space="preserve">1.1.4</w:t>
            </w:r>
            <w:r>
              <w:rPr>
                <w:sz w:val="18"/>
              </w:rPr>
              <w:t xml:space="preserve">: Develop and agree conditions for the partnership between UNDP and police</w:t>
            </w:r>
            <w:r>
              <w:rPr>
                <w:sz w:val="18"/>
                <w:vertAlign w:val="superscript"/>
              </w:rPr>
              <w:footnoteReference w:id="55"/>
            </w:r>
            <w:r>
              <w:rPr>
                <w:sz w:val="18"/>
              </w:rPr>
              <w:t xml:space="preserve">. </w:t>
            </w:r>
            <w:r>
              <w:rPr>
                <w:sz w:val="18"/>
              </w:rPr>
              <w:t xml:space="preserve"> </w:t>
            </w:r>
          </w:p>
          <w:p>
            <w:pPr>
              <w:spacing w:before="0" w:after="0" w:line="271" w:lineRule="auto"/>
              <w:ind w:left="24" w:right="284" w:firstLine="0"/>
              <w:jc w:val="left"/>
            </w:pPr>
            <w:r>
              <w:rPr>
                <w:sz w:val="18"/>
              </w:rPr>
              <w:t xml:space="preserve">1.1.5</w:t>
            </w:r>
            <w:r>
              <w:rPr>
                <w:sz w:val="18"/>
              </w:rPr>
              <w:t xml:space="preserve">: Capacity development assessments of needs essential for increasing police reach&amp; community policing in remote areas</w:t>
            </w:r>
            <w:r>
              <w:rPr>
                <w:sz w:val="18"/>
                <w:vertAlign w:val="superscript"/>
              </w:rPr>
              <w:footnoteReference w:id="56"/>
            </w:r>
            <w:r>
              <w:rPr>
                <w:sz w:val="18"/>
              </w:rPr>
              <w:t xml:space="preserve">, and special awareness</w:t>
            </w:r>
            <w:r>
              <w:rPr>
                <w:sz w:val="18"/>
              </w:rPr>
              <w:t xml:space="preserve"> </w:t>
            </w:r>
            <w:r>
              <w:rPr>
                <w:sz w:val="18"/>
              </w:rPr>
              <w:t xml:space="preserve">programmes for youth and women on issues regarding land</w:t>
            </w:r>
            <w:r>
              <w:rPr>
                <w:sz w:val="18"/>
              </w:rPr>
              <w:t xml:space="preserve"> </w:t>
            </w:r>
            <w:r>
              <w:rPr>
                <w:sz w:val="18"/>
              </w:rPr>
              <w:t xml:space="preserve">1.1.6</w:t>
            </w:r>
            <w:r>
              <w:rPr>
                <w:sz w:val="18"/>
              </w:rPr>
              <w:t xml:space="preserve">: Develop &amp; implement capacity development plan.  </w:t>
            </w:r>
            <w:r>
              <w:rPr>
                <w:sz w:val="18"/>
              </w:rPr>
              <w:t xml:space="preserve"> </w:t>
            </w:r>
          </w:p>
          <w:p>
            <w:pPr>
              <w:spacing w:before="0" w:after="2" w:line="271" w:lineRule="auto"/>
              <w:ind w:left="24" w:right="168" w:firstLine="0"/>
            </w:pPr>
            <w:r>
              <w:rPr>
                <w:sz w:val="18"/>
              </w:rPr>
              <w:t xml:space="preserve">1.1.7</w:t>
            </w:r>
            <w:r>
              <w:rPr>
                <w:sz w:val="18"/>
              </w:rPr>
              <w:t xml:space="preserve">: Provision of technical advice; materials, equipment (bikes/motorbikes/communication etc.) and infrastructure rehabilitation essential for police service increase.</w:t>
            </w:r>
            <w:r>
              <w:rPr>
                <w:sz w:val="18"/>
              </w:rPr>
              <w:t xml:space="preserve"> </w:t>
            </w:r>
          </w:p>
          <w:p>
            <w:pPr>
              <w:spacing w:before="0" w:after="0" w:line="259" w:lineRule="auto"/>
              <w:ind w:left="24" w:right="0" w:firstLine="0"/>
              <w:jc w:val="left"/>
            </w:pPr>
            <w:r>
              <w:rPr>
                <w:sz w:val="18"/>
              </w:rPr>
              <w:t xml:space="preserve">1.1.8</w:t>
            </w:r>
            <w:r>
              <w:rPr>
                <w:sz w:val="18"/>
              </w:rPr>
              <w:t xml:space="preserve">: Provide joint trainings (experiential </w:t>
            </w:r>
            <w:r>
              <w:rPr>
                <w:sz w:val="18"/>
              </w:rPr>
              <w:t xml:space="preserve">- </w:t>
            </w:r>
            <w:r>
              <w:rPr>
                <w:sz w:val="18"/>
              </w:rPr>
              <w:t xml:space="preserve">based on real cases) for police and prosecutors in target areas in identifying and responding to GBV cases and land related crimes (effective gender sensitive criminal investigation;</w:t>
            </w:r>
            <w:r>
              <w:rPr>
                <w:sz w:val="18"/>
              </w:rPr>
              <w:t xml:space="preserve"> </w:t>
            </w:r>
            <w:r>
              <w:rPr>
                <w:sz w:val="18"/>
              </w:rPr>
              <w:t xml:space="preserve">referral; witness assistance and protection; prevention).</w:t>
            </w:r>
            <w:r>
              <w:rPr>
                <w:sz w:val="18"/>
              </w:rPr>
              <w:t xml:space="preserve"> </w:t>
            </w:r>
            <w:r>
              <w:rPr>
                <w:sz w:val="18"/>
              </w:rPr>
              <w:t xml:space="preserve">1.1.9</w:t>
            </w:r>
            <w:r>
              <w:rPr>
                <w:sz w:val="18"/>
              </w:rPr>
              <w:t xml:space="preserve">: Facilitate dialogue </w:t>
            </w:r>
            <w:r>
              <w:rPr>
                <w:sz w:val="18"/>
              </w:rPr>
              <w:t xml:space="preserve">- </w:t>
            </w:r>
            <w:r>
              <w:rPr>
                <w:sz w:val="18"/>
              </w:rPr>
              <w:t xml:space="preserve">between police&amp; communities/between police &amp; social care providers/ and through police participation in </w:t>
            </w:r>
          </w:p>
        </w:tc>
        <w:tc>
          <w:tcPr>
            <w:tcW w:w="233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82"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7" w:line="259" w:lineRule="auto"/>
              <w:ind w:left="29" w:right="0" w:firstLine="0"/>
              <w:jc w:val="left"/>
            </w:pPr>
            <w:r>
              <w:rPr>
                <w:rFonts w:cs="Cambria" w:hAnsi="Cambria" w:eastAsia="Cambria" w:ascii="Cambria"/>
                <w:i w:val="1"/>
                <w:sz w:val="18"/>
              </w:rPr>
              <w:t xml:space="preserve"> </w:t>
            </w:r>
          </w:p>
          <w:p>
            <w:pPr>
              <w:spacing w:before="0" w:after="12" w:line="259" w:lineRule="auto"/>
              <w:ind w:left="29" w:right="0" w:firstLine="0"/>
              <w:jc w:val="left"/>
            </w:pPr>
            <w:r>
              <w:rPr>
                <w:rFonts w:cs="Cambria" w:hAnsi="Cambria" w:eastAsia="Cambria" w:ascii="Cambria"/>
                <w:i w:val="1"/>
                <w:sz w:val="18"/>
              </w:rPr>
              <w:t xml:space="preserve"> </w:t>
            </w:r>
          </w:p>
          <w:p>
            <w:pPr>
              <w:spacing w:before="0" w:after="0" w:line="259" w:lineRule="auto"/>
              <w:ind w:left="29" w:right="0" w:firstLine="0"/>
              <w:jc w:val="left"/>
            </w:pPr>
            <w:r>
              <w:rPr>
                <w:rFonts w:cs="Cambria" w:hAnsi="Cambria" w:eastAsia="Cambria" w:ascii="Cambria"/>
                <w:i w:val="1"/>
                <w:sz w:val="18"/>
              </w:rPr>
              <w:t xml:space="preserve"> </w:t>
            </w:r>
          </w:p>
        </w:tc>
      </w:tr>
    </w:tbl>
    <w:p>
      <w:pPr>
        <w:spacing w:before="0" w:after="0" w:line="259" w:lineRule="auto"/>
        <w:ind w:left="-1440" w:right="14405" w:firstLine="0"/>
        <w:jc w:val="left"/>
      </w:pPr>
    </w:p>
    <w:tbl>
      <w:tblPr>
        <w:tblStyle w:val="TableGrid"/>
        <w:tblW w:w="14582" w:type="dxa"/>
        <w:tblInd w:w="-811" w:type="dxa"/>
        <w:tblCellMar>
          <w:top w:w="31" w:type="dxa"/>
          <w:left w:w="106" w:type="dxa"/>
          <w:bottom w:w="0" w:type="dxa"/>
          <w:right w:w="60" w:type="dxa"/>
        </w:tblCellMar>
      </w:tblPr>
      <w:tblGrid>
        <w:gridCol w:w="3422"/>
        <w:gridCol w:w="2880"/>
        <w:gridCol w:w="3960"/>
        <w:gridCol w:w="2338"/>
        <w:gridCol w:w="1982"/>
      </w:tblGrid>
      <w:tr>
        <w:trPr>
          <w:trHeight w:val="9158" w:hRule="atLeast"/>
        </w:trPr>
        <w:tc>
          <w:tcPr>
            <w:tcW w:w="3422"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2880" w:type="dxa"/>
            <w:tcBorders>
              <w:top w:val="single" w:sz="4" w:color="000000"/>
              <w:left w:val="single" w:sz="4" w:color="000000"/>
              <w:bottom w:val="single" w:sz="4" w:color="000000"/>
              <w:right w:val="single" w:sz="4" w:color="000000"/>
            </w:tcBorders>
            <w:vAlign w:val="top"/>
          </w:tcPr>
          <w:p>
            <w:pPr>
              <w:numPr>
                <w:ilvl w:val="0"/>
                <w:numId w:val="13"/>
              </w:numPr>
              <w:spacing w:before="0" w:after="5" w:line="273" w:lineRule="auto"/>
              <w:ind w:left="115" w:right="0" w:hanging="115"/>
              <w:jc w:val="left"/>
            </w:pPr>
            <w:r>
              <w:rPr>
                <w:sz w:val="18"/>
              </w:rPr>
              <w:t xml:space="preserve">10% increase in legal aid / assistance in target areas. </w:t>
            </w:r>
            <w:r>
              <w:rPr>
                <w:sz w:val="18"/>
              </w:rPr>
              <w:t xml:space="preserve"> </w:t>
            </w:r>
          </w:p>
          <w:p>
            <w:pPr>
              <w:numPr>
                <w:ilvl w:val="0"/>
                <w:numId w:val="13"/>
              </w:numPr>
              <w:spacing w:before="0" w:after="5" w:line="273" w:lineRule="auto"/>
              <w:ind w:left="115" w:right="0" w:hanging="115"/>
              <w:jc w:val="left"/>
            </w:pPr>
            <w:r>
              <w:rPr>
                <w:sz w:val="18"/>
              </w:rPr>
              <w:t xml:space="preserve">10% increase in police presence in target areas. </w:t>
            </w:r>
            <w:r>
              <w:rPr>
                <w:sz w:val="18"/>
              </w:rPr>
              <w:t xml:space="preserve"> </w:t>
            </w:r>
          </w:p>
          <w:p>
            <w:pPr>
              <w:numPr>
                <w:ilvl w:val="0"/>
                <w:numId w:val="13"/>
              </w:numPr>
              <w:spacing w:before="0" w:after="10" w:line="273" w:lineRule="auto"/>
              <w:ind w:left="115" w:right="0" w:hanging="115"/>
              <w:jc w:val="left"/>
            </w:pPr>
            <w:r>
              <w:rPr>
                <w:sz w:val="18"/>
              </w:rPr>
              <w:t xml:space="preserve">10% decrease in case backlog in LCCs. </w:t>
            </w:r>
            <w:r>
              <w:rPr>
                <w:sz w:val="18"/>
              </w:rPr>
              <w:t xml:space="preserve"> </w:t>
            </w:r>
          </w:p>
          <w:p>
            <w:pPr>
              <w:numPr>
                <w:ilvl w:val="0"/>
                <w:numId w:val="13"/>
              </w:numPr>
              <w:spacing w:before="0" w:after="8" w:line="270" w:lineRule="auto"/>
              <w:ind w:left="115" w:right="0" w:hanging="115"/>
              <w:jc w:val="left"/>
            </w:pPr>
            <w:r>
              <w:rPr>
                <w:sz w:val="18"/>
              </w:rPr>
              <w:t xml:space="preserve">2 additional facilitated dialogues held and action points implemented</w:t>
            </w:r>
            <w:r>
              <w:rPr>
                <w:sz w:val="18"/>
              </w:rPr>
              <w:t xml:space="preserve"> </w:t>
            </w:r>
          </w:p>
          <w:p>
            <w:pPr>
              <w:numPr>
                <w:ilvl w:val="0"/>
                <w:numId w:val="13"/>
              </w:numPr>
              <w:spacing w:before="0" w:after="6" w:line="273" w:lineRule="auto"/>
              <w:ind w:left="115" w:right="0" w:hanging="115"/>
              <w:jc w:val="left"/>
            </w:pPr>
            <w:r>
              <w:rPr>
                <w:sz w:val="18"/>
              </w:rPr>
              <w:t xml:space="preserve">Implementation of recommendations from research initiated. </w:t>
            </w:r>
            <w:r>
              <w:rPr>
                <w:sz w:val="18"/>
              </w:rPr>
              <w:t xml:space="preserve"> </w:t>
            </w:r>
          </w:p>
          <w:p>
            <w:pPr>
              <w:numPr>
                <w:ilvl w:val="0"/>
                <w:numId w:val="13"/>
              </w:numPr>
              <w:spacing w:before="0" w:after="5" w:line="273" w:lineRule="auto"/>
              <w:ind w:left="115" w:right="0" w:hanging="115"/>
              <w:jc w:val="left"/>
            </w:pPr>
            <w:r>
              <w:rPr>
                <w:sz w:val="18"/>
              </w:rPr>
              <w:t xml:space="preserve">At least 3 additional joint trainings provided. </w:t>
            </w:r>
            <w:r>
              <w:rPr>
                <w:sz w:val="18"/>
              </w:rPr>
              <w:t xml:space="preserve"> </w:t>
            </w:r>
          </w:p>
          <w:p>
            <w:pPr>
              <w:numPr>
                <w:ilvl w:val="0"/>
                <w:numId w:val="13"/>
              </w:numPr>
              <w:spacing w:before="0" w:after="0" w:line="259" w:lineRule="auto"/>
              <w:ind w:left="115" w:right="0" w:hanging="115"/>
              <w:jc w:val="left"/>
            </w:pPr>
            <w:r>
              <w:rPr>
                <w:sz w:val="18"/>
              </w:rPr>
              <w:t xml:space="preserve">End of project evaluation done</w:t>
            </w:r>
            <w:r>
              <w:rPr>
                <w:sz w:val="18"/>
              </w:rPr>
              <w:t xml:space="preserve"> </w:t>
            </w:r>
          </w:p>
          <w:p>
            <w:pPr>
              <w:spacing w:before="0" w:after="12" w:line="259" w:lineRule="auto"/>
              <w:ind w:left="0" w:right="0" w:firstLine="0"/>
              <w:jc w:val="left"/>
            </w:pPr>
            <w:r>
              <w:rPr>
                <w:sz w:val="18"/>
              </w:rPr>
              <w:t xml:space="preserve"> </w:t>
            </w:r>
          </w:p>
          <w:p>
            <w:pPr>
              <w:spacing w:before="0" w:after="0" w:line="259" w:lineRule="auto"/>
              <w:ind w:left="0" w:right="0" w:firstLine="0"/>
              <w:jc w:val="left"/>
            </w:pPr>
            <w:r>
              <w:rPr>
                <w:sz w:val="18"/>
              </w:rPr>
              <w:t xml:space="preserve"> </w:t>
            </w:r>
          </w:p>
        </w:tc>
        <w:tc>
          <w:tcPr>
            <w:tcW w:w="3960" w:type="dxa"/>
            <w:tcBorders>
              <w:top w:val="single" w:sz="4" w:color="000000"/>
              <w:left w:val="single" w:sz="4" w:color="000000"/>
              <w:bottom w:val="single" w:sz="4" w:color="000000"/>
              <w:right w:val="single" w:sz="4" w:color="000000"/>
            </w:tcBorders>
            <w:vAlign w:val="top"/>
          </w:tcPr>
          <w:p>
            <w:pPr>
              <w:spacing w:before="0" w:after="3" w:line="270" w:lineRule="auto"/>
              <w:ind w:left="0" w:right="87" w:firstLine="0"/>
              <w:jc w:val="left"/>
            </w:pPr>
            <w:r>
              <w:rPr>
                <w:sz w:val="18"/>
              </w:rPr>
              <w:t xml:space="preserve">peace rings </w:t>
            </w:r>
            <w:r>
              <w:rPr>
                <w:sz w:val="18"/>
              </w:rPr>
              <w:t xml:space="preserve">- </w:t>
            </w:r>
            <w:r>
              <w:rPr>
                <w:sz w:val="18"/>
              </w:rPr>
              <w:t xml:space="preserve">on police</w:t>
            </w:r>
            <w:r>
              <w:rPr>
                <w:sz w:val="18"/>
              </w:rPr>
              <w:t xml:space="preserve">-</w:t>
            </w:r>
            <w:r>
              <w:rPr>
                <w:sz w:val="18"/>
              </w:rPr>
              <w:t xml:space="preserve">topics such as community policing priorities, the role of women in the police service and the specific protection needs of women and children.</w:t>
            </w:r>
            <w:r>
              <w:rPr>
                <w:sz w:val="18"/>
              </w:rPr>
              <w:t xml:space="preserve"> </w:t>
            </w:r>
            <w:r>
              <w:rPr>
                <w:sz w:val="18"/>
              </w:rPr>
              <w:t xml:space="preserve">1.1.10</w:t>
            </w:r>
            <w:r>
              <w:rPr>
                <w:sz w:val="18"/>
              </w:rPr>
              <w:t xml:space="preserve">: Support police in implementing agreements reached during those dialogues. </w:t>
            </w:r>
            <w:r>
              <w:rPr>
                <w:sz w:val="18"/>
              </w:rPr>
              <w:t xml:space="preserve"> </w:t>
            </w:r>
          </w:p>
          <w:p>
            <w:pPr>
              <w:spacing w:before="0" w:after="31" w:line="280" w:lineRule="auto"/>
              <w:ind w:left="0" w:right="52" w:firstLine="0"/>
            </w:pPr>
            <w:r>
              <w:rPr>
                <w:rFonts w:cs="Cambria" w:hAnsi="Cambria" w:eastAsia="Cambria" w:ascii="Cambria"/>
                <w:b w:val="1"/>
                <w:i w:val="1"/>
                <w:sz w:val="18"/>
              </w:rPr>
              <w:t xml:space="preserve">Activity result 1.2:</w:t>
            </w:r>
            <w:r>
              <w:rPr>
                <w:rFonts w:cs="Cambria" w:hAnsi="Cambria" w:eastAsia="Cambria" w:ascii="Cambria"/>
                <w:i w:val="1"/>
                <w:sz w:val="18"/>
              </w:rPr>
              <w:t xml:space="preserve"> </w:t>
            </w:r>
            <w:r>
              <w:rPr>
                <w:rFonts w:cs="Garamond" w:hAnsi="Garamond" w:eastAsia="Garamond" w:ascii="Garamond"/>
                <w:b w:val="1"/>
                <w:i w:val="1"/>
                <w:sz w:val="20"/>
              </w:rPr>
              <w:t xml:space="preserve">Capacity</w:t>
            </w:r>
            <w:r>
              <w:rPr>
                <w:rFonts w:cs="Garamond" w:hAnsi="Garamond" w:eastAsia="Garamond" w:ascii="Garamond"/>
                <w:b w:val="1"/>
                <w:i w:val="1"/>
                <w:sz w:val="20"/>
              </w:rPr>
              <w:t xml:space="preserve"> </w:t>
            </w:r>
            <w:r>
              <w:rPr>
                <w:rFonts w:cs="Garamond" w:hAnsi="Garamond" w:eastAsia="Garamond" w:ascii="Garamond"/>
                <w:b w:val="1"/>
                <w:i w:val="1"/>
                <w:sz w:val="20"/>
              </w:rPr>
              <w:t xml:space="preserve">of office for human rights coordination at local g overnm ent level</w:t>
            </w:r>
            <w:r>
              <w:rPr>
                <w:rFonts w:cs="Garamond" w:hAnsi="Garamond" w:eastAsia="Garamond" w:ascii="Garamond"/>
                <w:b w:val="1"/>
                <w:i w:val="1"/>
                <w:sz w:val="20"/>
              </w:rPr>
              <w:t xml:space="preserve"> </w:t>
            </w:r>
            <w:r>
              <w:rPr>
                <w:rFonts w:cs="Garamond" w:hAnsi="Garamond" w:eastAsia="Garamond" w:ascii="Garamond"/>
                <w:b w:val="1"/>
                <w:i w:val="1"/>
                <w:sz w:val="20"/>
              </w:rPr>
              <w:t xml:space="preserve">streng thened</w:t>
            </w:r>
            <w:r>
              <w:rPr>
                <w:rFonts w:cs="Cambria" w:hAnsi="Cambria" w:eastAsia="Cambria" w:ascii="Cambria"/>
                <w:i w:val="1"/>
                <w:sz w:val="18"/>
              </w:rPr>
              <w:t xml:space="preserve"> </w:t>
            </w:r>
          </w:p>
          <w:p>
            <w:pPr>
              <w:spacing w:before="0" w:after="38" w:line="273" w:lineRule="auto"/>
              <w:ind w:left="0" w:right="0" w:firstLine="0"/>
              <w:jc w:val="left"/>
            </w:pPr>
            <w:r>
              <w:rPr>
                <w:sz w:val="18"/>
              </w:rPr>
              <w:t xml:space="preserve">1.2.1: Assess need of the human rights coordination office. </w:t>
            </w:r>
            <w:r>
              <w:rPr>
                <w:sz w:val="18"/>
              </w:rPr>
              <w:t xml:space="preserve"> </w:t>
            </w:r>
          </w:p>
          <w:p>
            <w:pPr>
              <w:spacing w:before="0" w:after="43" w:line="267" w:lineRule="auto"/>
              <w:ind w:left="0" w:right="0" w:firstLine="0"/>
            </w:pPr>
            <w:r>
              <w:rPr>
                <w:sz w:val="18"/>
              </w:rPr>
              <w:t xml:space="preserve">1.2.2: Develop capacity building plan and implement the capacity.</w:t>
            </w:r>
            <w:r>
              <w:rPr>
                <w:sz w:val="18"/>
              </w:rPr>
              <w:t xml:space="preserve"> </w:t>
            </w:r>
          </w:p>
          <w:p>
            <w:pPr>
              <w:spacing w:before="0" w:after="2" w:line="271" w:lineRule="auto"/>
              <w:ind w:left="0" w:right="0" w:firstLine="0"/>
              <w:jc w:val="left"/>
            </w:pPr>
            <w:r>
              <w:rPr>
                <w:sz w:val="18"/>
              </w:rPr>
              <w:t xml:space="preserve">1.2.3: Support networks of justice service providers to alleviate prison decongestion and case backlog in LCCs, with focus on land and women’s cases.</w:t>
            </w:r>
            <w:r>
              <w:rPr>
                <w:sz w:val="18"/>
              </w:rPr>
              <w:t xml:space="preserve"> </w:t>
            </w:r>
          </w:p>
          <w:p>
            <w:pPr>
              <w:spacing w:before="0" w:after="0" w:line="270" w:lineRule="auto"/>
              <w:ind w:left="0" w:right="7" w:firstLine="0"/>
              <w:jc w:val="left"/>
            </w:pPr>
            <w:r>
              <w:rPr>
                <w:sz w:val="18"/>
              </w:rPr>
              <w:t xml:space="preserve">1.2.4: Facilitate dialogue between the justice networks &amp; police; justice networks &amp; traditional justice providers; justice networks &amp; social workers to discuss solutions for issues preventing access to justice.</w:t>
            </w:r>
            <w:r>
              <w:rPr>
                <w:sz w:val="18"/>
              </w:rPr>
              <w:t xml:space="preserve"> </w:t>
            </w:r>
          </w:p>
          <w:p>
            <w:pPr>
              <w:spacing w:before="0" w:after="0" w:line="273" w:lineRule="auto"/>
              <w:ind w:left="0" w:right="449" w:firstLine="0"/>
            </w:pPr>
            <w:r>
              <w:rPr>
                <w:sz w:val="18"/>
              </w:rPr>
              <w:t xml:space="preserve">1.2.5: Support in follow up on agreements reached during these discussions, including feeding the findings to national level JLOS.  </w:t>
            </w:r>
            <w:r>
              <w:rPr>
                <w:sz w:val="18"/>
              </w:rPr>
              <w:t xml:space="preserve"> </w:t>
            </w:r>
          </w:p>
          <w:p>
            <w:pPr>
              <w:spacing w:before="0" w:after="12" w:line="259" w:lineRule="auto"/>
              <w:ind w:left="0" w:right="0" w:firstLine="0"/>
              <w:jc w:val="left"/>
            </w:pPr>
            <w:r>
              <w:rPr>
                <w:sz w:val="18"/>
              </w:rPr>
              <w:t xml:space="preserve">1.2.6: Develop partnerships among </w:t>
            </w:r>
          </w:p>
          <w:p>
            <w:pPr>
              <w:spacing w:before="0" w:after="3" w:line="269" w:lineRule="auto"/>
              <w:ind w:left="0" w:right="0" w:firstLine="0"/>
              <w:jc w:val="left"/>
            </w:pPr>
            <w:r>
              <w:rPr>
                <w:sz w:val="18"/>
              </w:rPr>
              <w:t xml:space="preserve">UNDP/Uganda, local JLOS service providers and universities to deploy students for paid traineeships/paralegal functions with JLOS service providers in the target areas. </w:t>
            </w:r>
            <w:r>
              <w:rPr>
                <w:sz w:val="18"/>
              </w:rPr>
              <w:t xml:space="preserve"> </w:t>
            </w:r>
          </w:p>
          <w:p>
            <w:pPr>
              <w:spacing w:before="0" w:after="7" w:line="259" w:lineRule="auto"/>
              <w:ind w:left="0" w:right="0" w:firstLine="0"/>
              <w:jc w:val="left"/>
            </w:pPr>
            <w:r>
              <w:rPr>
                <w:sz w:val="18"/>
              </w:rPr>
              <w:t xml:space="preserve"> </w:t>
            </w:r>
          </w:p>
          <w:p>
            <w:pPr>
              <w:spacing w:before="0" w:after="0" w:line="273" w:lineRule="auto"/>
              <w:ind w:left="0" w:right="46" w:firstLine="0"/>
            </w:pPr>
            <w:r>
              <w:rPr>
                <w:rFonts w:cs="Cambria" w:hAnsi="Cambria" w:eastAsia="Cambria" w:ascii="Cambria"/>
                <w:b w:val="1"/>
                <w:i w:val="1"/>
                <w:sz w:val="18"/>
              </w:rPr>
              <w:t xml:space="preserve">Activity result 1.3: </w:t>
            </w:r>
            <w:r>
              <w:rPr>
                <w:rFonts w:cs="Cambria" w:hAnsi="Cambria" w:eastAsia="Cambria" w:ascii="Cambria"/>
                <w:i w:val="1"/>
                <w:sz w:val="18"/>
              </w:rPr>
              <w:t xml:space="preserve">LCCs strengthened for increased prevention and resolution of disputes, in particular as related to land.</w:t>
            </w:r>
            <w:r>
              <w:rPr>
                <w:rFonts w:cs="Cambria" w:hAnsi="Cambria" w:eastAsia="Cambria" w:ascii="Cambria"/>
                <w:b w:val="1"/>
                <w:i w:val="1"/>
                <w:sz w:val="18"/>
              </w:rPr>
              <w:t xml:space="preserve"> </w:t>
            </w:r>
          </w:p>
          <w:p>
            <w:pPr>
              <w:spacing w:before="0" w:after="0" w:line="259" w:lineRule="auto"/>
              <w:ind w:left="0" w:right="0" w:firstLine="0"/>
              <w:jc w:val="left"/>
            </w:pPr>
            <w:r>
              <w:rPr>
                <w:sz w:val="18"/>
              </w:rPr>
              <w:t xml:space="preserve">1.3.1: Support further research </w:t>
            </w:r>
            <w:r>
              <w:rPr>
                <w:sz w:val="18"/>
              </w:rPr>
              <w:t xml:space="preserve">- </w:t>
            </w:r>
            <w:r>
              <w:rPr>
                <w:sz w:val="18"/>
              </w:rPr>
              <w:t xml:space="preserve">for instance on land grabbing; on blockages to accessing land rights (e.g. laws not implemented, legal advice </w:t>
            </w:r>
          </w:p>
        </w:tc>
        <w:tc>
          <w:tcPr>
            <w:tcW w:w="233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8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1440" w:right="14405" w:firstLine="0"/>
        <w:jc w:val="left"/>
      </w:pPr>
    </w:p>
    <w:tbl>
      <w:tblPr>
        <w:tblStyle w:val="TableGrid"/>
        <w:tblW w:w="14582" w:type="dxa"/>
        <w:tblInd w:w="-811" w:type="dxa"/>
        <w:tblCellMar>
          <w:top w:w="31" w:type="dxa"/>
          <w:left w:w="106" w:type="dxa"/>
          <w:bottom w:w="0" w:type="dxa"/>
          <w:right w:w="68" w:type="dxa"/>
        </w:tblCellMar>
      </w:tblPr>
      <w:tblGrid>
        <w:gridCol w:w="3422"/>
        <w:gridCol w:w="2880"/>
        <w:gridCol w:w="3960"/>
        <w:gridCol w:w="2338"/>
        <w:gridCol w:w="1982"/>
      </w:tblGrid>
      <w:tr>
        <w:trPr>
          <w:trHeight w:val="8746" w:hRule="atLeast"/>
        </w:trPr>
        <w:tc>
          <w:tcPr>
            <w:tcW w:w="342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8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960" w:type="dxa"/>
            <w:tcBorders>
              <w:top w:val="single" w:sz="4" w:color="000000"/>
              <w:left w:val="single" w:sz="4" w:color="000000"/>
              <w:bottom w:val="single" w:sz="4" w:color="000000"/>
              <w:right w:val="single" w:sz="4" w:color="000000"/>
            </w:tcBorders>
            <w:vAlign w:val="top"/>
          </w:tcPr>
          <w:p>
            <w:pPr>
              <w:spacing w:before="0" w:after="0" w:line="270" w:lineRule="auto"/>
              <w:ind w:left="0" w:right="345" w:firstLine="0"/>
            </w:pPr>
            <w:r>
              <w:rPr>
                <w:sz w:val="18"/>
              </w:rPr>
              <w:t xml:space="preserve">not available, documents not translated); the relevance of Certificates of Communal Ownership (CCOs).</w:t>
            </w:r>
            <w:r>
              <w:rPr>
                <w:sz w:val="18"/>
              </w:rPr>
              <w:t xml:space="preserve"> </w:t>
            </w:r>
          </w:p>
          <w:p>
            <w:pPr>
              <w:spacing w:before="0" w:after="0" w:line="272" w:lineRule="auto"/>
              <w:ind w:left="0" w:right="1" w:firstLine="0"/>
              <w:jc w:val="left"/>
            </w:pPr>
            <w:r>
              <w:rPr>
                <w:sz w:val="18"/>
              </w:rPr>
              <w:t xml:space="preserve">1.3.2: Conduct a rapid assessment</w:t>
            </w:r>
            <w:r>
              <w:rPr>
                <w:sz w:val="18"/>
                <w:vertAlign w:val="superscript"/>
              </w:rPr>
              <w:footnoteReference w:id="57"/>
            </w:r>
            <w:r>
              <w:rPr>
                <w:sz w:val="18"/>
              </w:rPr>
              <w:t xml:space="preserve"> </w:t>
            </w:r>
            <w:r>
              <w:rPr>
                <w:sz w:val="18"/>
              </w:rPr>
              <w:t xml:space="preserve">focusing on priority human capacity, material and equipment needs to clear case backlog in LCCs in target areas. </w:t>
            </w:r>
            <w:r>
              <w:rPr>
                <w:sz w:val="18"/>
              </w:rPr>
              <w:t xml:space="preserve"> </w:t>
            </w:r>
          </w:p>
          <w:p>
            <w:pPr>
              <w:spacing w:before="0" w:after="0" w:line="273" w:lineRule="auto"/>
              <w:ind w:left="0" w:right="0" w:firstLine="0"/>
              <w:jc w:val="left"/>
            </w:pPr>
            <w:r>
              <w:rPr>
                <w:sz w:val="18"/>
              </w:rPr>
              <w:t xml:space="preserve">1.3.3. Develop and implement capacity development plan. </w:t>
            </w:r>
            <w:r>
              <w:rPr>
                <w:sz w:val="18"/>
              </w:rPr>
              <w:t xml:space="preserve"> </w:t>
            </w:r>
          </w:p>
          <w:p>
            <w:pPr>
              <w:spacing w:before="0" w:after="2" w:line="270" w:lineRule="auto"/>
              <w:ind w:left="0" w:right="64" w:firstLine="0"/>
              <w:jc w:val="left"/>
            </w:pPr>
            <w:r>
              <w:rPr>
                <w:sz w:val="18"/>
              </w:rPr>
              <w:t xml:space="preserve">1.3.4. Assess knowledge and skills (of laws/procedures) of members of the court and support trainings in identified need areas. </w:t>
            </w:r>
            <w:r>
              <w:rPr>
                <w:sz w:val="18"/>
              </w:rPr>
              <w:t xml:space="preserve"> </w:t>
            </w:r>
            <w:r>
              <w:rPr>
                <w:sz w:val="18"/>
              </w:rPr>
              <w:t xml:space="preserve">1.3.5: Assess the number of women in the members of the LCCs and support initiatives increasing women’s participation (LCC Act Section 4). </w:t>
            </w:r>
            <w:r>
              <w:rPr>
                <w:sz w:val="18"/>
              </w:rPr>
              <w:t xml:space="preserve"> </w:t>
            </w:r>
          </w:p>
          <w:p>
            <w:pPr>
              <w:spacing w:before="0" w:after="2" w:line="270" w:lineRule="auto"/>
              <w:ind w:left="0" w:right="18" w:firstLine="0"/>
              <w:jc w:val="left"/>
            </w:pPr>
            <w:r>
              <w:rPr>
                <w:sz w:val="18"/>
              </w:rPr>
              <w:t xml:space="preserve">1.3.6: Support development and maintenance of a record keeping system for number and types of complaints, disaggregated data on complainants, and type and speed of resolution by District LC focal points and LC Chairs.</w:t>
            </w:r>
            <w:r>
              <w:rPr>
                <w:sz w:val="18"/>
              </w:rPr>
              <w:t xml:space="preserve"> </w:t>
            </w:r>
          </w:p>
          <w:p>
            <w:pPr>
              <w:spacing w:before="0" w:after="0" w:line="270" w:lineRule="auto"/>
              <w:ind w:left="0" w:right="288" w:firstLine="0"/>
            </w:pPr>
            <w:r>
              <w:rPr>
                <w:sz w:val="18"/>
              </w:rPr>
              <w:t xml:space="preserve">1.3.7: Support development of legal reference documents including translation into local language where necessary.</w:t>
            </w:r>
            <w:r>
              <w:rPr>
                <w:sz w:val="18"/>
              </w:rPr>
              <w:t xml:space="preserve"> </w:t>
            </w:r>
          </w:p>
          <w:p>
            <w:pPr>
              <w:spacing w:before="0" w:after="0" w:line="273" w:lineRule="auto"/>
              <w:ind w:left="0" w:right="600" w:firstLine="0"/>
            </w:pPr>
            <w:r>
              <w:rPr>
                <w:sz w:val="18"/>
              </w:rPr>
              <w:t xml:space="preserve">1.</w:t>
            </w:r>
            <w:r>
              <w:rPr>
                <w:sz w:val="18"/>
              </w:rPr>
              <w:t xml:space="preserve">3.8: As per 1.1.8 facilitate placement of students and paralegals to strengthen the capacities of the LCCs. </w:t>
            </w:r>
            <w:r>
              <w:rPr>
                <w:sz w:val="18"/>
              </w:rPr>
              <w:t xml:space="preserve"> </w:t>
            </w:r>
          </w:p>
          <w:p>
            <w:pPr>
              <w:spacing w:before="0" w:after="12" w:line="259" w:lineRule="auto"/>
              <w:ind w:left="0" w:right="0" w:firstLine="0"/>
              <w:jc w:val="left"/>
            </w:pPr>
            <w:r>
              <w:rPr>
                <w:sz w:val="18"/>
              </w:rPr>
              <w:t xml:space="preserve"> </w:t>
            </w:r>
          </w:p>
          <w:p>
            <w:pPr>
              <w:spacing w:before="0" w:after="5" w:line="267" w:lineRule="auto"/>
              <w:ind w:left="0" w:right="0" w:firstLine="0"/>
            </w:pPr>
            <w:r>
              <w:rPr>
                <w:rFonts w:cs="Cambria" w:hAnsi="Cambria" w:eastAsia="Cambria" w:ascii="Cambria"/>
                <w:b w:val="1"/>
                <w:i w:val="1"/>
                <w:sz w:val="18"/>
              </w:rPr>
              <w:t xml:space="preserve">Activity result 1.4: </w:t>
            </w:r>
            <w:r>
              <w:rPr>
                <w:rFonts w:cs="Cambria" w:hAnsi="Cambria" w:eastAsia="Cambria" w:ascii="Cambria"/>
                <w:i w:val="1"/>
                <w:sz w:val="18"/>
              </w:rPr>
              <w:t xml:space="preserve">Linkages between formal and informal justice systems further developed.</w:t>
            </w:r>
            <w:r>
              <w:rPr>
                <w:rFonts w:cs="Cambria" w:hAnsi="Cambria" w:eastAsia="Cambria" w:ascii="Cambria"/>
                <w:b w:val="1"/>
                <w:i w:val="1"/>
                <w:sz w:val="18"/>
              </w:rPr>
              <w:t xml:space="preserve"> </w:t>
            </w:r>
          </w:p>
          <w:p>
            <w:pPr>
              <w:spacing w:before="0" w:after="2" w:line="270" w:lineRule="auto"/>
              <w:ind w:left="0" w:right="0" w:firstLine="0"/>
              <w:jc w:val="left"/>
            </w:pPr>
            <w:r>
              <w:rPr>
                <w:sz w:val="18"/>
              </w:rPr>
              <w:t xml:space="preserve">1.4.1. Support further research in follow up on the recommendations of conducted JLOS studies and UN Peace Building</w:t>
            </w:r>
            <w:r>
              <w:rPr>
                <w:sz w:val="18"/>
              </w:rPr>
              <w:t xml:space="preserve"> </w:t>
            </w:r>
            <w:r>
              <w:rPr>
                <w:sz w:val="18"/>
              </w:rPr>
              <w:t xml:space="preserve">studies, including research on linkages between peace rings (NUREP) and LCCs. </w:t>
            </w:r>
            <w:r>
              <w:rPr>
                <w:sz w:val="18"/>
              </w:rPr>
              <w:t xml:space="preserve"> </w:t>
            </w:r>
          </w:p>
          <w:p>
            <w:pPr>
              <w:spacing w:before="0" w:after="0" w:line="259" w:lineRule="auto"/>
              <w:ind w:left="0" w:right="0" w:firstLine="0"/>
              <w:jc w:val="left"/>
            </w:pPr>
            <w:r>
              <w:rPr>
                <w:sz w:val="18"/>
              </w:rPr>
              <w:t xml:space="preserve">1.4.2. Support record keeping of cases resolved </w:t>
            </w:r>
          </w:p>
        </w:tc>
        <w:tc>
          <w:tcPr>
            <w:tcW w:w="233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8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1440" w:right="14405" w:firstLine="0"/>
        <w:jc w:val="left"/>
      </w:pPr>
    </w:p>
    <w:tbl>
      <w:tblPr>
        <w:tblStyle w:val="TableGrid"/>
        <w:tblW w:w="14580" w:type="dxa"/>
        <w:tblInd w:w="-810" w:type="dxa"/>
        <w:tblCellMar>
          <w:top w:w="30" w:type="dxa"/>
          <w:left w:w="106" w:type="dxa"/>
          <w:bottom w:w="0" w:type="dxa"/>
          <w:right w:w="65" w:type="dxa"/>
        </w:tblCellMar>
      </w:tblPr>
      <w:tblGrid>
        <w:gridCol w:w="3421"/>
        <w:gridCol w:w="2880"/>
        <w:gridCol w:w="3960"/>
        <w:gridCol w:w="2338"/>
        <w:gridCol w:w="1981"/>
      </w:tblGrid>
      <w:tr>
        <w:trPr>
          <w:trHeight w:val="2924" w:hRule="atLeast"/>
        </w:trPr>
        <w:tc>
          <w:tcPr>
            <w:tcW w:w="342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88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960" w:type="dxa"/>
            <w:tcBorders>
              <w:top w:val="single" w:sz="4" w:color="000000"/>
              <w:left w:val="single" w:sz="4" w:color="000000"/>
              <w:bottom w:val="single" w:sz="4" w:color="000000"/>
              <w:right w:val="single" w:sz="4" w:color="000000"/>
            </w:tcBorders>
            <w:vAlign w:val="top"/>
          </w:tcPr>
          <w:p>
            <w:pPr>
              <w:spacing w:before="0" w:after="0" w:line="273" w:lineRule="auto"/>
              <w:ind w:left="0" w:right="0" w:firstLine="0"/>
            </w:pPr>
            <w:r>
              <w:rPr>
                <w:sz w:val="18"/>
              </w:rPr>
              <w:t xml:space="preserve">through traditional institutions, in collaboration with Uganda Data Centre</w:t>
            </w:r>
            <w:r>
              <w:rPr>
                <w:sz w:val="18"/>
              </w:rPr>
              <w:t xml:space="preserve">. </w:t>
            </w:r>
            <w:r>
              <w:rPr>
                <w:sz w:val="18"/>
              </w:rPr>
              <w:t xml:space="preserve"> </w:t>
            </w:r>
          </w:p>
          <w:p>
            <w:pPr>
              <w:spacing w:before="0" w:after="0" w:line="271" w:lineRule="auto"/>
              <w:ind w:left="0" w:right="0" w:firstLine="0"/>
              <w:jc w:val="left"/>
            </w:pPr>
            <w:r>
              <w:rPr>
                <w:sz w:val="18"/>
              </w:rPr>
              <w:t xml:space="preserve">1.4.3. Undertake facilitated discussions between LCC officials, peace actors and traditional justice actors for joint understanding of each other’s practices and joint problem solving. </w:t>
            </w:r>
            <w:r>
              <w:rPr>
                <w:sz w:val="18"/>
              </w:rPr>
              <w:t xml:space="preserve"> </w:t>
            </w:r>
          </w:p>
          <w:p>
            <w:pPr>
              <w:spacing w:before="0" w:after="0" w:line="273" w:lineRule="auto"/>
              <w:ind w:left="0" w:right="0" w:firstLine="0"/>
              <w:jc w:val="left"/>
            </w:pPr>
            <w:r>
              <w:rPr>
                <w:sz w:val="18"/>
              </w:rPr>
              <w:t xml:space="preserve">1.4.4: Support implementation of agreements reached during discussions. </w:t>
            </w:r>
            <w:r>
              <w:rPr>
                <w:sz w:val="18"/>
              </w:rPr>
              <w:t xml:space="preserve"> </w:t>
            </w:r>
          </w:p>
          <w:p>
            <w:pPr>
              <w:spacing w:before="0" w:after="0" w:line="259" w:lineRule="auto"/>
              <w:ind w:left="0" w:right="0" w:firstLine="0"/>
              <w:jc w:val="left"/>
            </w:pPr>
            <w:r>
              <w:rPr>
                <w:sz w:val="18"/>
              </w:rPr>
              <w:t xml:space="preserve">1.4.5: Develop capacities of traditional justice actors on formal land rights and citizens’ rights, especially on issues pertaining to women and youth; customary law, ADR and record keeping.</w:t>
            </w:r>
            <w:r>
              <w:rPr>
                <w:sz w:val="18"/>
              </w:rPr>
              <w:t xml:space="preserve"> </w:t>
            </w:r>
          </w:p>
        </w:tc>
        <w:tc>
          <w:tcPr>
            <w:tcW w:w="233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8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76" w:hRule="atLeast"/>
        </w:trPr>
        <w:tc>
          <w:tcPr>
            <w:tcW w:w="12599" w:type="dxa"/>
            <w:gridSpan w:val="4"/>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0" w:right="38" w:firstLine="0"/>
              <w:jc w:val="right"/>
            </w:pPr>
            <w:r>
              <w:rPr>
                <w:rFonts w:cs="Cambria" w:hAnsi="Cambria" w:eastAsia="Cambria" w:ascii="Cambria"/>
                <w:b w:val="1"/>
                <w:sz w:val="18"/>
              </w:rPr>
              <w:t xml:space="preserve">Subtotal </w:t>
            </w:r>
            <w:r>
              <w:rPr>
                <w:rFonts w:cs="Cambria" w:hAnsi="Cambria" w:eastAsia="Cambria" w:ascii="Cambria"/>
                <w:b w:val="1"/>
                <w:sz w:val="18"/>
              </w:rPr>
              <w:t xml:space="preserve">– </w:t>
            </w:r>
            <w:r>
              <w:rPr>
                <w:rFonts w:cs="Cambria" w:hAnsi="Cambria" w:eastAsia="Cambria" w:ascii="Cambria"/>
                <w:b w:val="1"/>
                <w:sz w:val="18"/>
              </w:rPr>
              <w:t xml:space="preserve">Output 1</w:t>
            </w:r>
            <w:r>
              <w:rPr>
                <w:rFonts w:cs="Cambria" w:hAnsi="Cambria" w:eastAsia="Cambria" w:ascii="Cambria"/>
                <w:b w:val="1"/>
                <w:sz w:val="18"/>
              </w:rPr>
              <w:t xml:space="preserve"> </w:t>
            </w:r>
          </w:p>
        </w:tc>
        <w:tc>
          <w:tcPr>
            <w:tcW w:w="1981" w:type="dxa"/>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5" w:right="0" w:firstLine="0"/>
              <w:jc w:val="left"/>
            </w:pPr>
            <w:r>
              <w:rPr>
                <w:rFonts w:cs="Cambria" w:hAnsi="Cambria" w:eastAsia="Cambria" w:ascii="Cambria"/>
                <w:b w:val="1"/>
                <w:sz w:val="18"/>
              </w:rPr>
              <w:t xml:space="preserve">              </w:t>
            </w:r>
            <w:r>
              <w:rPr>
                <w:rFonts w:cs="Cambria" w:hAnsi="Cambria" w:eastAsia="Cambria" w:ascii="Cambria"/>
                <w:b w:val="1"/>
                <w:sz w:val="20"/>
              </w:rPr>
              <w:t xml:space="preserve">880,000</w:t>
            </w:r>
            <w:r>
              <w:rPr>
                <w:rFonts w:cs="Cambria" w:hAnsi="Cambria" w:eastAsia="Cambria" w:ascii="Cambria"/>
                <w:b w:val="1"/>
                <w:sz w:val="18"/>
              </w:rPr>
              <w:t xml:space="preserve"> </w:t>
            </w:r>
          </w:p>
        </w:tc>
      </w:tr>
      <w:tr>
        <w:trPr>
          <w:trHeight w:val="4624" w:hRule="atLeast"/>
        </w:trPr>
        <w:tc>
          <w:tcPr>
            <w:tcW w:w="3421" w:type="dxa"/>
            <w:tcBorders>
              <w:top w:val="single" w:sz="4" w:color="000000"/>
              <w:left w:val="single" w:sz="4" w:color="000000"/>
              <w:bottom w:val="single" w:sz="4" w:color="000000"/>
              <w:right w:val="single" w:sz="4" w:color="000000"/>
            </w:tcBorders>
            <w:vAlign w:val="top"/>
          </w:tcPr>
          <w:p>
            <w:pPr>
              <w:spacing w:before="0" w:after="2" w:line="270" w:lineRule="auto"/>
              <w:ind w:left="4" w:right="39" w:firstLine="0"/>
            </w:pPr>
            <w:r>
              <w:rPr>
                <w:rFonts w:cs="Cambria" w:hAnsi="Cambria" w:eastAsia="Cambria" w:ascii="Cambria"/>
                <w:b w:val="1"/>
                <w:sz w:val="18"/>
              </w:rPr>
              <w:t xml:space="preserve">Output 2: Employment opportunities enhanced and economic recovery and reintegration initiatives developed targeting</w:t>
            </w:r>
            <w:r>
              <w:rPr>
                <w:rFonts w:cs="Cambria" w:hAnsi="Cambria" w:eastAsia="Cambria" w:ascii="Cambria"/>
                <w:b w:val="1"/>
                <w:sz w:val="18"/>
              </w:rPr>
              <w:t xml:space="preserve"> </w:t>
            </w:r>
            <w:r>
              <w:rPr>
                <w:rFonts w:cs="Cambria" w:hAnsi="Cambria" w:eastAsia="Cambria" w:ascii="Cambria"/>
                <w:b w:val="1"/>
                <w:sz w:val="18"/>
              </w:rPr>
              <w:t xml:space="preserve">youth, crises</w:t>
            </w:r>
            <w:r>
              <w:rPr>
                <w:rFonts w:cs="Cambria" w:hAnsi="Cambria" w:eastAsia="Cambria" w:ascii="Cambria"/>
                <w:b w:val="1"/>
                <w:sz w:val="18"/>
              </w:rPr>
              <w:t xml:space="preserve">-</w:t>
            </w:r>
            <w:r>
              <w:rPr>
                <w:rFonts w:cs="Cambria" w:hAnsi="Cambria" w:eastAsia="Cambria" w:ascii="Cambria"/>
                <w:b w:val="1"/>
                <w:sz w:val="18"/>
              </w:rPr>
              <w:t xml:space="preserve">affected and vulnerable people (30% women).</w:t>
            </w:r>
            <w:r>
              <w:rPr>
                <w:rFonts w:cs="Cambria" w:hAnsi="Cambria" w:eastAsia="Cambria" w:ascii="Cambria"/>
                <w:b w:val="1"/>
                <w:sz w:val="18"/>
              </w:rPr>
              <w:t xml:space="preserve"> </w:t>
            </w:r>
          </w:p>
          <w:p>
            <w:pPr>
              <w:spacing w:before="0" w:after="7" w:line="259" w:lineRule="auto"/>
              <w:ind w:left="4" w:right="0" w:firstLine="0"/>
              <w:jc w:val="left"/>
            </w:pPr>
            <w:r>
              <w:rPr>
                <w:sz w:val="18"/>
              </w:rPr>
              <w:t xml:space="preserve"> </w:t>
            </w:r>
          </w:p>
          <w:p>
            <w:pPr>
              <w:spacing w:before="0" w:after="5" w:line="259" w:lineRule="auto"/>
              <w:ind w:left="4" w:right="0" w:firstLine="0"/>
              <w:jc w:val="left"/>
            </w:pPr>
            <w:r>
              <w:rPr>
                <w:rFonts w:cs="Cambria" w:hAnsi="Cambria" w:eastAsia="Cambria" w:ascii="Cambria"/>
                <w:b w:val="1"/>
                <w:i w:val="1"/>
                <w:sz w:val="18"/>
              </w:rPr>
              <w:t xml:space="preserve">Baseline:</w:t>
            </w:r>
            <w:r>
              <w:rPr>
                <w:rFonts w:cs="Cambria" w:hAnsi="Cambria" w:eastAsia="Cambria" w:ascii="Cambria"/>
                <w:b w:val="1"/>
                <w:i w:val="1"/>
                <w:sz w:val="18"/>
              </w:rPr>
              <w:t xml:space="preserve"> </w:t>
            </w:r>
          </w:p>
          <w:p>
            <w:pPr>
              <w:spacing w:before="0" w:after="0" w:line="273" w:lineRule="auto"/>
              <w:ind w:left="4" w:right="38" w:firstLine="0"/>
            </w:pPr>
            <w:r>
              <w:rPr>
                <w:sz w:val="18"/>
              </w:rPr>
              <w:t xml:space="preserve">-</w:t>
            </w:r>
            <w:r>
              <w:rPr>
                <w:sz w:val="18"/>
              </w:rPr>
              <w:t xml:space="preserve">High unemployment</w:t>
            </w:r>
            <w:r>
              <w:rPr>
                <w:sz w:val="18"/>
                <w:vertAlign w:val="superscript"/>
              </w:rPr>
              <w:footnoteReference w:id="58"/>
            </w:r>
            <w:r>
              <w:rPr>
                <w:sz w:val="18"/>
              </w:rPr>
              <w:t xml:space="preserve"> </w:t>
            </w:r>
            <w:r>
              <w:rPr>
                <w:sz w:val="18"/>
              </w:rPr>
              <w:t xml:space="preserve">rate amongst the youth; 58% of Ugandans unemployed are youth according to central bureau of statistics (2007) as reported by the world bank.</w:t>
            </w:r>
            <w:r>
              <w:rPr>
                <w:sz w:val="18"/>
              </w:rPr>
              <w:t xml:space="preserve"> </w:t>
            </w:r>
          </w:p>
          <w:p>
            <w:pPr>
              <w:spacing w:before="0" w:after="0" w:line="267" w:lineRule="auto"/>
              <w:ind w:left="4" w:right="0" w:firstLine="0"/>
            </w:pPr>
            <w:r>
              <w:rPr>
                <w:sz w:val="18"/>
              </w:rPr>
              <w:t xml:space="preserve">-</w:t>
            </w:r>
            <w:r>
              <w:rPr>
                <w:sz w:val="18"/>
              </w:rPr>
              <w:t xml:space="preserve">High urban unemployment </w:t>
            </w:r>
            <w:r>
              <w:rPr>
                <w:sz w:val="18"/>
              </w:rPr>
              <w:t xml:space="preserve">(12.4%) </w:t>
            </w:r>
            <w:r>
              <w:rPr>
                <w:sz w:val="18"/>
              </w:rPr>
              <w:t xml:space="preserve">compared to rural (1.7%).</w:t>
            </w:r>
            <w:r>
              <w:rPr>
                <w:sz w:val="18"/>
              </w:rPr>
              <w:t xml:space="preserve"> </w:t>
            </w:r>
          </w:p>
          <w:p>
            <w:pPr>
              <w:spacing w:before="0" w:after="21" w:line="259" w:lineRule="auto"/>
              <w:ind w:left="4" w:right="0" w:firstLine="0"/>
              <w:jc w:val="left"/>
            </w:pPr>
            <w:r>
              <w:rPr>
                <w:sz w:val="18"/>
              </w:rPr>
              <w:t xml:space="preserve">-</w:t>
            </w:r>
            <w:r>
              <w:rPr>
                <w:sz w:val="18"/>
              </w:rPr>
              <w:t xml:space="preserve">High poverty rate</w:t>
            </w:r>
            <w:r>
              <w:rPr>
                <w:sz w:val="18"/>
                <w:vertAlign w:val="superscript"/>
              </w:rPr>
              <w:footnoteReference w:id="59"/>
            </w:r>
            <w:r>
              <w:rPr>
                <w:sz w:val="18"/>
              </w:rPr>
              <w:t xml:space="preserve"> </w:t>
            </w:r>
            <w:r>
              <w:rPr>
                <w:sz w:val="18"/>
              </w:rPr>
              <w:t xml:space="preserve">around 24.5%.</w:t>
            </w:r>
            <w:r>
              <w:rPr>
                <w:sz w:val="18"/>
              </w:rPr>
              <w:t xml:space="preserve"> </w:t>
            </w:r>
          </w:p>
          <w:p>
            <w:pPr>
              <w:spacing w:before="0" w:after="0" w:line="259" w:lineRule="auto"/>
              <w:ind w:left="4" w:right="38" w:firstLine="0"/>
            </w:pPr>
            <w:r>
              <w:rPr>
                <w:sz w:val="18"/>
              </w:rPr>
              <w:t xml:space="preserve">-</w:t>
            </w:r>
            <w:r>
              <w:rPr>
                <w:sz w:val="18"/>
              </w:rPr>
              <w:t xml:space="preserve">Supply of employment opportunities do not meet demand (every year around 500,000 enter the labour force, while jobs created do not exceed 150,000 a </w:t>
            </w:r>
          </w:p>
        </w:tc>
        <w:tc>
          <w:tcPr>
            <w:tcW w:w="2880" w:type="dxa"/>
            <w:tcBorders>
              <w:top w:val="single" w:sz="4" w:color="000000"/>
              <w:left w:val="single" w:sz="4" w:color="000000"/>
              <w:bottom w:val="single" w:sz="4" w:color="000000"/>
              <w:right w:val="single" w:sz="4" w:color="000000"/>
            </w:tcBorders>
            <w:vAlign w:val="top"/>
          </w:tcPr>
          <w:p>
            <w:pPr>
              <w:spacing w:before="0" w:after="20" w:line="259" w:lineRule="auto"/>
              <w:ind w:left="0" w:right="0" w:firstLine="0"/>
              <w:jc w:val="left"/>
            </w:pPr>
            <w:r>
              <w:rPr>
                <w:rFonts w:cs="Cambria" w:hAnsi="Cambria" w:eastAsia="Cambria" w:ascii="Cambria"/>
                <w:b w:val="1"/>
                <w:sz w:val="20"/>
              </w:rPr>
              <w:t xml:space="preserve">Targets (year 1)</w:t>
            </w:r>
            <w:r>
              <w:rPr>
                <w:rFonts w:cs="Cambria" w:hAnsi="Cambria" w:eastAsia="Cambria" w:ascii="Cambria"/>
                <w:b w:val="1"/>
                <w:sz w:val="20"/>
              </w:rPr>
              <w:t xml:space="preserve"> </w:t>
            </w:r>
          </w:p>
          <w:p>
            <w:pPr>
              <w:numPr>
                <w:ilvl w:val="0"/>
                <w:numId w:val="14"/>
              </w:numPr>
              <w:spacing w:before="0" w:after="0" w:line="275" w:lineRule="auto"/>
              <w:ind w:left="163" w:right="0" w:hanging="91"/>
              <w:jc w:val="left"/>
            </w:pPr>
            <w:r>
              <w:rPr>
                <w:sz w:val="20"/>
              </w:rPr>
              <w:t xml:space="preserve">Around 500 youth (young men and women including ex</w:t>
            </w:r>
            <w:r>
              <w:rPr>
                <w:sz w:val="20"/>
              </w:rPr>
              <w:t xml:space="preserve">-</w:t>
            </w:r>
            <w:r>
              <w:rPr>
                <w:sz w:val="20"/>
              </w:rPr>
              <w:t xml:space="preserve">combatants and </w:t>
            </w:r>
          </w:p>
          <w:p>
            <w:pPr>
              <w:spacing w:before="0" w:after="7" w:line="272" w:lineRule="auto"/>
              <w:ind w:left="163" w:right="28" w:firstLine="0"/>
              <w:jc w:val="left"/>
            </w:pPr>
            <w:r>
              <w:rPr>
                <w:sz w:val="20"/>
              </w:rPr>
              <w:t xml:space="preserve">survivors physically affected)</w:t>
            </w:r>
            <w:r>
              <w:rPr>
                <w:sz w:val="20"/>
              </w:rPr>
              <w:t xml:space="preserve"> </w:t>
            </w:r>
            <w:r>
              <w:rPr>
                <w:sz w:val="20"/>
              </w:rPr>
              <w:t xml:space="preserve">are targeted with market</w:t>
            </w:r>
            <w:r>
              <w:rPr>
                <w:sz w:val="20"/>
              </w:rPr>
              <w:t xml:space="preserve">-</w:t>
            </w:r>
            <w:r>
              <w:rPr>
                <w:sz w:val="20"/>
              </w:rPr>
              <w:t xml:space="preserve">responsive vocational training and business development initiatives;</w:t>
            </w:r>
            <w:r>
              <w:rPr>
                <w:sz w:val="20"/>
              </w:rPr>
              <w:t xml:space="preserve"> </w:t>
            </w:r>
          </w:p>
          <w:p>
            <w:pPr>
              <w:numPr>
                <w:ilvl w:val="0"/>
                <w:numId w:val="14"/>
              </w:numPr>
              <w:spacing w:before="0" w:after="11" w:line="272" w:lineRule="auto"/>
              <w:ind w:left="163" w:right="0" w:hanging="91"/>
              <w:jc w:val="left"/>
            </w:pPr>
            <w:r>
              <w:rPr>
                <w:sz w:val="20"/>
              </w:rPr>
              <w:t xml:space="preserve">At least 3 vocational schools equipped with tools and other equipment for vocational training</w:t>
            </w:r>
            <w:r>
              <w:rPr>
                <w:sz w:val="20"/>
              </w:rPr>
              <w:t xml:space="preserve"> </w:t>
            </w:r>
          </w:p>
          <w:p>
            <w:pPr>
              <w:numPr>
                <w:ilvl w:val="0"/>
                <w:numId w:val="14"/>
              </w:numPr>
              <w:spacing w:before="0" w:after="0" w:line="259" w:lineRule="auto"/>
              <w:ind w:left="163" w:right="0" w:hanging="91"/>
              <w:jc w:val="left"/>
            </w:pPr>
            <w:r>
              <w:rPr>
                <w:sz w:val="20"/>
              </w:rPr>
              <w:t xml:space="preserve">At least 3 women led Produce Marketing Groups established and linked to </w:t>
            </w:r>
          </w:p>
        </w:tc>
        <w:tc>
          <w:tcPr>
            <w:tcW w:w="3960" w:type="dxa"/>
            <w:tcBorders>
              <w:top w:val="single" w:sz="4" w:color="000000"/>
              <w:left w:val="single" w:sz="4" w:color="000000"/>
              <w:bottom w:val="single" w:sz="4" w:color="000000"/>
              <w:right w:val="single" w:sz="4" w:color="000000"/>
            </w:tcBorders>
            <w:vAlign w:val="top"/>
          </w:tcPr>
          <w:p>
            <w:pPr>
              <w:spacing w:before="0" w:after="5" w:line="271" w:lineRule="auto"/>
              <w:ind w:left="0" w:right="214" w:firstLine="0"/>
            </w:pPr>
            <w:r>
              <w:rPr>
                <w:rFonts w:cs="Cambria" w:hAnsi="Cambria" w:eastAsia="Cambria" w:ascii="Cambria"/>
                <w:b w:val="1"/>
                <w:sz w:val="20"/>
              </w:rPr>
              <w:t xml:space="preserve">2.1. Activity Result:</w:t>
            </w:r>
            <w:r>
              <w:rPr>
                <w:rFonts w:cs="Cambria" w:hAnsi="Cambria" w:eastAsia="Cambria" w:ascii="Cambria"/>
                <w:i w:val="1"/>
                <w:sz w:val="20"/>
              </w:rPr>
              <w:t xml:space="preserve"> </w:t>
            </w:r>
            <w:r>
              <w:rPr>
                <w:rFonts w:cs="Cambria" w:hAnsi="Cambria" w:eastAsia="Cambria" w:ascii="Cambria"/>
                <w:i w:val="1"/>
                <w:sz w:val="20"/>
              </w:rPr>
              <w:t xml:space="preserve">Employment created and income increased for targeted youth in northern Uganda.</w:t>
            </w:r>
            <w:r>
              <w:rPr>
                <w:rFonts w:cs="Cambria" w:hAnsi="Cambria" w:eastAsia="Cambria" w:ascii="Cambria"/>
                <w:i w:val="1"/>
                <w:sz w:val="20"/>
              </w:rPr>
              <w:t xml:space="preserve"> </w:t>
            </w:r>
          </w:p>
          <w:p>
            <w:pPr>
              <w:spacing w:before="0" w:after="12" w:line="259" w:lineRule="auto"/>
              <w:ind w:left="0" w:right="0" w:firstLine="0"/>
              <w:jc w:val="left"/>
            </w:pPr>
            <w:r>
              <w:rPr>
                <w:sz w:val="20"/>
              </w:rPr>
              <w:t xml:space="preserve"> </w:t>
            </w:r>
          </w:p>
          <w:p>
            <w:pPr>
              <w:spacing w:before="0" w:after="0" w:line="272" w:lineRule="auto"/>
              <w:ind w:left="0" w:right="0" w:firstLine="0"/>
              <w:jc w:val="left"/>
            </w:pPr>
            <w:r>
              <w:rPr>
                <w:sz w:val="20"/>
              </w:rPr>
              <w:t xml:space="preserve">2.1.1: Based on market and sectoral assessments leading to diversification of income and creation of employment, design employment creation schemes targeting youth (young women and men) while promoting green jobs;</w:t>
            </w:r>
            <w:r>
              <w:rPr>
                <w:sz w:val="20"/>
              </w:rPr>
              <w:t xml:space="preserve"> </w:t>
            </w:r>
          </w:p>
          <w:p>
            <w:pPr>
              <w:spacing w:before="0" w:after="0" w:line="271" w:lineRule="auto"/>
              <w:ind w:left="0" w:right="0" w:firstLine="0"/>
              <w:jc w:val="left"/>
            </w:pPr>
            <w:r>
              <w:rPr>
                <w:sz w:val="20"/>
              </w:rPr>
              <w:t xml:space="preserve">2.1.2: Design schemes that reinforce reintegration endeavours of returnees, ex</w:t>
            </w:r>
            <w:r>
              <w:rPr>
                <w:sz w:val="20"/>
              </w:rPr>
              <w:t xml:space="preserve"/>
            </w:r>
            <w:r>
              <w:rPr>
                <w:sz w:val="20"/>
              </w:rPr>
              <w:t xml:space="preserve">warriors and associates; </w:t>
            </w:r>
            <w:r>
              <w:rPr>
                <w:sz w:val="20"/>
              </w:rPr>
              <w:t xml:space="preserve"> </w:t>
            </w:r>
          </w:p>
          <w:p>
            <w:pPr>
              <w:spacing w:before="0" w:after="0" w:line="259" w:lineRule="auto"/>
              <w:ind w:left="0" w:right="43" w:firstLine="0"/>
              <w:jc w:val="left"/>
            </w:pPr>
            <w:r>
              <w:rPr>
                <w:sz w:val="20"/>
              </w:rPr>
              <w:t xml:space="preserve">2.1.3: Carry out as needed, targeted training and skills development that will allow for increased employability for youth and job placement;</w:t>
            </w:r>
            <w:r>
              <w:rPr>
                <w:sz w:val="20"/>
              </w:rPr>
              <w:t xml:space="preserve"> </w:t>
            </w:r>
          </w:p>
        </w:tc>
        <w:tc>
          <w:tcPr>
            <w:tcW w:w="2338"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i w:val="1"/>
                <w:sz w:val="18"/>
              </w:rPr>
              <w:t xml:space="preserve"> </w:t>
            </w:r>
          </w:p>
          <w:p>
            <w:pPr>
              <w:spacing w:before="0" w:after="14" w:line="259" w:lineRule="auto"/>
              <w:ind w:left="0" w:right="0" w:firstLine="0"/>
              <w:jc w:val="left"/>
            </w:pPr>
            <w:r>
              <w:rPr>
                <w:sz w:val="18"/>
              </w:rPr>
              <w:t xml:space="preserve">OPM, Line Ministries, Local </w:t>
            </w:r>
          </w:p>
          <w:p>
            <w:pPr>
              <w:tabs>
                <w:tab w:val="right" w:pos="2167"/>
              </w:tabs>
              <w:spacing w:before="0" w:after="16" w:line="259" w:lineRule="auto"/>
              <w:ind w:left="0" w:right="0" w:firstLine="0"/>
              <w:jc w:val="left"/>
            </w:pPr>
            <w:r>
              <w:rPr>
                <w:sz w:val="18"/>
              </w:rPr>
              <w:t xml:space="preserve">Authorities, 	UNDP, </w:t>
            </w:r>
          </w:p>
          <w:p>
            <w:pPr>
              <w:spacing w:before="0" w:after="7" w:line="259" w:lineRule="auto"/>
              <w:ind w:left="0" w:right="0" w:firstLine="0"/>
              <w:jc w:val="left"/>
            </w:pPr>
            <w:r>
              <w:rPr>
                <w:sz w:val="18"/>
              </w:rPr>
              <w:t xml:space="preserve">Specialized UN agencies.</w:t>
            </w:r>
            <w:r>
              <w:rPr>
                <w:sz w:val="18"/>
              </w:rPr>
              <w:t xml:space="preserve"> </w:t>
            </w:r>
          </w:p>
          <w:p>
            <w:pPr>
              <w:spacing w:before="0" w:after="12" w:line="259" w:lineRule="auto"/>
              <w:ind w:left="0" w:right="0" w:firstLine="0"/>
              <w:jc w:val="left"/>
            </w:pPr>
            <w:r>
              <w:rPr>
                <w:sz w:val="18"/>
              </w:rPr>
              <w:t xml:space="preserve">NGO/CSO</w:t>
            </w:r>
            <w:r>
              <w:rPr>
                <w:sz w:val="18"/>
              </w:rPr>
              <w:t xml:space="preserve"> </w:t>
            </w:r>
          </w:p>
          <w:p>
            <w:pPr>
              <w:spacing w:before="0" w:after="0" w:line="259" w:lineRule="auto"/>
              <w:ind w:left="0" w:right="0" w:firstLine="0"/>
              <w:jc w:val="left"/>
            </w:pPr>
            <w:r>
              <w:rPr>
                <w:sz w:val="18"/>
              </w:rPr>
              <w:t xml:space="preserve">Private sector</w:t>
            </w:r>
            <w:r>
              <w:rPr>
                <w:sz w:val="18"/>
              </w:rPr>
              <w:t xml:space="preserve"> </w:t>
            </w:r>
          </w:p>
        </w:tc>
        <w:tc>
          <w:tcPr>
            <w:tcW w:w="1981"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i w:val="1"/>
                <w:sz w:val="18"/>
              </w:rPr>
              <w:t xml:space="preserve">Consultancies</w:t>
            </w:r>
            <w:r>
              <w:rPr>
                <w:rFonts w:cs="Cambria" w:hAnsi="Cambria" w:eastAsia="Cambria" w:ascii="Cambria"/>
                <w:i w:val="1"/>
                <w:sz w:val="18"/>
              </w:rPr>
              <w:t xml:space="preserve"> </w:t>
            </w:r>
          </w:p>
          <w:p>
            <w:pPr>
              <w:spacing w:before="0" w:after="7" w:line="259" w:lineRule="auto"/>
              <w:ind w:left="5" w:right="0" w:firstLine="0"/>
              <w:jc w:val="left"/>
            </w:pPr>
            <w:r>
              <w:rPr>
                <w:rFonts w:cs="Cambria" w:hAnsi="Cambria" w:eastAsia="Cambria" w:ascii="Cambria"/>
                <w:i w:val="1"/>
                <w:sz w:val="18"/>
              </w:rPr>
              <w:t xml:space="preserve">200,000 </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Professional services</w:t>
            </w:r>
            <w:r>
              <w:rPr>
                <w:rFonts w:cs="Cambria" w:hAnsi="Cambria" w:eastAsia="Cambria" w:ascii="Cambria"/>
                <w:i w:val="1"/>
                <w:sz w:val="18"/>
              </w:rPr>
              <w:t xml:space="preserve"> </w:t>
            </w:r>
          </w:p>
          <w:p>
            <w:pPr>
              <w:spacing w:before="0" w:after="7" w:line="259" w:lineRule="auto"/>
              <w:ind w:left="5" w:right="0" w:firstLine="0"/>
              <w:jc w:val="left"/>
            </w:pPr>
            <w:r>
              <w:rPr>
                <w:rFonts w:cs="Cambria" w:hAnsi="Cambria" w:eastAsia="Cambria" w:ascii="Cambria"/>
                <w:i w:val="1"/>
                <w:sz w:val="18"/>
              </w:rPr>
              <w:t xml:space="preserve">300,000</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Monitoring and </w:t>
            </w:r>
          </w:p>
          <w:p>
            <w:pPr>
              <w:spacing w:before="0" w:after="7" w:line="259" w:lineRule="auto"/>
              <w:ind w:left="5" w:right="0" w:firstLine="0"/>
              <w:jc w:val="left"/>
            </w:pPr>
            <w:r>
              <w:rPr>
                <w:rFonts w:cs="Cambria" w:hAnsi="Cambria" w:eastAsia="Cambria" w:ascii="Cambria"/>
                <w:i w:val="1"/>
                <w:sz w:val="18"/>
              </w:rPr>
              <w:t xml:space="preserve">Evaluation</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70,000</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Equipment</w:t>
            </w:r>
            <w:r>
              <w:rPr>
                <w:rFonts w:cs="Cambria" w:hAnsi="Cambria" w:eastAsia="Cambria" w:ascii="Cambria"/>
                <w:i w:val="1"/>
                <w:sz w:val="18"/>
              </w:rPr>
              <w:t xml:space="preserve"> </w:t>
            </w:r>
          </w:p>
          <w:p>
            <w:pPr>
              <w:spacing w:before="0" w:after="0" w:line="259" w:lineRule="auto"/>
              <w:ind w:left="5" w:right="0" w:firstLine="0"/>
              <w:jc w:val="left"/>
            </w:pPr>
            <w:r>
              <w:rPr>
                <w:rFonts w:cs="Cambria" w:hAnsi="Cambria" w:eastAsia="Cambria" w:ascii="Cambria"/>
                <w:i w:val="1"/>
                <w:sz w:val="18"/>
              </w:rPr>
              <w:t xml:space="preserve">600,000</w:t>
            </w:r>
            <w:r>
              <w:rPr>
                <w:rFonts w:cs="Cambria" w:hAnsi="Cambria" w:eastAsia="Cambria" w:ascii="Cambria"/>
                <w:i w:val="1"/>
                <w:sz w:val="18"/>
              </w:rPr>
              <w:t xml:space="preserve"> </w:t>
            </w:r>
          </w:p>
        </w:tc>
      </w:tr>
    </w:tbl>
    <w:p>
      <w:pPr>
        <w:spacing w:before="0" w:after="0" w:line="259" w:lineRule="auto"/>
        <w:ind w:left="-1440" w:right="14405" w:firstLine="0"/>
        <w:jc w:val="left"/>
      </w:pPr>
    </w:p>
    <w:tbl>
      <w:tblPr>
        <w:tblStyle w:val="TableGrid"/>
        <w:tblW w:w="14582" w:type="dxa"/>
        <w:tblInd w:w="-811" w:type="dxa"/>
        <w:tblCellMar>
          <w:top w:w="31" w:type="dxa"/>
          <w:left w:w="82" w:type="dxa"/>
          <w:bottom w:w="0" w:type="dxa"/>
          <w:right w:w="70" w:type="dxa"/>
        </w:tblCellMar>
      </w:tblPr>
      <w:tblGrid>
        <w:gridCol w:w="3422"/>
        <w:gridCol w:w="2880"/>
        <w:gridCol w:w="3960"/>
        <w:gridCol w:w="2338"/>
        <w:gridCol w:w="1982"/>
      </w:tblGrid>
      <w:tr>
        <w:trPr>
          <w:trHeight w:val="9178" w:hRule="atLeast"/>
        </w:trPr>
        <w:tc>
          <w:tcPr>
            <w:tcW w:w="3422"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sz w:val="18"/>
              </w:rPr>
              <w:t xml:space="preserve">year).</w:t>
            </w:r>
            <w:r>
              <w:rPr>
                <w:sz w:val="18"/>
              </w:rPr>
              <w:t xml:space="preserve"> </w:t>
            </w:r>
          </w:p>
          <w:p>
            <w:pPr>
              <w:spacing w:before="0" w:after="3" w:line="269" w:lineRule="auto"/>
              <w:ind w:left="29" w:right="34" w:firstLine="0"/>
            </w:pPr>
            <w:r>
              <w:rPr>
                <w:sz w:val="18"/>
              </w:rPr>
              <w:t xml:space="preserve">-</w:t>
            </w:r>
            <w:r>
              <w:rPr>
                <w:sz w:val="18"/>
              </w:rPr>
              <w:t xml:space="preserve">Weak social, economic and productive infrastructure (markets, roads/ transportation) and high urban/rural disparities. </w:t>
            </w:r>
            <w:r>
              <w:rPr>
                <w:sz w:val="18"/>
              </w:rPr>
              <w:t xml:space="preserve"> </w:t>
            </w:r>
          </w:p>
          <w:p>
            <w:pPr>
              <w:spacing w:before="0" w:after="7" w:line="259" w:lineRule="auto"/>
              <w:ind w:left="29" w:right="0" w:firstLine="0"/>
              <w:jc w:val="left"/>
            </w:pPr>
            <w:r>
              <w:rPr>
                <w:rFonts w:cs="Cambria" w:hAnsi="Cambria" w:eastAsia="Cambria" w:ascii="Cambria"/>
                <w:b w:val="1"/>
                <w:i w:val="1"/>
                <w:sz w:val="18"/>
              </w:rPr>
              <w:t xml:space="preserve"> </w:t>
            </w:r>
          </w:p>
          <w:p>
            <w:pPr>
              <w:spacing w:before="0" w:after="27" w:line="259" w:lineRule="auto"/>
              <w:ind w:left="29" w:right="0" w:firstLine="0"/>
              <w:jc w:val="left"/>
            </w:pPr>
            <w:r>
              <w:rPr>
                <w:rFonts w:cs="Cambria" w:hAnsi="Cambria" w:eastAsia="Cambria" w:ascii="Cambria"/>
                <w:b w:val="1"/>
                <w:i w:val="1"/>
                <w:sz w:val="18"/>
              </w:rPr>
              <w:t xml:space="preserve">Indicators:</w:t>
            </w:r>
            <w:r>
              <w:rPr>
                <w:rFonts w:cs="Cambria" w:hAnsi="Cambria" w:eastAsia="Cambria" w:ascii="Cambria"/>
                <w:b w:val="1"/>
                <w:i w:val="1"/>
                <w:sz w:val="18"/>
              </w:rPr>
              <w:t xml:space="preserve"> </w:t>
            </w:r>
          </w:p>
          <w:p>
            <w:pPr>
              <w:numPr>
                <w:ilvl w:val="0"/>
                <w:numId w:val="15"/>
              </w:numPr>
              <w:spacing w:before="0" w:after="17" w:line="233" w:lineRule="auto"/>
              <w:ind w:left="201" w:right="0" w:hanging="139"/>
              <w:jc w:val="left"/>
            </w:pPr>
            <w:r>
              <w:rPr>
                <w:sz w:val="18"/>
              </w:rPr>
              <w:t xml:space="preserve">Number of targeted people that have undergone training and apprenticeship</w:t>
            </w:r>
            <w:r>
              <w:rPr>
                <w:sz w:val="18"/>
              </w:rPr>
              <w:t xml:space="preserve"> </w:t>
            </w:r>
            <w:r>
              <w:rPr>
                <w:sz w:val="18"/>
              </w:rPr>
              <w:t xml:space="preserve">disaggregated by gender and type of training</w:t>
            </w:r>
            <w:r>
              <w:rPr>
                <w:sz w:val="18"/>
              </w:rPr>
              <w:t xml:space="preserve"> </w:t>
            </w:r>
          </w:p>
          <w:p>
            <w:pPr>
              <w:numPr>
                <w:ilvl w:val="0"/>
                <w:numId w:val="15"/>
              </w:numPr>
              <w:spacing w:before="0" w:after="5" w:line="230" w:lineRule="auto"/>
              <w:ind w:left="201" w:right="0" w:hanging="139"/>
              <w:jc w:val="left"/>
            </w:pPr>
            <w:r>
              <w:rPr>
                <w:sz w:val="18"/>
              </w:rPr>
              <w:t xml:space="preserve">Number of jobs/employment opportunities created</w:t>
            </w:r>
            <w:r>
              <w:rPr>
                <w:sz w:val="18"/>
              </w:rPr>
              <w:t xml:space="preserve"> </w:t>
            </w:r>
            <w:r>
              <w:rPr>
                <w:sz w:val="18"/>
              </w:rPr>
              <w:t xml:space="preserve">as a result of the </w:t>
            </w:r>
          </w:p>
          <w:p>
            <w:pPr>
              <w:spacing w:before="0" w:after="0" w:line="259" w:lineRule="auto"/>
              <w:ind w:left="202" w:right="0" w:firstLine="0"/>
              <w:jc w:val="left"/>
            </w:pPr>
            <w:r>
              <w:rPr>
                <w:sz w:val="18"/>
              </w:rPr>
              <w:t xml:space="preserve">programme interventions</w:t>
            </w:r>
            <w:r>
              <w:rPr>
                <w:sz w:val="18"/>
              </w:rPr>
              <w:t xml:space="preserve"> </w:t>
            </w:r>
          </w:p>
          <w:p>
            <w:pPr>
              <w:spacing w:before="0" w:after="0" w:line="259" w:lineRule="auto"/>
              <w:ind w:left="202" w:right="0" w:firstLine="0"/>
              <w:jc w:val="left"/>
            </w:pPr>
            <w:r>
              <w:rPr>
                <w:sz w:val="18"/>
              </w:rPr>
              <w:t xml:space="preserve"> </w:t>
            </w:r>
          </w:p>
          <w:p>
            <w:pPr>
              <w:numPr>
                <w:ilvl w:val="0"/>
                <w:numId w:val="15"/>
              </w:numPr>
              <w:spacing w:before="0" w:after="5" w:line="230" w:lineRule="auto"/>
              <w:ind w:left="201" w:right="0" w:hanging="139"/>
              <w:jc w:val="left"/>
            </w:pPr>
            <w:r>
              <w:rPr>
                <w:sz w:val="18"/>
              </w:rPr>
              <w:t xml:space="preserve">Number of farmer groups/produce marketing groups involved in </w:t>
            </w:r>
          </w:p>
          <w:p>
            <w:pPr>
              <w:spacing w:before="0" w:after="0" w:line="259" w:lineRule="auto"/>
              <w:ind w:left="202" w:right="0" w:firstLine="0"/>
              <w:jc w:val="left"/>
            </w:pPr>
            <w:r>
              <w:rPr>
                <w:sz w:val="18"/>
              </w:rPr>
              <w:t xml:space="preserve">identified value chain</w:t>
            </w:r>
            <w:r>
              <w:rPr>
                <w:sz w:val="18"/>
              </w:rPr>
              <w:t xml:space="preserve"> </w:t>
            </w:r>
          </w:p>
          <w:p>
            <w:pPr>
              <w:spacing w:before="0" w:after="0" w:line="259" w:lineRule="auto"/>
              <w:ind w:left="29" w:right="0" w:firstLine="0"/>
              <w:jc w:val="left"/>
            </w:pPr>
            <w:r>
              <w:rPr>
                <w:sz w:val="18"/>
              </w:rPr>
              <w:t xml:space="preserve"> </w:t>
            </w:r>
          </w:p>
        </w:tc>
        <w:tc>
          <w:tcPr>
            <w:tcW w:w="2880" w:type="dxa"/>
            <w:tcBorders>
              <w:top w:val="single" w:sz="4" w:color="000000"/>
              <w:left w:val="single" w:sz="4" w:color="000000"/>
              <w:bottom w:val="single" w:sz="4" w:color="000000"/>
              <w:right w:val="single" w:sz="4" w:color="000000"/>
            </w:tcBorders>
            <w:vAlign w:val="top"/>
          </w:tcPr>
          <w:p>
            <w:pPr>
              <w:spacing w:before="0" w:after="20" w:line="259" w:lineRule="auto"/>
              <w:ind w:left="187" w:right="0" w:firstLine="0"/>
              <w:jc w:val="left"/>
            </w:pPr>
            <w:r>
              <w:rPr>
                <w:sz w:val="20"/>
              </w:rPr>
              <w:t xml:space="preserve">WFP</w:t>
            </w:r>
            <w:r>
              <w:rPr>
                <w:sz w:val="20"/>
              </w:rPr>
              <w:t xml:space="preserve"> </w:t>
            </w:r>
          </w:p>
          <w:p>
            <w:pPr>
              <w:spacing w:before="0" w:after="0" w:line="274" w:lineRule="auto"/>
              <w:ind w:left="96" w:right="12" w:hanging="91"/>
              <w:jc w:val="left"/>
            </w:pPr>
            <w:r>
              <w:rPr>
                <w:rFonts w:cs="Wingdings" w:hAnsi="Wingdings" w:eastAsia="Wingdings" w:ascii="Wingdings"/>
                <w:sz w:val="20"/>
              </w:rPr>
              <w:t xml:space="preserve"></w:t>
            </w:r>
            <w:r>
              <w:rPr>
                <w:rFonts w:cs="Arial" w:hAnsi="Arial" w:eastAsia="Arial" w:ascii="Arial"/>
                <w:sz w:val="20"/>
              </w:rPr>
              <w:t xml:space="preserve"> 	</w:t>
            </w:r>
            <w:r>
              <w:rPr>
                <w:sz w:val="20"/>
              </w:rPr>
              <w:t xml:space="preserve"> </w:t>
            </w:r>
            <w:r>
              <w:rPr>
                <w:sz w:val="20"/>
              </w:rPr>
              <w:t xml:space="preserve">At least one value chain analysis of a competitive product/service is carried out in conjunction </w:t>
            </w:r>
          </w:p>
          <w:p>
            <w:pPr>
              <w:spacing w:before="0" w:after="12" w:line="259" w:lineRule="auto"/>
              <w:ind w:left="96" w:right="0" w:firstLine="0"/>
              <w:jc w:val="left"/>
            </w:pPr>
            <w:r>
              <w:rPr>
                <w:sz w:val="20"/>
              </w:rPr>
              <w:t xml:space="preserve">with FAO </w:t>
            </w:r>
            <w:r>
              <w:rPr>
                <w:sz w:val="20"/>
              </w:rPr>
              <w:t xml:space="preserve"> </w:t>
            </w:r>
          </w:p>
          <w:p>
            <w:pPr>
              <w:spacing w:before="0" w:after="12" w:line="259" w:lineRule="auto"/>
              <w:ind w:left="24" w:right="0" w:firstLine="0"/>
              <w:jc w:val="left"/>
            </w:pPr>
            <w:r>
              <w:rPr>
                <w:sz w:val="20"/>
              </w:rPr>
              <w:t xml:space="preserve"> </w:t>
            </w:r>
          </w:p>
          <w:p>
            <w:pPr>
              <w:spacing w:before="0" w:after="12" w:line="259" w:lineRule="auto"/>
              <w:ind w:left="24" w:right="0" w:firstLine="0"/>
              <w:jc w:val="left"/>
            </w:pPr>
            <w:r>
              <w:rPr>
                <w:sz w:val="20"/>
              </w:rPr>
              <w:t xml:space="preserve"> </w:t>
            </w:r>
          </w:p>
          <w:p>
            <w:pPr>
              <w:spacing w:before="0" w:after="27" w:line="259" w:lineRule="auto"/>
              <w:ind w:left="24" w:right="0" w:firstLine="0"/>
              <w:jc w:val="left"/>
            </w:pPr>
            <w:r>
              <w:rPr>
                <w:rFonts w:cs="Cambria" w:hAnsi="Cambria" w:eastAsia="Cambria" w:ascii="Cambria"/>
                <w:b w:val="1"/>
                <w:sz w:val="20"/>
              </w:rPr>
              <w:t xml:space="preserve">Targets (year 2)</w:t>
            </w:r>
            <w:r>
              <w:rPr>
                <w:rFonts w:cs="Cambria" w:hAnsi="Cambria" w:eastAsia="Cambria" w:ascii="Cambria"/>
                <w:b w:val="1"/>
                <w:sz w:val="20"/>
              </w:rPr>
              <w:t xml:space="preserve"> </w:t>
            </w:r>
          </w:p>
          <w:p>
            <w:pPr>
              <w:numPr>
                <w:ilvl w:val="0"/>
                <w:numId w:val="16"/>
              </w:numPr>
              <w:spacing w:before="0" w:after="10" w:line="271" w:lineRule="auto"/>
              <w:ind w:left="139" w:right="0" w:hanging="139"/>
              <w:jc w:val="left"/>
            </w:pPr>
            <w:r>
              <w:rPr>
                <w:sz w:val="20"/>
              </w:rPr>
              <w:t xml:space="preserve">At least 300 trained youth linked with businesses for apprenticeship placement </w:t>
            </w:r>
            <w:r>
              <w:rPr>
                <w:sz w:val="20"/>
              </w:rPr>
              <w:t xml:space="preserve"> </w:t>
            </w:r>
          </w:p>
          <w:p>
            <w:pPr>
              <w:numPr>
                <w:ilvl w:val="0"/>
                <w:numId w:val="16"/>
              </w:numPr>
              <w:spacing w:before="0" w:after="8" w:line="273" w:lineRule="auto"/>
              <w:ind w:left="139" w:right="0" w:hanging="139"/>
              <w:jc w:val="left"/>
            </w:pPr>
            <w:r>
              <w:rPr>
                <w:sz w:val="20"/>
              </w:rPr>
              <w:t xml:space="preserve">At least 300 trained youth  organised in</w:t>
            </w:r>
            <w:r>
              <w:rPr>
                <w:sz w:val="20"/>
              </w:rPr>
              <w:t xml:space="preserve"> </w:t>
            </w:r>
            <w:r>
              <w:rPr>
                <w:sz w:val="20"/>
              </w:rPr>
              <w:t xml:space="preserve">groups and equipped with tools of trade</w:t>
            </w:r>
            <w:r>
              <w:rPr>
                <w:sz w:val="20"/>
              </w:rPr>
              <w:t xml:space="preserve"> </w:t>
            </w:r>
          </w:p>
          <w:p>
            <w:pPr>
              <w:numPr>
                <w:ilvl w:val="0"/>
                <w:numId w:val="16"/>
              </w:numPr>
              <w:spacing w:before="0" w:after="0" w:line="259" w:lineRule="auto"/>
              <w:ind w:left="139" w:right="0" w:hanging="139"/>
              <w:jc w:val="left"/>
            </w:pPr>
            <w:r>
              <w:rPr>
                <w:sz w:val="20"/>
              </w:rPr>
              <w:t xml:space="preserve">Implementation of at least one priority intervention of the results of the value chain analysis</w:t>
            </w:r>
            <w:r>
              <w:rPr>
                <w:rFonts w:cs="Cambria" w:hAnsi="Cambria" w:eastAsia="Cambria" w:ascii="Cambria"/>
                <w:i w:val="1"/>
                <w:sz w:val="20"/>
              </w:rPr>
              <w:t xml:space="preserve"> </w:t>
            </w:r>
          </w:p>
        </w:tc>
        <w:tc>
          <w:tcPr>
            <w:tcW w:w="3960" w:type="dxa"/>
            <w:tcBorders>
              <w:top w:val="single" w:sz="4" w:color="000000"/>
              <w:left w:val="single" w:sz="4" w:color="000000"/>
              <w:bottom w:val="single" w:sz="4" w:color="000000"/>
              <w:right w:val="single" w:sz="4" w:color="000000"/>
            </w:tcBorders>
            <w:vAlign w:val="top"/>
          </w:tcPr>
          <w:p>
            <w:pPr>
              <w:numPr>
                <w:ilvl w:val="0"/>
                <w:numId w:val="17"/>
              </w:numPr>
              <w:spacing w:before="0" w:after="5" w:line="271" w:lineRule="auto"/>
              <w:ind w:left="24" w:right="273" w:firstLine="0"/>
            </w:pPr>
            <w:r>
              <w:rPr>
                <w:sz w:val="20"/>
              </w:rPr>
              <w:t xml:space="preserve">1.4: Equipping of public/ community</w:t>
            </w:r>
            <w:r>
              <w:rPr>
                <w:sz w:val="20"/>
              </w:rPr>
              <w:t xml:space="preserve"/>
            </w:r>
            <w:r>
              <w:rPr>
                <w:sz w:val="20"/>
              </w:rPr>
              <w:t xml:space="preserve">based institutions for training of youth in vocational skills. </w:t>
            </w:r>
            <w:r>
              <w:rPr>
                <w:sz w:val="20"/>
              </w:rPr>
              <w:t xml:space="preserve"> </w:t>
            </w:r>
          </w:p>
          <w:p>
            <w:pPr>
              <w:spacing w:before="0" w:after="0" w:line="271" w:lineRule="auto"/>
              <w:ind w:left="24" w:right="0" w:firstLine="0"/>
              <w:jc w:val="left"/>
            </w:pPr>
            <w:r>
              <w:rPr>
                <w:rFonts w:cs="Cambria" w:hAnsi="Cambria" w:eastAsia="Cambria" w:ascii="Cambria"/>
                <w:b w:val="1"/>
                <w:sz w:val="20"/>
              </w:rPr>
              <w:t xml:space="preserve">2.2. Activity Result:</w:t>
            </w:r>
            <w:r>
              <w:rPr>
                <w:sz w:val="20"/>
              </w:rPr>
              <w:t xml:space="preserve"> </w:t>
            </w:r>
            <w:r>
              <w:rPr>
                <w:rFonts w:cs="Cambria" w:hAnsi="Cambria" w:eastAsia="Cambria" w:ascii="Cambria"/>
                <w:i w:val="1"/>
                <w:sz w:val="20"/>
              </w:rPr>
              <w:t xml:space="preserve">Government aided vocational schools </w:t>
            </w:r>
            <w:r>
              <w:rPr>
                <w:rFonts w:cs="Cambria" w:hAnsi="Cambria" w:eastAsia="Cambria" w:ascii="Cambria"/>
                <w:i w:val="1"/>
                <w:sz w:val="20"/>
              </w:rPr>
              <w:t xml:space="preserve">  </w:t>
            </w:r>
            <w:r>
              <w:rPr>
                <w:rFonts w:cs="Cambria" w:hAnsi="Cambria" w:eastAsia="Cambria" w:ascii="Cambria"/>
                <w:i w:val="1"/>
                <w:sz w:val="20"/>
              </w:rPr>
              <w:t xml:space="preserve">equipped with tools</w:t>
            </w:r>
            <w:r>
              <w:rPr>
                <w:sz w:val="20"/>
              </w:rPr>
              <w:t xml:space="preserve"> </w:t>
            </w:r>
            <w:r>
              <w:rPr>
                <w:sz w:val="20"/>
              </w:rPr>
              <w:t xml:space="preserve">2.2.1: Conduct needs assessment of identified public/community based vocational schools</w:t>
            </w:r>
            <w:r>
              <w:rPr>
                <w:sz w:val="20"/>
              </w:rPr>
              <w:t xml:space="preserve"> </w:t>
            </w:r>
          </w:p>
          <w:p>
            <w:pPr>
              <w:spacing w:before="0" w:after="0" w:line="273" w:lineRule="auto"/>
              <w:ind w:left="24" w:right="24" w:firstLine="0"/>
              <w:jc w:val="left"/>
            </w:pPr>
            <w:r>
              <w:rPr>
                <w:sz w:val="20"/>
              </w:rPr>
              <w:t xml:space="preserve">2.2.2: Procure equipment for the public/community based vocational schools</w:t>
            </w:r>
            <w:r>
              <w:rPr>
                <w:sz w:val="20"/>
              </w:rPr>
              <w:t xml:space="preserve"> </w:t>
            </w:r>
          </w:p>
          <w:p>
            <w:pPr>
              <w:numPr>
                <w:ilvl w:val="0"/>
                <w:numId w:val="18"/>
              </w:numPr>
              <w:spacing w:before="0" w:after="5" w:line="271" w:lineRule="auto"/>
              <w:ind w:left="24" w:right="0" w:firstLine="0"/>
              <w:jc w:val="left"/>
            </w:pPr>
            <w:r>
              <w:rPr>
                <w:sz w:val="20"/>
              </w:rPr>
              <w:t xml:space="preserve">2.3: Equip the public/community based vocational schools with equipment for training</w:t>
            </w:r>
            <w:r>
              <w:rPr>
                <w:sz w:val="20"/>
              </w:rPr>
              <w:t xml:space="preserve"> </w:t>
            </w:r>
          </w:p>
          <w:p>
            <w:pPr>
              <w:spacing w:before="0" w:after="12" w:line="259" w:lineRule="auto"/>
              <w:ind w:left="24" w:right="0" w:firstLine="0"/>
              <w:jc w:val="left"/>
            </w:pPr>
            <w:r>
              <w:rPr>
                <w:sz w:val="20"/>
              </w:rPr>
              <w:t xml:space="preserve"> </w:t>
            </w:r>
          </w:p>
          <w:p>
            <w:pPr>
              <w:spacing w:before="0" w:after="0" w:line="272" w:lineRule="auto"/>
              <w:ind w:left="24" w:right="0" w:firstLine="0"/>
              <w:jc w:val="left"/>
            </w:pPr>
            <w:r>
              <w:rPr>
                <w:rFonts w:cs="Cambria" w:hAnsi="Cambria" w:eastAsia="Cambria" w:ascii="Cambria"/>
                <w:b w:val="1"/>
                <w:sz w:val="20"/>
              </w:rPr>
              <w:t xml:space="preserve">2.3 Activity Result</w:t>
            </w:r>
            <w:r>
              <w:rPr>
                <w:rFonts w:cs="Cambria" w:hAnsi="Cambria" w:eastAsia="Cambria" w:ascii="Cambria"/>
                <w:i w:val="1"/>
                <w:sz w:val="20"/>
              </w:rPr>
              <w:t xml:space="preserve">: </w:t>
            </w:r>
            <w:r>
              <w:rPr>
                <w:rFonts w:cs="Cambria" w:hAnsi="Cambria" w:eastAsia="Cambria" w:ascii="Cambria"/>
                <w:i w:val="1"/>
                <w:sz w:val="20"/>
              </w:rPr>
              <w:t xml:space="preserve">Enterprises</w:t>
            </w:r>
            <w:r>
              <w:rPr>
                <w:rFonts w:cs="Cambria" w:hAnsi="Cambria" w:eastAsia="Cambria" w:ascii="Cambria"/>
                <w:i w:val="1"/>
                <w:sz w:val="20"/>
              </w:rPr>
              <w:t xml:space="preserve"> </w:t>
            </w:r>
            <w:r>
              <w:rPr>
                <w:rFonts w:cs="Cambria" w:hAnsi="Cambria" w:eastAsia="Cambria" w:ascii="Cambria"/>
                <w:i w:val="1"/>
                <w:sz w:val="20"/>
              </w:rPr>
              <w:t xml:space="preserve">established and/or developed while at the same time invest in value addition of particular chains for certain products to enhance alternative livelihoods and diversified economic opportunities.</w:t>
            </w:r>
            <w:r>
              <w:rPr>
                <w:rFonts w:cs="Cambria" w:hAnsi="Cambria" w:eastAsia="Cambria" w:ascii="Cambria"/>
                <w:i w:val="1"/>
                <w:sz w:val="20"/>
              </w:rPr>
              <w:t xml:space="preserve"> </w:t>
            </w:r>
          </w:p>
          <w:p>
            <w:pPr>
              <w:spacing w:before="0" w:after="0" w:line="271" w:lineRule="auto"/>
              <w:ind w:left="24" w:right="387" w:firstLine="0"/>
            </w:pPr>
            <w:r>
              <w:rPr>
                <w:sz w:val="20"/>
              </w:rPr>
              <w:t xml:space="preserve">2.3.1: Conduct further analysis and mapping of potential value chains while promoting bio</w:t>
            </w:r>
            <w:r>
              <w:rPr>
                <w:sz w:val="20"/>
              </w:rPr>
              <w:t xml:space="preserve">-</w:t>
            </w:r>
            <w:r>
              <w:rPr>
                <w:sz w:val="20"/>
              </w:rPr>
              <w:t xml:space="preserve">trade concepts;</w:t>
            </w:r>
            <w:r>
              <w:rPr>
                <w:sz w:val="20"/>
              </w:rPr>
              <w:t xml:space="preserve"> </w:t>
            </w:r>
          </w:p>
          <w:p>
            <w:pPr>
              <w:spacing w:before="0" w:after="0" w:line="273" w:lineRule="auto"/>
              <w:ind w:left="24" w:right="312" w:firstLine="0"/>
            </w:pPr>
            <w:r>
              <w:rPr>
                <w:sz w:val="20"/>
              </w:rPr>
              <w:t xml:space="preserve">2.3.2: Invest in value addition machinery and provide to participating</w:t>
            </w:r>
            <w:r>
              <w:rPr>
                <w:sz w:val="20"/>
              </w:rPr>
              <w:t xml:space="preserve"> </w:t>
            </w:r>
            <w:r>
              <w:rPr>
                <w:sz w:val="20"/>
              </w:rPr>
              <w:t xml:space="preserve">women produce marketing groups</w:t>
            </w:r>
            <w:r>
              <w:rPr>
                <w:sz w:val="20"/>
              </w:rPr>
              <w:t xml:space="preserve"> </w:t>
            </w:r>
          </w:p>
          <w:p>
            <w:pPr>
              <w:spacing w:before="0" w:after="0" w:line="272" w:lineRule="auto"/>
              <w:ind w:left="24" w:right="0" w:firstLine="0"/>
              <w:jc w:val="left"/>
            </w:pPr>
            <w:r>
              <w:rPr>
                <w:sz w:val="20"/>
              </w:rPr>
              <w:t xml:space="preserve">2.3.3: Invest in micro and small enterprise development according to market needs while women produce marketing groups</w:t>
            </w:r>
            <w:r>
              <w:rPr>
                <w:sz w:val="20"/>
              </w:rPr>
              <w:t xml:space="preserve"> </w:t>
            </w:r>
            <w:r>
              <w:rPr>
                <w:sz w:val="20"/>
              </w:rPr>
              <w:t xml:space="preserve">2.3.4: Provide as needed start</w:t>
            </w:r>
            <w:r>
              <w:rPr>
                <w:sz w:val="20"/>
              </w:rPr>
              <w:t xml:space="preserve">-</w:t>
            </w:r>
            <w:r>
              <w:rPr>
                <w:sz w:val="20"/>
              </w:rPr>
              <w:t xml:space="preserve">up packages according to stringent criteria;</w:t>
            </w:r>
            <w:r>
              <w:rPr>
                <w:sz w:val="20"/>
              </w:rPr>
              <w:t xml:space="preserve"> </w:t>
            </w:r>
          </w:p>
          <w:p>
            <w:pPr>
              <w:spacing w:before="0" w:after="0" w:line="259" w:lineRule="auto"/>
              <w:ind w:left="24" w:right="0" w:firstLine="0"/>
              <w:jc w:val="left"/>
            </w:pPr>
            <w:r>
              <w:rPr>
                <w:sz w:val="20"/>
              </w:rPr>
              <w:t xml:space="preserve">2.3.5: Promote access to finance and business development for selected value </w:t>
            </w:r>
          </w:p>
        </w:tc>
        <w:tc>
          <w:tcPr>
            <w:tcW w:w="2338"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8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1440" w:right="14405" w:firstLine="0"/>
        <w:jc w:val="left"/>
      </w:pPr>
    </w:p>
    <w:tbl>
      <w:tblPr>
        <w:tblStyle w:val="TableGrid"/>
        <w:tblW w:w="14580" w:type="dxa"/>
        <w:tblInd w:w="-810" w:type="dxa"/>
        <w:tblCellMar>
          <w:top w:w="30" w:type="dxa"/>
          <w:left w:w="106" w:type="dxa"/>
          <w:bottom w:w="0" w:type="dxa"/>
          <w:right w:w="65" w:type="dxa"/>
        </w:tblCellMar>
      </w:tblPr>
      <w:tblGrid>
        <w:gridCol w:w="3421"/>
        <w:gridCol w:w="2880"/>
        <w:gridCol w:w="3960"/>
        <w:gridCol w:w="2338"/>
        <w:gridCol w:w="1981"/>
      </w:tblGrid>
      <w:tr>
        <w:trPr>
          <w:trHeight w:val="3246" w:hRule="atLeast"/>
        </w:trPr>
        <w:tc>
          <w:tcPr>
            <w:tcW w:w="3421"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2880"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960"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chains;</w:t>
            </w:r>
            <w:r>
              <w:rPr>
                <w:sz w:val="20"/>
              </w:rPr>
              <w:t xml:space="preserve"> </w:t>
            </w:r>
          </w:p>
          <w:p>
            <w:pPr>
              <w:numPr>
                <w:ilvl w:val="0"/>
                <w:numId w:val="19"/>
              </w:numPr>
              <w:spacing w:before="0" w:after="0" w:line="273" w:lineRule="auto"/>
              <w:ind w:left="0" w:right="0" w:firstLine="0"/>
              <w:jc w:val="left"/>
            </w:pPr>
            <w:r>
              <w:rPr>
                <w:sz w:val="20"/>
              </w:rPr>
              <w:t xml:space="preserve">3.7: Promote and support saving schemes and mentor established produce marketing groups</w:t>
            </w:r>
            <w:r>
              <w:rPr>
                <w:sz w:val="20"/>
              </w:rPr>
              <w:t xml:space="preserve"> </w:t>
            </w:r>
          </w:p>
          <w:p>
            <w:pPr>
              <w:spacing w:before="0" w:after="12" w:line="259" w:lineRule="auto"/>
              <w:ind w:left="0" w:right="0" w:firstLine="0"/>
              <w:jc w:val="left"/>
            </w:pPr>
            <w:r>
              <w:rPr>
                <w:sz w:val="20"/>
              </w:rPr>
              <w:t xml:space="preserve"> </w:t>
            </w:r>
          </w:p>
          <w:p>
            <w:pPr>
              <w:spacing w:before="0" w:after="0" w:line="271" w:lineRule="auto"/>
              <w:ind w:left="0" w:right="0" w:firstLine="0"/>
              <w:jc w:val="left"/>
            </w:pPr>
            <w:r>
              <w:rPr>
                <w:rFonts w:cs="Cambria" w:hAnsi="Cambria" w:eastAsia="Cambria" w:ascii="Cambria"/>
                <w:b w:val="1"/>
                <w:sz w:val="20"/>
              </w:rPr>
              <w:t xml:space="preserve">2.4 Activity Result</w:t>
            </w:r>
            <w:r>
              <w:rPr>
                <w:rFonts w:cs="Cambria" w:hAnsi="Cambria" w:eastAsia="Cambria" w:ascii="Cambria"/>
                <w:i w:val="1"/>
                <w:sz w:val="20"/>
              </w:rPr>
              <w:t xml:space="preserve">: Local markets developed and/or established</w:t>
            </w:r>
            <w:r>
              <w:rPr>
                <w:sz w:val="20"/>
              </w:rPr>
              <w:t xml:space="preserve">  </w:t>
            </w:r>
          </w:p>
          <w:p>
            <w:pPr>
              <w:spacing w:before="0" w:after="0" w:line="259" w:lineRule="auto"/>
              <w:ind w:left="0" w:right="3" w:firstLine="0"/>
              <w:jc w:val="left"/>
            </w:pPr>
            <w:r>
              <w:rPr>
                <w:sz w:val="20"/>
              </w:rPr>
              <w:t xml:space="preserve">2.4.1: Carryout market assessment of the different commodity crops being handled by identified produce marketing groups;</w:t>
            </w:r>
            <w:r>
              <w:rPr>
                <w:sz w:val="20"/>
              </w:rPr>
              <w:t xml:space="preserve"> </w:t>
            </w:r>
            <w:r>
              <w:rPr>
                <w:sz w:val="20"/>
              </w:rPr>
              <w:t xml:space="preserve">2.3.2: Link produce marketing groups to existing market particularly WFP; </w:t>
            </w:r>
            <w:r>
              <w:rPr>
                <w:sz w:val="20"/>
              </w:rPr>
              <w:t xml:space="preserve"> </w:t>
            </w:r>
          </w:p>
        </w:tc>
        <w:tc>
          <w:tcPr>
            <w:tcW w:w="2338"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81"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r>
      <w:tr>
        <w:trPr>
          <w:trHeight w:val="252" w:hRule="atLeast"/>
        </w:trPr>
        <w:tc>
          <w:tcPr>
            <w:tcW w:w="12599" w:type="dxa"/>
            <w:gridSpan w:val="4"/>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0" w:right="38" w:firstLine="0"/>
              <w:jc w:val="right"/>
            </w:pPr>
            <w:r>
              <w:rPr>
                <w:rFonts w:cs="Cambria" w:hAnsi="Cambria" w:eastAsia="Cambria" w:ascii="Cambria"/>
                <w:b w:val="1"/>
                <w:sz w:val="18"/>
              </w:rPr>
              <w:t xml:space="preserve">Subtotal </w:t>
            </w:r>
            <w:r>
              <w:rPr>
                <w:rFonts w:cs="Cambria" w:hAnsi="Cambria" w:eastAsia="Cambria" w:ascii="Cambria"/>
                <w:b w:val="1"/>
                <w:sz w:val="18"/>
              </w:rPr>
              <w:t xml:space="preserve">– </w:t>
            </w:r>
            <w:r>
              <w:rPr>
                <w:rFonts w:cs="Cambria" w:hAnsi="Cambria" w:eastAsia="Cambria" w:ascii="Cambria"/>
                <w:b w:val="1"/>
                <w:sz w:val="18"/>
              </w:rPr>
              <w:t xml:space="preserve">Output 2</w:t>
            </w:r>
            <w:r>
              <w:rPr>
                <w:rFonts w:cs="Cambria" w:hAnsi="Cambria" w:eastAsia="Cambria" w:ascii="Cambria"/>
                <w:i w:val="1"/>
                <w:sz w:val="18"/>
              </w:rPr>
              <w:t xml:space="preserve"> </w:t>
            </w:r>
          </w:p>
        </w:tc>
        <w:tc>
          <w:tcPr>
            <w:tcW w:w="1981" w:type="dxa"/>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5" w:right="0" w:firstLine="0"/>
              <w:jc w:val="left"/>
            </w:pPr>
            <w:r>
              <w:rPr>
                <w:rFonts w:cs="Cambria" w:hAnsi="Cambria" w:eastAsia="Cambria" w:ascii="Cambria"/>
                <w:b w:val="1"/>
                <w:sz w:val="18"/>
              </w:rPr>
              <w:t xml:space="preserve">       </w:t>
            </w:r>
            <w:r>
              <w:rPr>
                <w:rFonts w:cs="Cambria" w:hAnsi="Cambria" w:eastAsia="Cambria" w:ascii="Cambria"/>
                <w:b w:val="1"/>
                <w:sz w:val="18"/>
              </w:rPr>
              <w:t xml:space="preserve">1,170,000</w:t>
            </w:r>
            <w:r>
              <w:rPr>
                <w:rFonts w:cs="Cambria" w:hAnsi="Cambria" w:eastAsia="Cambria" w:ascii="Cambria"/>
                <w:b w:val="1"/>
                <w:sz w:val="18"/>
              </w:rPr>
              <w:t xml:space="preserve"> </w:t>
            </w:r>
          </w:p>
        </w:tc>
      </w:tr>
      <w:tr>
        <w:trPr>
          <w:trHeight w:val="4514" w:hRule="atLeast"/>
        </w:trPr>
        <w:tc>
          <w:tcPr>
            <w:tcW w:w="3421" w:type="dxa"/>
            <w:tcBorders>
              <w:top w:val="single" w:sz="4" w:color="000000"/>
              <w:left w:val="single" w:sz="4" w:color="000000"/>
              <w:bottom w:val="single" w:sz="4" w:color="000000"/>
              <w:right w:val="single" w:sz="4" w:color="000000"/>
            </w:tcBorders>
            <w:vAlign w:val="top"/>
          </w:tcPr>
          <w:p>
            <w:pPr>
              <w:spacing w:before="0" w:after="5" w:line="267" w:lineRule="auto"/>
              <w:ind w:left="4" w:right="0" w:firstLine="0"/>
            </w:pPr>
            <w:r>
              <w:rPr>
                <w:rFonts w:cs="Cambria" w:hAnsi="Cambria" w:eastAsia="Cambria" w:ascii="Cambria"/>
                <w:b w:val="1"/>
                <w:sz w:val="18"/>
              </w:rPr>
              <w:t xml:space="preserve">Output 3. Peaceful and sustainable mining in Northern Uganda</w:t>
            </w:r>
            <w:r>
              <w:rPr>
                <w:rFonts w:cs="Cambria" w:hAnsi="Cambria" w:eastAsia="Cambria" w:ascii="Cambria"/>
                <w:b w:val="1"/>
                <w:sz w:val="18"/>
              </w:rPr>
              <w:t xml:space="preserve"> </w:t>
            </w:r>
          </w:p>
          <w:p>
            <w:pPr>
              <w:spacing w:before="0" w:after="50" w:line="259" w:lineRule="auto"/>
              <w:ind w:left="4" w:right="0" w:firstLine="0"/>
              <w:jc w:val="left"/>
            </w:pPr>
            <w:r>
              <w:rPr>
                <w:rFonts w:cs="Cambria" w:hAnsi="Cambria" w:eastAsia="Cambria" w:ascii="Cambria"/>
                <w:b w:val="1"/>
                <w:color w:val="1f497d"/>
                <w:sz w:val="18"/>
              </w:rPr>
              <w:t xml:space="preserve"> </w:t>
            </w:r>
          </w:p>
          <w:p>
            <w:pPr>
              <w:spacing w:before="0" w:after="11" w:line="259" w:lineRule="auto"/>
              <w:ind w:left="4" w:right="0" w:firstLine="0"/>
              <w:jc w:val="left"/>
            </w:pPr>
            <w:r>
              <w:rPr>
                <w:sz w:val="22"/>
              </w:rPr>
              <w:t xml:space="preserve">Baselines:</w:t>
            </w:r>
            <w:r>
              <w:rPr>
                <w:sz w:val="22"/>
              </w:rPr>
              <w:t xml:space="preserve"> </w:t>
            </w:r>
          </w:p>
          <w:p>
            <w:pPr>
              <w:spacing w:before="0" w:after="16" w:line="259" w:lineRule="auto"/>
              <w:ind w:left="4" w:right="0" w:firstLine="0"/>
              <w:jc w:val="left"/>
            </w:pPr>
            <w:r>
              <w:rPr>
                <w:sz w:val="22"/>
              </w:rPr>
              <w:t xml:space="preserve">TBD</w:t>
            </w:r>
            <w:r>
              <w:rPr>
                <w:sz w:val="22"/>
              </w:rPr>
              <w:t xml:space="preserve"> </w:t>
            </w:r>
          </w:p>
          <w:p>
            <w:pPr>
              <w:spacing w:before="0" w:after="16" w:line="259" w:lineRule="auto"/>
              <w:ind w:left="4" w:right="0" w:firstLine="0"/>
              <w:jc w:val="left"/>
            </w:pPr>
            <w:r>
              <w:rPr>
                <w:sz w:val="22"/>
              </w:rPr>
              <w:t xml:space="preserve"> </w:t>
            </w:r>
          </w:p>
          <w:p>
            <w:pPr>
              <w:spacing w:before="0" w:after="0" w:line="259" w:lineRule="auto"/>
              <w:ind w:left="4" w:right="0" w:firstLine="0"/>
              <w:jc w:val="left"/>
            </w:pPr>
            <w:r>
              <w:rPr>
                <w:rFonts w:cs="Cambria" w:hAnsi="Cambria" w:eastAsia="Cambria" w:ascii="Cambria"/>
                <w:b w:val="1"/>
                <w:sz w:val="22"/>
              </w:rPr>
              <w:t xml:space="preserve">Indicators:</w:t>
            </w:r>
            <w:r>
              <w:rPr>
                <w:rFonts w:cs="Cambria" w:hAnsi="Cambria" w:eastAsia="Cambria" w:ascii="Cambria"/>
                <w:b w:val="1"/>
                <w:sz w:val="22"/>
              </w:rPr>
              <w:t xml:space="preserve"> </w:t>
            </w:r>
          </w:p>
          <w:p>
            <w:pPr>
              <w:spacing w:before="0" w:after="5" w:line="267" w:lineRule="auto"/>
              <w:ind w:left="119" w:right="0" w:hanging="115"/>
            </w:pPr>
            <w:r>
              <w:rPr>
                <w:rFonts w:cs="Segoe UI Symbol" w:hAnsi="Segoe UI Symbol" w:eastAsia="Segoe UI Symbol" w:ascii="Segoe UI Symbol"/>
                <w:sz w:val="18"/>
              </w:rPr>
              <w:t xml:space="preserve"></w:t>
            </w:r>
            <w:r>
              <w:rPr>
                <w:rFonts w:cs="Arial" w:hAnsi="Arial" w:eastAsia="Arial" w:ascii="Arial"/>
                <w:sz w:val="18"/>
              </w:rPr>
              <w:t xml:space="preserve"> </w:t>
            </w:r>
            <w:r>
              <w:rPr>
                <w:sz w:val="18"/>
              </w:rPr>
              <w:t xml:space="preserve">Information/data on the status of mineral exploration and mining in </w:t>
            </w:r>
          </w:p>
          <w:p>
            <w:pPr>
              <w:spacing w:before="0" w:after="36" w:line="259" w:lineRule="auto"/>
              <w:ind w:left="119" w:right="0" w:firstLine="0"/>
              <w:jc w:val="left"/>
            </w:pPr>
            <w:r>
              <w:rPr>
                <w:sz w:val="18"/>
              </w:rPr>
              <w:t xml:space="preserve">Karamoja in place</w:t>
            </w:r>
            <w:r>
              <w:rPr>
                <w:sz w:val="18"/>
              </w:rPr>
              <w:t xml:space="preserve"> </w:t>
            </w:r>
          </w:p>
          <w:p>
            <w:pPr>
              <w:spacing w:before="0" w:after="0" w:line="259" w:lineRule="auto"/>
              <w:ind w:left="138" w:right="0" w:firstLine="0"/>
              <w:jc w:val="left"/>
            </w:pPr>
            <w:r>
              <w:rPr>
                <w:sz w:val="20"/>
              </w:rPr>
              <w:t xml:space="preserve"> </w:t>
            </w:r>
          </w:p>
        </w:tc>
        <w:tc>
          <w:tcPr>
            <w:tcW w:w="2880" w:type="dxa"/>
            <w:tcBorders>
              <w:top w:val="single" w:sz="4" w:color="000000"/>
              <w:left w:val="single" w:sz="4" w:color="000000"/>
              <w:bottom w:val="single" w:sz="4" w:color="000000"/>
              <w:right w:val="single" w:sz="4" w:color="000000"/>
            </w:tcBorders>
            <w:vAlign w:val="top"/>
          </w:tcPr>
          <w:p>
            <w:pPr>
              <w:spacing w:before="0" w:after="42" w:line="259" w:lineRule="auto"/>
              <w:ind w:left="0" w:right="0" w:firstLine="0"/>
              <w:jc w:val="left"/>
            </w:pPr>
            <w:r>
              <w:rPr>
                <w:rFonts w:cs="Cambria" w:hAnsi="Cambria" w:eastAsia="Cambria" w:ascii="Cambria"/>
                <w:b w:val="1"/>
                <w:sz w:val="18"/>
              </w:rPr>
              <w:t xml:space="preserve">Target year 1:</w:t>
            </w:r>
            <w:r>
              <w:rPr>
                <w:rFonts w:cs="Cambria" w:hAnsi="Cambria" w:eastAsia="Cambria" w:ascii="Cambria"/>
                <w:b w:val="1"/>
                <w:sz w:val="18"/>
              </w:rPr>
              <w:t xml:space="preserve"> </w:t>
            </w:r>
          </w:p>
          <w:p>
            <w:pPr>
              <w:numPr>
                <w:ilvl w:val="0"/>
                <w:numId w:val="20"/>
              </w:numPr>
              <w:spacing w:before="0" w:after="0" w:line="272" w:lineRule="auto"/>
              <w:ind w:left="115" w:right="42" w:hanging="115"/>
            </w:pPr>
            <w:r>
              <w:rPr>
                <w:sz w:val="20"/>
              </w:rPr>
              <w:t xml:space="preserve">Research/assessments carried out on status of mineral exploration in Acholi and Karamoja </w:t>
            </w:r>
            <w:r>
              <w:rPr>
                <w:sz w:val="20"/>
              </w:rPr>
              <w:t xml:space="preserve"> </w:t>
            </w:r>
          </w:p>
          <w:p>
            <w:pPr>
              <w:spacing w:before="0" w:after="12" w:line="259" w:lineRule="auto"/>
              <w:ind w:left="0" w:right="0" w:firstLine="0"/>
              <w:jc w:val="left"/>
            </w:pPr>
            <w:r>
              <w:rPr>
                <w:sz w:val="18"/>
              </w:rPr>
              <w:t xml:space="preserve"> </w:t>
            </w:r>
          </w:p>
          <w:p>
            <w:pPr>
              <w:spacing w:before="0" w:after="46" w:line="259" w:lineRule="auto"/>
              <w:ind w:left="0" w:right="0" w:firstLine="0"/>
              <w:jc w:val="left"/>
            </w:pPr>
            <w:r>
              <w:rPr>
                <w:rFonts w:cs="Cambria" w:hAnsi="Cambria" w:eastAsia="Cambria" w:ascii="Cambria"/>
                <w:b w:val="1"/>
                <w:sz w:val="18"/>
              </w:rPr>
              <w:t xml:space="preserve">Target year 2:</w:t>
            </w:r>
            <w:r>
              <w:rPr>
                <w:rFonts w:cs="Cambria" w:hAnsi="Cambria" w:eastAsia="Cambria" w:ascii="Cambria"/>
                <w:b w:val="1"/>
                <w:sz w:val="18"/>
              </w:rPr>
              <w:t xml:space="preserve"> </w:t>
            </w:r>
          </w:p>
          <w:p>
            <w:pPr>
              <w:numPr>
                <w:ilvl w:val="0"/>
                <w:numId w:val="20"/>
              </w:numPr>
              <w:spacing w:before="0" w:after="9" w:line="272" w:lineRule="auto"/>
              <w:ind w:left="115" w:right="42" w:hanging="115"/>
            </w:pPr>
            <w:r>
              <w:rPr>
                <w:sz w:val="18"/>
              </w:rPr>
              <w:t xml:space="preserve">Awareness campaigns done </w:t>
            </w:r>
            <w:r>
              <w:rPr>
                <w:sz w:val="20"/>
              </w:rPr>
              <w:t xml:space="preserve">Research/assessments carried out on status of mineral exploration in Acholi and Karamoja </w:t>
            </w:r>
            <w:r>
              <w:rPr>
                <w:sz w:val="20"/>
              </w:rPr>
              <w:t xml:space="preserve"> </w:t>
            </w:r>
          </w:p>
          <w:p>
            <w:pPr>
              <w:numPr>
                <w:ilvl w:val="0"/>
                <w:numId w:val="20"/>
              </w:numPr>
              <w:spacing w:before="0" w:after="0" w:line="272" w:lineRule="auto"/>
              <w:ind w:left="115" w:right="42" w:hanging="115"/>
            </w:pPr>
            <w:r>
              <w:rPr>
                <w:sz w:val="20"/>
              </w:rPr>
              <w:t xml:space="preserve">Policy briefs/position papers produced on the status of mineral exploration and mining in Karamoja</w:t>
            </w:r>
            <w:r>
              <w:rPr>
                <w:sz w:val="20"/>
              </w:rPr>
              <w:t xml:space="preserve"> </w:t>
            </w:r>
          </w:p>
          <w:p>
            <w:pPr>
              <w:spacing w:before="0" w:after="0" w:line="259" w:lineRule="auto"/>
              <w:ind w:left="360" w:right="0" w:firstLine="0"/>
              <w:jc w:val="left"/>
            </w:pPr>
            <w:r>
              <w:rPr>
                <w:sz w:val="18"/>
              </w:rPr>
              <w:t xml:space="preserve"> </w:t>
            </w:r>
          </w:p>
        </w:tc>
        <w:tc>
          <w:tcPr>
            <w:tcW w:w="3960" w:type="dxa"/>
            <w:tcBorders>
              <w:top w:val="single" w:sz="4" w:color="000000"/>
              <w:left w:val="single" w:sz="4" w:color="000000"/>
              <w:bottom w:val="single" w:sz="4" w:color="000000"/>
              <w:right w:val="single" w:sz="4" w:color="000000"/>
            </w:tcBorders>
            <w:vAlign w:val="top"/>
          </w:tcPr>
          <w:p>
            <w:pPr>
              <w:spacing w:before="0" w:after="0" w:line="271" w:lineRule="auto"/>
              <w:ind w:left="0" w:right="0" w:firstLine="0"/>
              <w:jc w:val="left"/>
            </w:pPr>
            <w:r>
              <w:rPr>
                <w:rFonts w:cs="Cambria" w:hAnsi="Cambria" w:eastAsia="Cambria" w:ascii="Cambria"/>
                <w:b w:val="1"/>
                <w:sz w:val="20"/>
              </w:rPr>
              <w:t xml:space="preserve">3.1 Activity result:</w:t>
            </w:r>
            <w:r>
              <w:rPr>
                <w:rFonts w:cs="Cambria" w:hAnsi="Cambria" w:eastAsia="Cambria" w:ascii="Cambria"/>
                <w:i w:val="1"/>
                <w:sz w:val="20"/>
              </w:rPr>
              <w:t xml:space="preserve"> </w:t>
            </w:r>
            <w:r>
              <w:rPr>
                <w:rFonts w:cs="Cambria" w:hAnsi="Cambria" w:eastAsia="Cambria" w:ascii="Cambria"/>
                <w:i w:val="1"/>
                <w:sz w:val="20"/>
              </w:rPr>
              <w:t xml:space="preserve">Research on the status of mineral exploration and mining in Acholi and Karamoja. </w:t>
            </w:r>
            <w:r>
              <w:rPr>
                <w:rFonts w:cs="Cambria" w:hAnsi="Cambria" w:eastAsia="Cambria" w:ascii="Cambria"/>
                <w:i w:val="1"/>
                <w:sz w:val="20"/>
              </w:rPr>
              <w:t xml:space="preserve"> </w:t>
            </w:r>
          </w:p>
          <w:p>
            <w:pPr>
              <w:spacing w:before="0" w:after="16" w:line="259" w:lineRule="auto"/>
              <w:ind w:left="0" w:right="0" w:firstLine="0"/>
              <w:jc w:val="left"/>
            </w:pPr>
            <w:r>
              <w:rPr>
                <w:sz w:val="20"/>
              </w:rPr>
              <w:t xml:space="preserve"> </w:t>
            </w:r>
          </w:p>
          <w:p>
            <w:pPr>
              <w:spacing w:before="0" w:after="0" w:line="271" w:lineRule="auto"/>
              <w:ind w:left="0" w:right="33" w:firstLine="0"/>
              <w:jc w:val="left"/>
            </w:pPr>
            <w:r>
              <w:rPr>
                <w:sz w:val="20"/>
              </w:rPr>
              <w:t xml:space="preserve">3.1.1: Research and develop position papers on the status of mineral exploration and mining in Acholi and Karamoja.</w:t>
            </w:r>
            <w:r>
              <w:rPr>
                <w:sz w:val="20"/>
              </w:rPr>
              <w:t xml:space="preserve"> </w:t>
            </w:r>
          </w:p>
          <w:p>
            <w:pPr>
              <w:spacing w:before="0" w:after="0" w:line="271" w:lineRule="auto"/>
              <w:ind w:left="0" w:right="0" w:firstLine="0"/>
              <w:jc w:val="left"/>
            </w:pPr>
            <w:r>
              <w:rPr>
                <w:sz w:val="20"/>
              </w:rPr>
              <w:t xml:space="preserve">3.1.2: Disseminate the research findings to the relevant stakeholders</w:t>
            </w:r>
            <w:r>
              <w:rPr>
                <w:sz w:val="20"/>
              </w:rPr>
              <w:t xml:space="preserve"> </w:t>
            </w:r>
          </w:p>
          <w:p>
            <w:pPr>
              <w:spacing w:before="0" w:after="0" w:line="259" w:lineRule="auto"/>
              <w:ind w:left="0" w:right="0" w:firstLine="0"/>
              <w:jc w:val="left"/>
            </w:pPr>
            <w:r>
              <w:rPr>
                <w:sz w:val="20"/>
              </w:rPr>
              <w:t xml:space="preserve"> </w:t>
            </w:r>
          </w:p>
        </w:tc>
        <w:tc>
          <w:tcPr>
            <w:tcW w:w="2338" w:type="dxa"/>
            <w:tcBorders>
              <w:top w:val="single" w:sz="4" w:color="000000"/>
              <w:left w:val="single" w:sz="4" w:color="000000"/>
              <w:bottom w:val="single" w:sz="4" w:color="000000"/>
              <w:right w:val="single" w:sz="4" w:color="000000"/>
            </w:tcBorders>
            <w:vAlign w:val="top"/>
          </w:tcPr>
          <w:p>
            <w:pPr>
              <w:spacing w:before="0" w:after="14" w:line="259" w:lineRule="auto"/>
              <w:ind w:left="0" w:right="0" w:firstLine="0"/>
              <w:jc w:val="left"/>
            </w:pPr>
            <w:r>
              <w:rPr>
                <w:sz w:val="18"/>
              </w:rPr>
              <w:t xml:space="preserve">OPM, Line Ministries, Local </w:t>
            </w:r>
          </w:p>
          <w:p>
            <w:pPr>
              <w:tabs>
                <w:tab w:val="center" w:pos="453"/>
                <w:tab w:val="center" w:pos="1876"/>
              </w:tabs>
              <w:spacing w:before="0" w:after="16" w:line="259" w:lineRule="auto"/>
              <w:ind w:left="0" w:right="0" w:firstLine="0"/>
              <w:jc w:val="left"/>
            </w:pPr>
            <w:r>
              <w:rPr>
                <w:rFonts w:cs="Calibri" w:hAnsi="Calibri" w:eastAsia="Calibri" w:ascii="Calibri"/>
                <w:sz w:val="22"/>
              </w:rPr>
              <w:t xml:space="preserve">	</w:t>
            </w:r>
            <w:r>
              <w:rPr>
                <w:sz w:val="18"/>
              </w:rPr>
              <w:t xml:space="preserve">Authorities, 	UNDP, </w:t>
            </w:r>
          </w:p>
          <w:p>
            <w:pPr>
              <w:spacing w:before="0" w:after="12" w:line="259" w:lineRule="auto"/>
              <w:ind w:left="0" w:right="0" w:firstLine="0"/>
              <w:jc w:val="left"/>
            </w:pPr>
            <w:r>
              <w:rPr>
                <w:sz w:val="18"/>
              </w:rPr>
              <w:t xml:space="preserve">Specialized UN agencies.</w:t>
            </w:r>
            <w:r>
              <w:rPr>
                <w:sz w:val="18"/>
              </w:rPr>
              <w:t xml:space="preserve"> </w:t>
            </w:r>
          </w:p>
          <w:p>
            <w:pPr>
              <w:spacing w:before="0" w:after="7" w:line="259" w:lineRule="auto"/>
              <w:ind w:left="0" w:right="0" w:firstLine="0"/>
              <w:jc w:val="left"/>
            </w:pPr>
            <w:r>
              <w:rPr>
                <w:sz w:val="18"/>
              </w:rPr>
              <w:t xml:space="preserve">NGO/CSO</w:t>
            </w:r>
            <w:r>
              <w:rPr>
                <w:sz w:val="18"/>
              </w:rPr>
              <w:t xml:space="preserve"> </w:t>
            </w:r>
          </w:p>
          <w:p>
            <w:pPr>
              <w:spacing w:before="0" w:after="0" w:line="259" w:lineRule="auto"/>
              <w:ind w:left="0" w:right="0" w:firstLine="0"/>
              <w:jc w:val="left"/>
            </w:pPr>
            <w:r>
              <w:rPr>
                <w:sz w:val="18"/>
              </w:rPr>
              <w:t xml:space="preserve">Private sector</w:t>
            </w:r>
            <w:r>
              <w:rPr>
                <w:rFonts w:cs="Cambria" w:hAnsi="Cambria" w:eastAsia="Cambria" w:ascii="Cambria"/>
                <w:i w:val="1"/>
                <w:sz w:val="18"/>
              </w:rPr>
              <w:t xml:space="preserve"> </w:t>
            </w:r>
          </w:p>
        </w:tc>
        <w:tc>
          <w:tcPr>
            <w:tcW w:w="1981" w:type="dxa"/>
            <w:tcBorders>
              <w:top w:val="single" w:sz="4" w:color="000000"/>
              <w:left w:val="single" w:sz="4" w:color="000000"/>
              <w:bottom w:val="single" w:sz="4" w:color="000000"/>
              <w:right w:val="single" w:sz="4" w:color="000000"/>
            </w:tcBorders>
            <w:vAlign w:val="top"/>
          </w:tcPr>
          <w:p>
            <w:pPr>
              <w:spacing w:before="0" w:after="7" w:line="259" w:lineRule="auto"/>
              <w:ind w:left="5" w:right="0" w:firstLine="0"/>
              <w:jc w:val="left"/>
            </w:pPr>
            <w:r>
              <w:rPr>
                <w:rFonts w:cs="Cambria" w:hAnsi="Cambria" w:eastAsia="Cambria" w:ascii="Cambria"/>
                <w:i w:val="1"/>
                <w:sz w:val="18"/>
              </w:rPr>
              <w:t xml:space="preserve">Research </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250,000 </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Dissemination</w:t>
            </w:r>
            <w:r>
              <w:rPr>
                <w:rFonts w:cs="Cambria" w:hAnsi="Cambria" w:eastAsia="Cambria" w:ascii="Cambria"/>
                <w:i w:val="1"/>
                <w:sz w:val="18"/>
              </w:rPr>
              <w:t xml:space="preserve"> </w:t>
            </w:r>
          </w:p>
          <w:p>
            <w:pPr>
              <w:spacing w:before="0" w:after="7" w:line="259" w:lineRule="auto"/>
              <w:ind w:left="5" w:right="0" w:firstLine="0"/>
              <w:jc w:val="left"/>
            </w:pPr>
            <w:r>
              <w:rPr>
                <w:rFonts w:cs="Cambria" w:hAnsi="Cambria" w:eastAsia="Cambria" w:ascii="Cambria"/>
                <w:i w:val="1"/>
                <w:sz w:val="18"/>
              </w:rPr>
              <w:t xml:space="preserve">150,000</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Monitoring and </w:t>
            </w:r>
          </w:p>
          <w:p>
            <w:pPr>
              <w:spacing w:before="0" w:after="7" w:line="259" w:lineRule="auto"/>
              <w:ind w:left="5" w:right="0" w:firstLine="0"/>
              <w:jc w:val="left"/>
            </w:pPr>
            <w:r>
              <w:rPr>
                <w:rFonts w:cs="Cambria" w:hAnsi="Cambria" w:eastAsia="Cambria" w:ascii="Cambria"/>
                <w:i w:val="1"/>
                <w:sz w:val="18"/>
              </w:rPr>
              <w:t xml:space="preserve">Evaluation</w:t>
            </w:r>
            <w:r>
              <w:rPr>
                <w:rFonts w:cs="Cambria" w:hAnsi="Cambria" w:eastAsia="Cambria" w:ascii="Cambria"/>
                <w:i w:val="1"/>
                <w:sz w:val="18"/>
              </w:rPr>
              <w:t xml:space="preserve"> </w:t>
            </w:r>
          </w:p>
          <w:p>
            <w:pPr>
              <w:spacing w:before="0" w:after="12" w:line="259" w:lineRule="auto"/>
              <w:ind w:left="5" w:right="0" w:firstLine="0"/>
              <w:jc w:val="left"/>
            </w:pPr>
            <w:r>
              <w:rPr>
                <w:rFonts w:cs="Cambria" w:hAnsi="Cambria" w:eastAsia="Cambria" w:ascii="Cambria"/>
                <w:i w:val="1"/>
                <w:sz w:val="18"/>
              </w:rPr>
              <w:t xml:space="preserve">50,000</w:t>
            </w:r>
            <w:r>
              <w:rPr>
                <w:rFonts w:cs="Cambria" w:hAnsi="Cambria" w:eastAsia="Cambria" w:ascii="Cambria"/>
                <w:i w:val="1"/>
                <w:sz w:val="18"/>
              </w:rPr>
              <w:t xml:space="preserve"> </w:t>
            </w:r>
          </w:p>
          <w:p>
            <w:pPr>
              <w:spacing w:before="0" w:after="0" w:line="259" w:lineRule="auto"/>
              <w:ind w:left="5" w:right="0" w:firstLine="0"/>
              <w:jc w:val="left"/>
            </w:pPr>
            <w:r>
              <w:rPr>
                <w:rFonts w:cs="Cambria" w:hAnsi="Cambria" w:eastAsia="Cambria" w:ascii="Cambria"/>
                <w:i w:val="1"/>
                <w:sz w:val="18"/>
              </w:rPr>
              <w:t xml:space="preserve"> </w:t>
            </w:r>
          </w:p>
        </w:tc>
      </w:tr>
      <w:tr>
        <w:trPr>
          <w:trHeight w:val="247" w:hRule="atLeast"/>
        </w:trPr>
        <w:tc>
          <w:tcPr>
            <w:tcW w:w="12599" w:type="dxa"/>
            <w:gridSpan w:val="4"/>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0" w:right="38" w:firstLine="0"/>
              <w:jc w:val="right"/>
            </w:pPr>
            <w:r>
              <w:rPr>
                <w:rFonts w:cs="Cambria" w:hAnsi="Cambria" w:eastAsia="Cambria" w:ascii="Cambria"/>
                <w:b w:val="1"/>
                <w:sz w:val="18"/>
              </w:rPr>
              <w:t xml:space="preserve">Subtotal </w:t>
            </w:r>
            <w:r>
              <w:rPr>
                <w:rFonts w:cs="Cambria" w:hAnsi="Cambria" w:eastAsia="Cambria" w:ascii="Cambria"/>
                <w:b w:val="1"/>
                <w:sz w:val="18"/>
              </w:rPr>
              <w:t xml:space="preserve">– </w:t>
            </w:r>
            <w:r>
              <w:rPr>
                <w:rFonts w:cs="Cambria" w:hAnsi="Cambria" w:eastAsia="Cambria" w:ascii="Cambria"/>
                <w:b w:val="1"/>
                <w:sz w:val="18"/>
              </w:rPr>
              <w:t xml:space="preserve">Output 3</w:t>
            </w:r>
            <w:r>
              <w:rPr>
                <w:sz w:val="18"/>
              </w:rPr>
              <w:t xml:space="preserve"> </w:t>
            </w:r>
          </w:p>
        </w:tc>
        <w:tc>
          <w:tcPr>
            <w:tcW w:w="1981" w:type="dxa"/>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5" w:right="0" w:firstLine="0"/>
              <w:jc w:val="left"/>
            </w:pPr>
            <w:r>
              <w:rPr>
                <w:rFonts w:cs="Cambria" w:hAnsi="Cambria" w:eastAsia="Cambria" w:ascii="Cambria"/>
                <w:b w:val="1"/>
                <w:sz w:val="18"/>
              </w:rPr>
              <w:t xml:space="preserve">450,000</w:t>
            </w:r>
            <w:r>
              <w:rPr>
                <w:rFonts w:cs="Cambria" w:hAnsi="Cambria" w:eastAsia="Cambria" w:ascii="Cambria"/>
                <w:b w:val="1"/>
                <w:sz w:val="18"/>
              </w:rPr>
              <w:t xml:space="preserve"> </w:t>
            </w:r>
          </w:p>
        </w:tc>
      </w:tr>
    </w:tbl>
    <w:p>
      <w:pPr>
        <w:spacing w:before="0" w:after="0" w:line="259" w:lineRule="auto"/>
        <w:ind w:left="-1440" w:right="14405" w:firstLine="0"/>
        <w:jc w:val="left"/>
      </w:pPr>
    </w:p>
    <w:tbl>
      <w:tblPr>
        <w:tblStyle w:val="TableGrid"/>
        <w:tblW w:w="14582" w:type="dxa"/>
        <w:tblInd w:w="-811" w:type="dxa"/>
        <w:tblCellMar>
          <w:top w:w="31" w:type="dxa"/>
          <w:left w:w="82" w:type="dxa"/>
          <w:bottom w:w="0" w:type="dxa"/>
          <w:right w:w="59" w:type="dxa"/>
        </w:tblCellMar>
      </w:tblPr>
      <w:tblGrid>
        <w:gridCol w:w="3422"/>
        <w:gridCol w:w="2880"/>
        <w:gridCol w:w="4229"/>
        <w:gridCol w:w="2069"/>
        <w:gridCol w:w="1982"/>
      </w:tblGrid>
      <w:tr>
        <w:trPr>
          <w:trHeight w:val="9278" w:hRule="atLeast"/>
        </w:trPr>
        <w:tc>
          <w:tcPr>
            <w:tcW w:w="3422" w:type="dxa"/>
            <w:tcBorders>
              <w:top w:val="single" w:sz="4" w:color="000000"/>
              <w:left w:val="single" w:sz="4" w:color="000000"/>
              <w:bottom w:val="single" w:sz="4" w:color="000000"/>
              <w:right w:val="single" w:sz="4" w:color="000000"/>
            </w:tcBorders>
            <w:vAlign w:val="top"/>
          </w:tcPr>
          <w:p>
            <w:pPr>
              <w:spacing w:before="0" w:after="0" w:line="270" w:lineRule="auto"/>
              <w:ind w:left="29" w:right="0" w:firstLine="0"/>
              <w:jc w:val="left"/>
            </w:pPr>
            <w:r>
              <w:rPr>
                <w:rFonts w:cs="Cambria" w:hAnsi="Cambria" w:eastAsia="Cambria" w:ascii="Cambria"/>
                <w:b w:val="1"/>
                <w:sz w:val="18"/>
              </w:rPr>
              <w:t xml:space="preserve">Output 4: Capacities of local authorities and civil society strengthened in civic engagement, coordination, and planning for economic recovery and peace consolidation.</w:t>
            </w:r>
            <w:r>
              <w:rPr>
                <w:rFonts w:cs="Cambria" w:hAnsi="Cambria" w:eastAsia="Cambria" w:ascii="Cambria"/>
                <w:b w:val="1"/>
                <w:color w:val="404040"/>
                <w:sz w:val="18"/>
              </w:rPr>
              <w:t xml:space="preserve"> </w:t>
            </w:r>
          </w:p>
          <w:p>
            <w:pPr>
              <w:spacing w:before="0" w:after="12" w:line="259" w:lineRule="auto"/>
              <w:ind w:left="29" w:right="0" w:firstLine="0"/>
              <w:jc w:val="left"/>
            </w:pPr>
            <w:r>
              <w:rPr>
                <w:rFonts w:cs="Cambria" w:hAnsi="Cambria" w:eastAsia="Cambria" w:ascii="Cambria"/>
                <w:b w:val="1"/>
                <w:i w:val="1"/>
                <w:sz w:val="18"/>
              </w:rPr>
              <w:t xml:space="preserve"> </w:t>
            </w:r>
          </w:p>
          <w:p>
            <w:pPr>
              <w:spacing w:before="0" w:after="12" w:line="259" w:lineRule="auto"/>
              <w:ind w:left="29" w:right="0" w:firstLine="0"/>
              <w:jc w:val="left"/>
            </w:pPr>
            <w:r>
              <w:rPr>
                <w:rFonts w:cs="Cambria" w:hAnsi="Cambria" w:eastAsia="Cambria" w:ascii="Cambria"/>
                <w:b w:val="1"/>
                <w:i w:val="1"/>
                <w:sz w:val="18"/>
              </w:rPr>
              <w:t xml:space="preserve">Baseline:</w:t>
            </w:r>
            <w:r>
              <w:rPr>
                <w:rFonts w:cs="Cambria" w:hAnsi="Cambria" w:eastAsia="Cambria" w:ascii="Cambria"/>
                <w:b w:val="1"/>
                <w:i w:val="1"/>
                <w:sz w:val="18"/>
              </w:rPr>
              <w:t xml:space="preserve"> </w:t>
            </w:r>
          </w:p>
          <w:p>
            <w:pPr>
              <w:spacing w:before="0" w:after="0" w:line="270" w:lineRule="auto"/>
              <w:ind w:left="29" w:right="45" w:firstLine="0"/>
            </w:pPr>
            <w:r>
              <w:rPr>
                <w:sz w:val="18"/>
              </w:rPr>
              <w:t xml:space="preserve">-</w:t>
            </w:r>
            <w:r>
              <w:rPr>
                <w:sz w:val="18"/>
              </w:rPr>
              <w:t xml:space="preserve">Ineffectual capacity of Local Governments to manage participatory planning.</w:t>
            </w:r>
            <w:r>
              <w:rPr>
                <w:sz w:val="18"/>
              </w:rPr>
              <w:t xml:space="preserve"> </w:t>
            </w:r>
          </w:p>
          <w:p>
            <w:pPr>
              <w:spacing w:before="0" w:after="12" w:line="259" w:lineRule="auto"/>
              <w:ind w:left="29" w:right="0" w:firstLine="0"/>
              <w:jc w:val="left"/>
            </w:pPr>
            <w:r>
              <w:rPr>
                <w:sz w:val="18"/>
              </w:rPr>
              <w:t xml:space="preserve"> </w:t>
            </w:r>
          </w:p>
          <w:p>
            <w:pPr>
              <w:spacing w:before="0" w:after="7" w:line="259" w:lineRule="auto"/>
              <w:ind w:left="29" w:right="0" w:firstLine="0"/>
              <w:jc w:val="left"/>
            </w:pPr>
            <w:r>
              <w:rPr>
                <w:sz w:val="18"/>
              </w:rPr>
              <w:t xml:space="preserve">-</w:t>
            </w:r>
            <w:r>
              <w:rPr>
                <w:sz w:val="18"/>
              </w:rPr>
              <w:t xml:space="preserve">Ineffective</w:t>
            </w:r>
            <w:r>
              <w:rPr>
                <w:sz w:val="18"/>
              </w:rPr>
              <w:t xml:space="preserve"> </w:t>
            </w:r>
            <w:r>
              <w:rPr>
                <w:sz w:val="18"/>
              </w:rPr>
              <w:t xml:space="preserve">involvement of CBOs and </w:t>
            </w:r>
          </w:p>
          <w:p>
            <w:pPr>
              <w:spacing w:before="0" w:after="12" w:line="259" w:lineRule="auto"/>
              <w:ind w:left="29" w:right="0" w:firstLine="0"/>
              <w:jc w:val="left"/>
            </w:pPr>
            <w:r>
              <w:rPr>
                <w:sz w:val="18"/>
              </w:rPr>
              <w:t xml:space="preserve">NGOs with the local government </w:t>
            </w:r>
            <w:r>
              <w:rPr>
                <w:sz w:val="18"/>
              </w:rPr>
              <w:t xml:space="preserve"> </w:t>
            </w:r>
          </w:p>
          <w:p>
            <w:pPr>
              <w:spacing w:before="0" w:after="7" w:line="259" w:lineRule="auto"/>
              <w:ind w:left="29" w:right="0" w:firstLine="0"/>
              <w:jc w:val="left"/>
            </w:pPr>
            <w:r>
              <w:rPr>
                <w:sz w:val="18"/>
              </w:rPr>
              <w:t xml:space="preserve"> </w:t>
            </w:r>
          </w:p>
          <w:p>
            <w:pPr>
              <w:spacing w:before="0" w:after="0" w:line="273" w:lineRule="auto"/>
              <w:ind w:left="29" w:right="47" w:firstLine="0"/>
            </w:pPr>
            <w:r>
              <w:rPr>
                <w:sz w:val="18"/>
              </w:rPr>
              <w:t xml:space="preserve">-</w:t>
            </w:r>
            <w:r>
              <w:rPr>
                <w:sz w:val="18"/>
              </w:rPr>
              <w:t xml:space="preserve">Ambiguity</w:t>
            </w:r>
            <w:r>
              <w:rPr>
                <w:sz w:val="18"/>
              </w:rPr>
              <w:t xml:space="preserve"> </w:t>
            </w:r>
            <w:r>
              <w:rPr>
                <w:sz w:val="18"/>
              </w:rPr>
              <w:t xml:space="preserve">of roles of different stakeholders in the land governance system</w:t>
            </w:r>
            <w:r>
              <w:rPr>
                <w:sz w:val="18"/>
              </w:rPr>
              <w:t xml:space="preserve"> </w:t>
            </w:r>
          </w:p>
          <w:p>
            <w:pPr>
              <w:spacing w:before="0" w:after="12" w:line="259" w:lineRule="auto"/>
              <w:ind w:left="29" w:right="0" w:firstLine="0"/>
              <w:jc w:val="left"/>
            </w:pPr>
            <w:r>
              <w:rPr>
                <w:sz w:val="18"/>
              </w:rPr>
              <w:t xml:space="preserve"> </w:t>
            </w:r>
          </w:p>
          <w:p>
            <w:pPr>
              <w:spacing w:before="0" w:after="0" w:line="270" w:lineRule="auto"/>
              <w:ind w:left="29" w:right="45" w:firstLine="0"/>
            </w:pPr>
            <w:r>
              <w:rPr>
                <w:sz w:val="18"/>
              </w:rPr>
              <w:t xml:space="preserve">-</w:t>
            </w:r>
            <w:r>
              <w:rPr>
                <w:sz w:val="18"/>
              </w:rPr>
              <w:t xml:space="preserve">Unclear linkage</w:t>
            </w:r>
            <w:r>
              <w:rPr>
                <w:sz w:val="18"/>
              </w:rPr>
              <w:t xml:space="preserve"> </w:t>
            </w:r>
            <w:r>
              <w:rPr>
                <w:sz w:val="18"/>
              </w:rPr>
              <w:t xml:space="preserve">between activities carried out at the local level and the national level</w:t>
            </w:r>
            <w:r>
              <w:rPr>
                <w:sz w:val="18"/>
              </w:rPr>
              <w:t xml:space="preserve"> </w:t>
            </w:r>
          </w:p>
          <w:p>
            <w:pPr>
              <w:spacing w:before="0" w:after="12" w:line="259" w:lineRule="auto"/>
              <w:ind w:left="29" w:right="0" w:firstLine="0"/>
              <w:jc w:val="left"/>
            </w:pPr>
            <w:r>
              <w:rPr>
                <w:sz w:val="18"/>
              </w:rPr>
              <w:t xml:space="preserve"> </w:t>
            </w:r>
          </w:p>
          <w:p>
            <w:pPr>
              <w:spacing w:before="0" w:after="50" w:line="259" w:lineRule="auto"/>
              <w:ind w:left="29" w:right="0" w:firstLine="0"/>
              <w:jc w:val="left"/>
            </w:pPr>
            <w:r>
              <w:rPr>
                <w:rFonts w:cs="Cambria" w:hAnsi="Cambria" w:eastAsia="Cambria" w:ascii="Cambria"/>
                <w:b w:val="1"/>
                <w:i w:val="1"/>
                <w:sz w:val="18"/>
              </w:rPr>
              <w:t xml:space="preserve">Indicators:</w:t>
            </w:r>
            <w:r>
              <w:rPr>
                <w:rFonts w:cs="Cambria" w:hAnsi="Cambria" w:eastAsia="Cambria" w:ascii="Cambria"/>
                <w:b w:val="1"/>
                <w:i w:val="1"/>
                <w:sz w:val="18"/>
              </w:rPr>
              <w:t xml:space="preserve"> </w:t>
            </w:r>
          </w:p>
          <w:p>
            <w:pPr>
              <w:numPr>
                <w:ilvl w:val="0"/>
                <w:numId w:val="21"/>
              </w:numPr>
              <w:spacing w:before="0" w:after="43" w:line="272" w:lineRule="auto"/>
              <w:ind w:left="202" w:right="45" w:hanging="173"/>
            </w:pPr>
            <w:r>
              <w:rPr>
                <w:rFonts w:cs="Garamond" w:hAnsi="Garamond" w:eastAsia="Garamond" w:ascii="Garamond"/>
                <w:sz w:val="20"/>
              </w:rPr>
              <w:t xml:space="preserve">Number of target local governments that pass the LG annual assessment for minimum standards for service delivery.</w:t>
            </w:r>
            <w:r>
              <w:rPr>
                <w:rFonts w:cs="Garamond" w:hAnsi="Garamond" w:eastAsia="Garamond" w:ascii="Garamond"/>
                <w:sz w:val="20"/>
              </w:rPr>
              <w:t xml:space="preserve"> </w:t>
            </w:r>
            <w:r>
              <w:rPr>
                <w:rFonts w:cs="Garamond" w:hAnsi="Garamond" w:eastAsia="Garamond" w:ascii="Garamond"/>
                <w:sz w:val="20"/>
              </w:rPr>
              <w:t xml:space="preserve">Number of Infrastructure provided and training carried out for data collection and management</w:t>
            </w:r>
            <w:r>
              <w:rPr>
                <w:rFonts w:cs="Garamond" w:hAnsi="Garamond" w:eastAsia="Garamond" w:ascii="Garamond"/>
                <w:sz w:val="20"/>
              </w:rPr>
              <w:t xml:space="preserve"> </w:t>
            </w:r>
          </w:p>
          <w:p>
            <w:pPr>
              <w:numPr>
                <w:ilvl w:val="0"/>
                <w:numId w:val="21"/>
              </w:numPr>
              <w:spacing w:before="0" w:after="43" w:line="272" w:lineRule="auto"/>
              <w:ind w:left="202" w:right="45" w:hanging="173"/>
            </w:pPr>
            <w:r>
              <w:rPr>
                <w:rFonts w:cs="Garamond" w:hAnsi="Garamond" w:eastAsia="Garamond" w:ascii="Garamond"/>
                <w:sz w:val="20"/>
              </w:rPr>
              <w:t xml:space="preserve">Availability of data for development planning at local government level</w:t>
            </w:r>
            <w:r>
              <w:rPr>
                <w:rFonts w:cs="Garamond" w:hAnsi="Garamond" w:eastAsia="Garamond" w:ascii="Garamond"/>
                <w:sz w:val="20"/>
              </w:rPr>
              <w:t xml:space="preserve"> </w:t>
            </w:r>
          </w:p>
          <w:p>
            <w:pPr>
              <w:numPr>
                <w:ilvl w:val="0"/>
                <w:numId w:val="21"/>
              </w:numPr>
              <w:spacing w:before="0" w:after="2" w:line="270" w:lineRule="auto"/>
              <w:ind w:left="202" w:right="45" w:hanging="173"/>
            </w:pPr>
            <w:r>
              <w:rPr>
                <w:rFonts w:cs="Garamond" w:hAnsi="Garamond" w:eastAsia="Garamond" w:ascii="Garamond"/>
                <w:sz w:val="20"/>
              </w:rPr>
              <w:t xml:space="preserve">Quality development plans submitted by lower local governments to the districts</w:t>
            </w:r>
            <w:r>
              <w:rPr>
                <w:rFonts w:cs="Garamond" w:hAnsi="Garamond" w:eastAsia="Garamond" w:ascii="Garamond"/>
                <w:sz w:val="20"/>
              </w:rPr>
              <w:t xml:space="preserve"> </w:t>
            </w:r>
          </w:p>
          <w:p>
            <w:pPr>
              <w:spacing w:before="0" w:after="12" w:line="259" w:lineRule="auto"/>
              <w:ind w:left="29" w:right="0" w:firstLine="0"/>
              <w:jc w:val="left"/>
            </w:pPr>
            <w:r>
              <w:rPr>
                <w:sz w:val="18"/>
              </w:rPr>
              <w:t xml:space="preserve"> </w:t>
            </w:r>
          </w:p>
          <w:p>
            <w:pPr>
              <w:spacing w:before="0" w:after="0" w:line="259" w:lineRule="auto"/>
              <w:ind w:left="29" w:right="0" w:firstLine="0"/>
              <w:jc w:val="left"/>
            </w:pPr>
            <w:r>
              <w:rPr>
                <w:rFonts w:cs="Cambria" w:hAnsi="Cambria" w:eastAsia="Cambria" w:ascii="Cambria"/>
                <w:b w:val="1"/>
                <w:color w:val="1f497d"/>
                <w:sz w:val="18"/>
              </w:rPr>
              <w:t xml:space="preserve"> </w:t>
            </w:r>
          </w:p>
        </w:tc>
        <w:tc>
          <w:tcPr>
            <w:tcW w:w="2880" w:type="dxa"/>
            <w:tcBorders>
              <w:top w:val="single" w:sz="4" w:color="000000"/>
              <w:left w:val="single" w:sz="4" w:color="000000"/>
              <w:bottom w:val="single" w:sz="4" w:color="000000"/>
              <w:right w:val="single" w:sz="4" w:color="000000"/>
            </w:tcBorders>
            <w:vAlign w:val="top"/>
          </w:tcPr>
          <w:p>
            <w:pPr>
              <w:spacing w:before="0" w:after="22" w:line="259" w:lineRule="auto"/>
              <w:ind w:left="24" w:right="0" w:firstLine="0"/>
              <w:jc w:val="left"/>
            </w:pPr>
            <w:r>
              <w:rPr>
                <w:rFonts w:cs="Cambria" w:hAnsi="Cambria" w:eastAsia="Cambria" w:ascii="Cambria"/>
                <w:b w:val="1"/>
                <w:sz w:val="20"/>
              </w:rPr>
              <w:t xml:space="preserve">Target for year 1:</w:t>
            </w:r>
            <w:r>
              <w:rPr>
                <w:rFonts w:cs="Cambria" w:hAnsi="Cambria" w:eastAsia="Cambria" w:ascii="Cambria"/>
                <w:b w:val="1"/>
                <w:sz w:val="20"/>
              </w:rPr>
              <w:t xml:space="preserve"> </w:t>
            </w:r>
          </w:p>
          <w:p>
            <w:pPr>
              <w:numPr>
                <w:ilvl w:val="0"/>
                <w:numId w:val="22"/>
              </w:numPr>
              <w:spacing w:before="0" w:after="8" w:line="273" w:lineRule="auto"/>
              <w:ind w:left="139" w:right="0" w:hanging="139"/>
            </w:pPr>
            <w:r>
              <w:rPr>
                <w:sz w:val="20"/>
              </w:rPr>
              <w:t xml:space="preserve">Capacity needs assessment for local authorities conducted</w:t>
            </w:r>
            <w:r>
              <w:rPr>
                <w:sz w:val="20"/>
              </w:rPr>
              <w:t xml:space="preserve"> </w:t>
            </w:r>
          </w:p>
          <w:p>
            <w:pPr>
              <w:numPr>
                <w:ilvl w:val="0"/>
                <w:numId w:val="22"/>
              </w:numPr>
              <w:spacing w:before="0" w:after="0" w:line="259" w:lineRule="auto"/>
              <w:ind w:left="139" w:right="0" w:hanging="139"/>
            </w:pPr>
            <w:r>
              <w:rPr>
                <w:sz w:val="20"/>
              </w:rPr>
              <w:t xml:space="preserve">Training  for local authorities, </w:t>
            </w:r>
          </w:p>
          <w:p>
            <w:pPr>
              <w:spacing w:before="0" w:after="10" w:line="271" w:lineRule="auto"/>
              <w:ind w:left="139" w:right="47" w:firstLine="0"/>
            </w:pPr>
            <w:r>
              <w:rPr>
                <w:sz w:val="20"/>
              </w:rPr>
              <w:t xml:space="preserve">PDC, HUMCs, SMCs, PTAs, CBOs, NGOs and other community groups  in participatory planning conducted</w:t>
            </w:r>
            <w:r>
              <w:rPr>
                <w:sz w:val="20"/>
              </w:rPr>
              <w:t xml:space="preserve"> </w:t>
            </w:r>
          </w:p>
          <w:p>
            <w:pPr>
              <w:numPr>
                <w:ilvl w:val="0"/>
                <w:numId w:val="22"/>
              </w:numPr>
              <w:spacing w:before="0" w:after="0" w:line="276" w:lineRule="auto"/>
              <w:ind w:left="139" w:right="0" w:hanging="139"/>
            </w:pPr>
            <w:r>
              <w:rPr>
                <w:sz w:val="20"/>
              </w:rPr>
              <w:t xml:space="preserve">Training of LCCs in strategic decision</w:t>
            </w:r>
            <w:r>
              <w:rPr>
                <w:sz w:val="20"/>
              </w:rPr>
              <w:t xml:space="preserve">-</w:t>
            </w:r>
            <w:r>
              <w:rPr>
                <w:sz w:val="20"/>
              </w:rPr>
              <w:t xml:space="preserve">making and </w:t>
            </w:r>
          </w:p>
          <w:p>
            <w:pPr>
              <w:spacing w:before="0" w:after="22" w:line="259" w:lineRule="auto"/>
              <w:ind w:left="139" w:right="0" w:firstLine="0"/>
              <w:jc w:val="left"/>
            </w:pPr>
            <w:r>
              <w:rPr>
                <w:sz w:val="20"/>
              </w:rPr>
              <w:t xml:space="preserve">planning conducted</w:t>
            </w:r>
            <w:r>
              <w:rPr>
                <w:sz w:val="20"/>
              </w:rPr>
              <w:t xml:space="preserve"> </w:t>
            </w:r>
          </w:p>
          <w:p>
            <w:pPr>
              <w:numPr>
                <w:ilvl w:val="0"/>
                <w:numId w:val="22"/>
              </w:numPr>
              <w:spacing w:before="0" w:after="9" w:line="272" w:lineRule="auto"/>
              <w:ind w:left="139" w:right="0" w:hanging="139"/>
            </w:pPr>
            <w:r>
              <w:rPr>
                <w:sz w:val="20"/>
              </w:rPr>
              <w:t xml:space="preserve">Draft guidelines for communications between CSOs, local government, and law enforcement officials developed </w:t>
            </w:r>
            <w:r>
              <w:rPr>
                <w:sz w:val="20"/>
              </w:rPr>
              <w:t xml:space="preserve"> </w:t>
            </w:r>
          </w:p>
          <w:p>
            <w:pPr>
              <w:numPr>
                <w:ilvl w:val="0"/>
                <w:numId w:val="22"/>
              </w:numPr>
              <w:spacing w:before="0" w:after="0" w:line="276" w:lineRule="auto"/>
              <w:ind w:left="139" w:right="0" w:hanging="139"/>
            </w:pPr>
            <w:r>
              <w:rPr>
                <w:sz w:val="20"/>
              </w:rPr>
              <w:t xml:space="preserve">Community sensitization on land matters conducted</w:t>
            </w:r>
            <w:r>
              <w:rPr>
                <w:sz w:val="20"/>
              </w:rPr>
              <w:t xml:space="preserve"> </w:t>
            </w:r>
          </w:p>
          <w:p>
            <w:pPr>
              <w:spacing w:before="0" w:after="23" w:line="259" w:lineRule="auto"/>
              <w:ind w:left="0" w:right="0" w:firstLine="0"/>
              <w:jc w:val="left"/>
            </w:pPr>
            <w:r>
              <w:rPr>
                <w:sz w:val="20"/>
              </w:rPr>
              <w:t xml:space="preserve"> </w:t>
            </w:r>
          </w:p>
          <w:p>
            <w:pPr>
              <w:numPr>
                <w:ilvl w:val="0"/>
                <w:numId w:val="22"/>
              </w:numPr>
              <w:spacing w:before="0" w:after="0" w:line="259" w:lineRule="auto"/>
              <w:ind w:left="139" w:right="0" w:hanging="139"/>
            </w:pPr>
            <w:r>
              <w:rPr>
                <w:rFonts w:cs="Cambria" w:hAnsi="Cambria" w:eastAsia="Cambria" w:ascii="Cambria"/>
                <w:b w:val="1"/>
                <w:sz w:val="20"/>
              </w:rPr>
              <w:t xml:space="preserve">Target year 2:</w:t>
            </w:r>
            <w:r>
              <w:rPr>
                <w:rFonts w:cs="Cambria" w:hAnsi="Cambria" w:eastAsia="Cambria" w:ascii="Cambria"/>
                <w:b w:val="1"/>
                <w:sz w:val="20"/>
              </w:rPr>
              <w:t xml:space="preserve"> </w:t>
            </w:r>
          </w:p>
          <w:p>
            <w:pPr>
              <w:numPr>
                <w:ilvl w:val="0"/>
                <w:numId w:val="22"/>
              </w:numPr>
              <w:spacing w:before="0" w:after="0" w:line="259" w:lineRule="auto"/>
              <w:ind w:left="139" w:right="0" w:hanging="139"/>
            </w:pPr>
            <w:r>
              <w:rPr>
                <w:sz w:val="20"/>
              </w:rPr>
              <w:t xml:space="preserve">Training  for local authorities, </w:t>
            </w:r>
          </w:p>
          <w:p>
            <w:pPr>
              <w:spacing w:before="0" w:after="9" w:line="272" w:lineRule="auto"/>
              <w:ind w:left="139" w:right="47" w:firstLine="0"/>
            </w:pPr>
            <w:r>
              <w:rPr>
                <w:sz w:val="20"/>
              </w:rPr>
              <w:t xml:space="preserve">CBOs, NGOs and other community groups  in participatory planning conducted</w:t>
            </w:r>
            <w:r>
              <w:rPr>
                <w:sz w:val="20"/>
              </w:rPr>
              <w:t xml:space="preserve"> </w:t>
            </w:r>
          </w:p>
          <w:p>
            <w:pPr>
              <w:numPr>
                <w:ilvl w:val="0"/>
                <w:numId w:val="22"/>
              </w:numPr>
              <w:spacing w:before="0" w:after="5" w:line="271" w:lineRule="auto"/>
              <w:ind w:left="139" w:right="0" w:hanging="139"/>
            </w:pPr>
            <w:r>
              <w:rPr>
                <w:sz w:val="20"/>
              </w:rPr>
              <w:t xml:space="preserve">Training of LCCs in strategic decision</w:t>
            </w:r>
            <w:r>
              <w:rPr>
                <w:sz w:val="20"/>
              </w:rPr>
              <w:t xml:space="preserve">-</w:t>
            </w:r>
            <w:r>
              <w:rPr>
                <w:sz w:val="20"/>
              </w:rPr>
              <w:t xml:space="preserve">making and </w:t>
            </w:r>
          </w:p>
          <w:p>
            <w:pPr>
              <w:spacing w:before="0" w:after="23" w:line="259" w:lineRule="auto"/>
              <w:ind w:left="139" w:right="0" w:firstLine="0"/>
              <w:jc w:val="left"/>
            </w:pPr>
            <w:r>
              <w:rPr>
                <w:sz w:val="20"/>
              </w:rPr>
              <w:t xml:space="preserve">planning conducted</w:t>
            </w:r>
            <w:r>
              <w:rPr>
                <w:sz w:val="20"/>
              </w:rPr>
              <w:t xml:space="preserve"> </w:t>
            </w:r>
          </w:p>
          <w:p>
            <w:pPr>
              <w:numPr>
                <w:ilvl w:val="0"/>
                <w:numId w:val="22"/>
              </w:numPr>
              <w:spacing w:before="0" w:after="0" w:line="259" w:lineRule="auto"/>
              <w:ind w:left="139" w:right="0" w:hanging="139"/>
            </w:pPr>
            <w:r>
              <w:rPr>
                <w:sz w:val="20"/>
              </w:rPr>
              <w:t xml:space="preserve">Guidelines for communications between CSOs, local government, and law enforcement officials </w:t>
            </w:r>
          </w:p>
        </w:tc>
        <w:tc>
          <w:tcPr>
            <w:tcW w:w="4229" w:type="dxa"/>
            <w:tcBorders>
              <w:top w:val="single" w:sz="4" w:color="000000"/>
              <w:left w:val="single" w:sz="4" w:color="000000"/>
              <w:bottom w:val="single" w:sz="4" w:color="000000"/>
              <w:right w:val="single" w:sz="4" w:color="000000"/>
            </w:tcBorders>
            <w:vAlign w:val="top"/>
          </w:tcPr>
          <w:p>
            <w:pPr>
              <w:spacing w:before="0" w:after="5" w:line="271" w:lineRule="auto"/>
              <w:ind w:left="24" w:right="0" w:firstLine="0"/>
              <w:jc w:val="left"/>
            </w:pPr>
            <w:r>
              <w:rPr>
                <w:rFonts w:cs="Cambria" w:hAnsi="Cambria" w:eastAsia="Cambria" w:ascii="Cambria"/>
                <w:b w:val="1"/>
                <w:sz w:val="20"/>
              </w:rPr>
              <w:t xml:space="preserve">4.1 Activity result:</w:t>
            </w:r>
            <w:r>
              <w:rPr>
                <w:rFonts w:cs="Cambria" w:hAnsi="Cambria" w:eastAsia="Cambria" w:ascii="Cambria"/>
                <w:i w:val="1"/>
                <w:sz w:val="20"/>
              </w:rPr>
              <w:t xml:space="preserve"> </w:t>
            </w:r>
            <w:r>
              <w:rPr>
                <w:rFonts w:cs="Cambria" w:hAnsi="Cambria" w:eastAsia="Cambria" w:ascii="Cambria"/>
                <w:i w:val="1"/>
                <w:sz w:val="20"/>
              </w:rPr>
              <w:t xml:space="preserve">Improved delivery of basic services, including participatory planning systems</w:t>
            </w:r>
            <w:r>
              <w:rPr>
                <w:rFonts w:cs="Cambria" w:hAnsi="Cambria" w:eastAsia="Cambria" w:ascii="Cambria"/>
                <w:i w:val="1"/>
                <w:sz w:val="20"/>
              </w:rPr>
              <w:t xml:space="preserve"> </w:t>
            </w:r>
          </w:p>
          <w:p>
            <w:pPr>
              <w:spacing w:before="0" w:after="0" w:line="271" w:lineRule="auto"/>
              <w:ind w:left="24" w:right="0" w:firstLine="0"/>
              <w:jc w:val="left"/>
            </w:pPr>
            <w:r>
              <w:rPr>
                <w:sz w:val="20"/>
              </w:rPr>
              <w:t xml:space="preserve">4.1.1: Carry out capacity assessment for target local authorities</w:t>
            </w:r>
            <w:r>
              <w:rPr>
                <w:sz w:val="20"/>
              </w:rPr>
              <w:t xml:space="preserve"> </w:t>
            </w:r>
          </w:p>
          <w:p>
            <w:pPr>
              <w:spacing w:before="0" w:after="0" w:line="271" w:lineRule="auto"/>
              <w:ind w:left="24" w:right="0" w:firstLine="0"/>
              <w:jc w:val="left"/>
            </w:pPr>
            <w:r>
              <w:rPr>
                <w:sz w:val="20"/>
              </w:rPr>
              <w:t xml:space="preserve">4.1.2: Strengthen capacity of local authorities through training, technical assistance, equipment and coaching as needed</w:t>
            </w:r>
            <w:r>
              <w:rPr>
                <w:sz w:val="20"/>
              </w:rPr>
              <w:t xml:space="preserve"> </w:t>
            </w:r>
          </w:p>
          <w:p>
            <w:pPr>
              <w:numPr>
                <w:ilvl w:val="0"/>
                <w:numId w:val="23"/>
              </w:numPr>
              <w:spacing w:before="0" w:after="0" w:line="272" w:lineRule="auto"/>
              <w:ind w:left="24" w:right="39" w:firstLine="0"/>
              <w:jc w:val="left"/>
            </w:pPr>
            <w:r>
              <w:rPr>
                <w:sz w:val="20"/>
              </w:rPr>
              <w:t xml:space="preserve">1.3: Strengthen capacity of local authorities in participatory planning, including facilitation of dialogue and coordination mechanisms</w:t>
            </w:r>
            <w:r>
              <w:rPr>
                <w:sz w:val="20"/>
              </w:rPr>
              <w:t xml:space="preserve"> </w:t>
            </w:r>
            <w:r>
              <w:rPr>
                <w:sz w:val="20"/>
              </w:rPr>
              <w:t xml:space="preserve">4.1.4 Strengthen capacity of local level stakeholders to promote an enabling environment for employment and private sector development (link to Output 2)</w:t>
            </w:r>
            <w:r>
              <w:rPr>
                <w:sz w:val="20"/>
              </w:rPr>
              <w:t xml:space="preserve"> </w:t>
            </w:r>
          </w:p>
          <w:p>
            <w:pPr>
              <w:spacing w:before="0" w:after="0" w:line="272" w:lineRule="auto"/>
              <w:ind w:left="24" w:right="135" w:firstLine="0"/>
              <w:jc w:val="left"/>
            </w:pPr>
            <w:r>
              <w:rPr>
                <w:sz w:val="20"/>
              </w:rPr>
              <w:t xml:space="preserve">4.1.5 Strengthen capacity of CBOs, NGOs and other community groups in participatory planning and monitoring, including need articulation and monitoring service delivery</w:t>
            </w:r>
            <w:r>
              <w:rPr>
                <w:sz w:val="20"/>
              </w:rPr>
              <w:t xml:space="preserve"> </w:t>
            </w:r>
            <w:r>
              <w:rPr>
                <w:sz w:val="20"/>
              </w:rPr>
              <w:t xml:space="preserve">4.1.6 Carry out assessment to clarify roles and responsibilities in land governance</w:t>
            </w:r>
            <w:r>
              <w:rPr>
                <w:sz w:val="20"/>
              </w:rPr>
              <w:t xml:space="preserve"> </w:t>
            </w:r>
            <w:r>
              <w:rPr>
                <w:sz w:val="20"/>
              </w:rPr>
              <w:t xml:space="preserve">4.1.7 Strengthen capacity of all local stakeholders in land governance, including on formal and informal processes of land demarcation, titling and establishment of land rights associations; and facilitate engagement of village and parish level traditional leaders as well as clan heads and krall leaders for peaceful demarcation of land</w:t>
            </w:r>
            <w:r>
              <w:rPr>
                <w:sz w:val="20"/>
              </w:rPr>
              <w:t xml:space="preserve">-</w:t>
            </w:r>
            <w:r>
              <w:rPr>
                <w:sz w:val="20"/>
              </w:rPr>
              <w:t xml:space="preserve">holdings.</w:t>
            </w:r>
            <w:r>
              <w:rPr>
                <w:sz w:val="20"/>
              </w:rPr>
              <w:t xml:space="preserve"> </w:t>
            </w:r>
          </w:p>
          <w:p>
            <w:pPr>
              <w:spacing w:before="0" w:after="0" w:line="273" w:lineRule="auto"/>
              <w:ind w:left="24" w:right="0" w:firstLine="0"/>
              <w:jc w:val="left"/>
            </w:pPr>
            <w:r>
              <w:rPr>
                <w:sz w:val="20"/>
              </w:rPr>
              <w:t xml:space="preserve">4.1.9 Strengthen capacity of LCCS in strategic decision</w:t>
            </w:r>
            <w:r>
              <w:rPr>
                <w:sz w:val="20"/>
              </w:rPr>
              <w:t xml:space="preserve">-</w:t>
            </w:r>
            <w:r>
              <w:rPr>
                <w:sz w:val="20"/>
              </w:rPr>
              <w:t xml:space="preserve">making and planning on justice and security  </w:t>
            </w:r>
            <w:r>
              <w:rPr>
                <w:sz w:val="20"/>
              </w:rPr>
              <w:t xml:space="preserve"> </w:t>
            </w:r>
          </w:p>
          <w:p>
            <w:pPr>
              <w:spacing w:before="0" w:after="0" w:line="259" w:lineRule="auto"/>
              <w:ind w:left="24" w:right="0" w:firstLine="0"/>
              <w:jc w:val="left"/>
            </w:pPr>
            <w:r>
              <w:rPr>
                <w:rFonts w:cs="Cambria" w:hAnsi="Cambria" w:eastAsia="Cambria" w:ascii="Cambria"/>
                <w:b w:val="1"/>
                <w:sz w:val="20"/>
              </w:rPr>
              <w:t xml:space="preserve">4.2 Activity result:</w:t>
            </w:r>
            <w:r>
              <w:rPr>
                <w:rFonts w:cs="Cambria" w:hAnsi="Cambria" w:eastAsia="Cambria" w:ascii="Cambria"/>
                <w:i w:val="1"/>
                <w:sz w:val="20"/>
              </w:rPr>
              <w:t xml:space="preserve"> </w:t>
            </w:r>
            <w:r>
              <w:rPr>
                <w:rFonts w:cs="Cambria" w:hAnsi="Cambria" w:eastAsia="Cambria" w:ascii="Cambria"/>
                <w:i w:val="1"/>
                <w:sz w:val="20"/>
              </w:rPr>
              <w:t xml:space="preserve">Improved capacity of selected local governments to collect and </w:t>
            </w:r>
          </w:p>
        </w:tc>
        <w:tc>
          <w:tcPr>
            <w:tcW w:w="2069"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sz w:val="20"/>
              </w:rPr>
              <w:t xml:space="preserve">Local Authorities, UNDP, JLOS, Ministry of Local Government, CBOs, NGOs, local Ministry of Gender, line ministries, LCCs</w:t>
            </w:r>
            <w:r>
              <w:rPr>
                <w:rFonts w:cs="Cambria" w:hAnsi="Cambria" w:eastAsia="Cambria" w:ascii="Cambria"/>
                <w:i w:val="1"/>
                <w:sz w:val="20"/>
              </w:rPr>
              <w:t xml:space="preserve"> </w:t>
            </w:r>
          </w:p>
        </w:tc>
        <w:tc>
          <w:tcPr>
            <w:tcW w:w="1982"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sz w:val="20"/>
              </w:rPr>
              <w:t xml:space="preserve">Consultancies</w:t>
            </w:r>
            <w:r>
              <w:rPr>
                <w:sz w:val="20"/>
              </w:rPr>
              <w:t xml:space="preserve"> </w:t>
            </w:r>
          </w:p>
          <w:p>
            <w:pPr>
              <w:spacing w:before="0" w:after="0" w:line="273" w:lineRule="auto"/>
              <w:ind w:left="29" w:right="11" w:firstLine="0"/>
              <w:jc w:val="left"/>
            </w:pPr>
            <w:r>
              <w:rPr>
                <w:sz w:val="20"/>
              </w:rPr>
              <w:t xml:space="preserve">150,000 </w:t>
            </w:r>
            <w:r>
              <w:rPr>
                <w:sz w:val="20"/>
              </w:rPr>
              <w:t xml:space="preserve"> </w:t>
            </w:r>
            <w:r>
              <w:rPr>
                <w:sz w:val="20"/>
              </w:rPr>
              <w:t xml:space="preserve">Professional services</w:t>
            </w:r>
            <w:r>
              <w:rPr>
                <w:sz w:val="20"/>
              </w:rPr>
              <w:t xml:space="preserve"> </w:t>
            </w:r>
          </w:p>
          <w:p>
            <w:pPr>
              <w:spacing w:before="0" w:after="12" w:line="259" w:lineRule="auto"/>
              <w:ind w:left="29" w:right="0" w:firstLine="0"/>
              <w:jc w:val="left"/>
            </w:pPr>
            <w:r>
              <w:rPr>
                <w:sz w:val="20"/>
              </w:rPr>
              <w:t xml:space="preserve">150,000</w:t>
            </w:r>
            <w:r>
              <w:rPr>
                <w:sz w:val="20"/>
              </w:rPr>
              <w:t xml:space="preserve"> </w:t>
            </w:r>
          </w:p>
          <w:p>
            <w:pPr>
              <w:spacing w:before="0" w:after="12" w:line="259" w:lineRule="auto"/>
              <w:ind w:left="29" w:right="0" w:firstLine="0"/>
              <w:jc w:val="left"/>
            </w:pPr>
            <w:r>
              <w:rPr>
                <w:sz w:val="20"/>
              </w:rPr>
              <w:t xml:space="preserve">M&amp;E, Baseline, </w:t>
            </w:r>
          </w:p>
          <w:p>
            <w:pPr>
              <w:spacing w:before="0" w:after="12" w:line="259" w:lineRule="auto"/>
              <w:ind w:left="29" w:right="0" w:firstLine="0"/>
              <w:jc w:val="left"/>
            </w:pPr>
            <w:r>
              <w:rPr>
                <w:sz w:val="20"/>
              </w:rPr>
              <w:t xml:space="preserve">Research</w:t>
            </w:r>
            <w:r>
              <w:rPr>
                <w:sz w:val="20"/>
              </w:rPr>
              <w:t xml:space="preserve"> </w:t>
            </w:r>
          </w:p>
          <w:p>
            <w:pPr>
              <w:spacing w:before="0" w:after="12" w:line="259" w:lineRule="auto"/>
              <w:ind w:left="29" w:right="0" w:firstLine="0"/>
              <w:jc w:val="left"/>
            </w:pPr>
            <w:r>
              <w:rPr>
                <w:sz w:val="20"/>
              </w:rPr>
              <w:t xml:space="preserve">70,000</w:t>
            </w:r>
            <w:r>
              <w:rPr>
                <w:sz w:val="20"/>
              </w:rPr>
              <w:t xml:space="preserve"> </w:t>
            </w:r>
          </w:p>
          <w:p>
            <w:pPr>
              <w:spacing w:before="0" w:after="16" w:line="259" w:lineRule="auto"/>
              <w:ind w:left="29" w:right="0" w:firstLine="0"/>
              <w:jc w:val="left"/>
            </w:pPr>
            <w:r>
              <w:rPr>
                <w:sz w:val="20"/>
              </w:rPr>
              <w:t xml:space="preserve">Trainings </w:t>
            </w:r>
            <w:r>
              <w:rPr>
                <w:sz w:val="20"/>
              </w:rPr>
              <w:t xml:space="preserve"> </w:t>
            </w:r>
          </w:p>
          <w:p>
            <w:pPr>
              <w:spacing w:before="0" w:after="5" w:line="271" w:lineRule="auto"/>
              <w:ind w:left="29" w:right="106" w:firstLine="0"/>
              <w:jc w:val="left"/>
            </w:pPr>
            <w:r>
              <w:rPr>
                <w:sz w:val="20"/>
              </w:rPr>
              <w:t xml:space="preserve">100,000</w:t>
            </w:r>
            <w:r>
              <w:rPr>
                <w:sz w:val="20"/>
              </w:rPr>
              <w:t xml:space="preserve"> </w:t>
            </w:r>
            <w:r>
              <w:rPr>
                <w:sz w:val="20"/>
              </w:rPr>
              <w:t xml:space="preserve">Consultations/ meetings and assessments</w:t>
            </w:r>
            <w:r>
              <w:rPr>
                <w:sz w:val="20"/>
              </w:rPr>
              <w:t xml:space="preserve"> </w:t>
            </w:r>
            <w:r>
              <w:rPr>
                <w:sz w:val="20"/>
              </w:rPr>
              <w:t xml:space="preserve">50,000</w:t>
            </w:r>
            <w:r>
              <w:rPr>
                <w:sz w:val="20"/>
              </w:rPr>
              <w:t xml:space="preserve"> </w:t>
            </w:r>
          </w:p>
          <w:p>
            <w:pPr>
              <w:spacing w:before="0" w:after="12" w:line="259" w:lineRule="auto"/>
              <w:ind w:left="29" w:right="0" w:firstLine="0"/>
              <w:jc w:val="left"/>
            </w:pPr>
            <w:r>
              <w:rPr>
                <w:sz w:val="20"/>
              </w:rPr>
              <w:t xml:space="preserve">Equipment </w:t>
            </w:r>
            <w:r>
              <w:rPr>
                <w:sz w:val="20"/>
              </w:rPr>
              <w:t xml:space="preserve"> </w:t>
            </w:r>
          </w:p>
          <w:p>
            <w:pPr>
              <w:spacing w:before="0" w:after="12" w:line="259" w:lineRule="auto"/>
              <w:ind w:left="29" w:right="0" w:firstLine="0"/>
              <w:jc w:val="left"/>
            </w:pPr>
            <w:r>
              <w:rPr>
                <w:sz w:val="20"/>
              </w:rPr>
              <w:t xml:space="preserve">180,000</w:t>
            </w:r>
            <w:r>
              <w:rPr>
                <w:sz w:val="20"/>
              </w:rPr>
              <w:t xml:space="preserve"> </w:t>
            </w:r>
          </w:p>
          <w:p>
            <w:pPr>
              <w:spacing w:before="0" w:after="12" w:line="259" w:lineRule="auto"/>
              <w:ind w:left="29" w:right="0" w:firstLine="0"/>
              <w:jc w:val="left"/>
            </w:pPr>
            <w:r>
              <w:rPr>
                <w:sz w:val="20"/>
              </w:rPr>
              <w:t xml:space="preserve">Civic Outreach</w:t>
            </w:r>
            <w:r>
              <w:rPr>
                <w:sz w:val="20"/>
              </w:rPr>
              <w:t xml:space="preserve"> </w:t>
            </w:r>
          </w:p>
          <w:p>
            <w:pPr>
              <w:spacing w:before="0" w:after="12" w:line="259" w:lineRule="auto"/>
              <w:ind w:left="29" w:right="0" w:firstLine="0"/>
              <w:jc w:val="left"/>
            </w:pPr>
            <w:r>
              <w:rPr>
                <w:sz w:val="20"/>
              </w:rPr>
              <w:t xml:space="preserve">150,000</w:t>
            </w:r>
            <w:r>
              <w:rPr>
                <w:sz w:val="20"/>
              </w:rPr>
              <w:t xml:space="preserve"> </w:t>
            </w:r>
          </w:p>
          <w:p>
            <w:pPr>
              <w:spacing w:before="0" w:after="12" w:line="259" w:lineRule="auto"/>
              <w:ind w:left="29" w:right="0" w:firstLine="0"/>
              <w:jc w:val="left"/>
            </w:pPr>
            <w:r>
              <w:rPr>
                <w:sz w:val="20"/>
              </w:rPr>
              <w:t xml:space="preserve">Grants</w:t>
            </w:r>
            <w:r>
              <w:rPr>
                <w:sz w:val="20"/>
              </w:rPr>
              <w:t xml:space="preserve"> </w:t>
            </w:r>
          </w:p>
          <w:p>
            <w:pPr>
              <w:spacing w:before="0" w:after="16" w:line="259" w:lineRule="auto"/>
              <w:ind w:left="29" w:right="0" w:firstLine="0"/>
              <w:jc w:val="left"/>
            </w:pPr>
            <w:r>
              <w:rPr>
                <w:sz w:val="20"/>
              </w:rPr>
              <w:t xml:space="preserve">150,000</w:t>
            </w:r>
            <w:r>
              <w:rPr>
                <w:sz w:val="20"/>
              </w:rPr>
              <w:t xml:space="preserve"> </w:t>
            </w:r>
          </w:p>
          <w:p>
            <w:pPr>
              <w:spacing w:before="0" w:after="0" w:line="259" w:lineRule="auto"/>
              <w:ind w:left="29" w:right="0" w:firstLine="0"/>
              <w:jc w:val="left"/>
            </w:pPr>
            <w:r>
              <w:rPr>
                <w:rFonts w:cs="Cambria" w:hAnsi="Cambria" w:eastAsia="Cambria" w:ascii="Cambria"/>
                <w:i w:val="1"/>
                <w:sz w:val="20"/>
              </w:rPr>
              <w:t xml:space="preserve"> </w:t>
            </w:r>
          </w:p>
        </w:tc>
      </w:tr>
    </w:tbl>
    <w:p>
      <w:pPr>
        <w:spacing w:before="0" w:after="0" w:line="259" w:lineRule="auto"/>
        <w:ind w:left="-1440" w:right="14405" w:firstLine="0"/>
        <w:jc w:val="left"/>
      </w:pPr>
    </w:p>
    <w:tbl>
      <w:tblPr>
        <w:tblStyle w:val="TableGrid"/>
        <w:tblW w:w="14580" w:type="dxa"/>
        <w:tblInd w:w="-810" w:type="dxa"/>
        <w:tblCellMar>
          <w:top w:w="30" w:type="dxa"/>
          <w:left w:w="82" w:type="dxa"/>
          <w:bottom w:w="0" w:type="dxa"/>
          <w:right w:w="32" w:type="dxa"/>
        </w:tblCellMar>
      </w:tblPr>
      <w:tblGrid>
        <w:gridCol w:w="3421"/>
        <w:gridCol w:w="2880"/>
        <w:gridCol w:w="4229"/>
        <w:gridCol w:w="2069"/>
        <w:gridCol w:w="1981"/>
      </w:tblGrid>
      <w:tr>
        <w:trPr>
          <w:trHeight w:val="8641" w:hRule="atLeast"/>
        </w:trPr>
        <w:tc>
          <w:tcPr>
            <w:tcW w:w="3421"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880" w:type="dxa"/>
            <w:tcBorders>
              <w:top w:val="single" w:sz="4" w:color="000000"/>
              <w:left w:val="single" w:sz="4" w:color="000000"/>
              <w:bottom w:val="single" w:sz="4" w:color="000000"/>
              <w:right w:val="single" w:sz="4" w:color="000000"/>
            </w:tcBorders>
            <w:vAlign w:val="top"/>
          </w:tcPr>
          <w:p>
            <w:pPr>
              <w:spacing w:before="0" w:after="22" w:line="259" w:lineRule="auto"/>
              <w:ind w:left="139" w:right="0" w:firstLine="0"/>
              <w:jc w:val="left"/>
            </w:pPr>
            <w:r>
              <w:rPr>
                <w:sz w:val="20"/>
              </w:rPr>
              <w:t xml:space="preserve">developed </w:t>
            </w:r>
            <w:r>
              <w:rPr>
                <w:sz w:val="20"/>
              </w:rPr>
              <w:t xml:space="preserve"> </w:t>
            </w:r>
          </w:p>
          <w:p>
            <w:pPr>
              <w:numPr>
                <w:ilvl w:val="0"/>
                <w:numId w:val="24"/>
              </w:numPr>
              <w:spacing w:before="0" w:after="9" w:line="272" w:lineRule="auto"/>
              <w:ind w:left="139" w:right="44" w:hanging="139"/>
            </w:pPr>
            <w:r>
              <w:rPr>
                <w:sz w:val="20"/>
              </w:rPr>
              <w:t xml:space="preserve">Community</w:t>
            </w:r>
            <w:r>
              <w:rPr>
                <w:sz w:val="20"/>
              </w:rPr>
              <w:t xml:space="preserve">-</w:t>
            </w:r>
            <w:r>
              <w:rPr>
                <w:sz w:val="20"/>
              </w:rPr>
              <w:t xml:space="preserve">based women’s groups trained in women’s access to justice, protection, human rights and peace</w:t>
            </w:r>
            <w:r>
              <w:rPr>
                <w:sz w:val="20"/>
              </w:rPr>
              <w:t xml:space="preserve"/>
            </w:r>
            <w:r>
              <w:rPr>
                <w:sz w:val="20"/>
              </w:rPr>
              <w:t xml:space="preserve">building</w:t>
            </w:r>
            <w:r>
              <w:rPr>
                <w:sz w:val="20"/>
              </w:rPr>
              <w:t xml:space="preserve"> </w:t>
            </w:r>
          </w:p>
          <w:p>
            <w:pPr>
              <w:numPr>
                <w:ilvl w:val="0"/>
                <w:numId w:val="24"/>
              </w:numPr>
              <w:spacing w:before="0" w:after="6" w:line="276" w:lineRule="auto"/>
              <w:ind w:left="139" w:right="44" w:hanging="139"/>
            </w:pPr>
            <w:r>
              <w:rPr>
                <w:sz w:val="20"/>
              </w:rPr>
              <w:t xml:space="preserve">Support visits from national level officials conducted</w:t>
            </w:r>
            <w:r>
              <w:rPr>
                <w:sz w:val="20"/>
              </w:rPr>
              <w:t xml:space="preserve"> </w:t>
            </w:r>
          </w:p>
          <w:p>
            <w:pPr>
              <w:numPr>
                <w:ilvl w:val="0"/>
                <w:numId w:val="24"/>
              </w:numPr>
              <w:spacing w:before="0" w:after="9" w:line="272" w:lineRule="auto"/>
              <w:ind w:left="139" w:right="44" w:hanging="139"/>
            </w:pPr>
            <w:r>
              <w:rPr>
                <w:sz w:val="20"/>
              </w:rPr>
              <w:t xml:space="preserve">Data analysis carried out at the local level and fed into national level policy making processes</w:t>
            </w:r>
            <w:r>
              <w:rPr>
                <w:sz w:val="20"/>
              </w:rPr>
              <w:t xml:space="preserve"> </w:t>
            </w:r>
          </w:p>
          <w:p>
            <w:pPr>
              <w:numPr>
                <w:ilvl w:val="0"/>
                <w:numId w:val="24"/>
              </w:numPr>
              <w:spacing w:before="0" w:after="0" w:line="259" w:lineRule="auto"/>
              <w:ind w:left="139" w:right="44" w:hanging="139"/>
            </w:pPr>
            <w:r>
              <w:rPr>
                <w:sz w:val="20"/>
              </w:rPr>
              <w:t xml:space="preserve">Mechanisms of local level stakeholders to interact with national level ministries established and strengthened</w:t>
            </w:r>
            <w:r>
              <w:rPr>
                <w:sz w:val="20"/>
              </w:rPr>
              <w:t xml:space="preserve"> </w:t>
            </w:r>
          </w:p>
        </w:tc>
        <w:tc>
          <w:tcPr>
            <w:tcW w:w="4229" w:type="dxa"/>
            <w:tcBorders>
              <w:top w:val="single" w:sz="4" w:color="000000"/>
              <w:left w:val="single" w:sz="4" w:color="000000"/>
              <w:bottom w:val="single" w:sz="4" w:color="000000"/>
              <w:right w:val="single" w:sz="4" w:color="000000"/>
            </w:tcBorders>
            <w:vAlign w:val="top"/>
          </w:tcPr>
          <w:p>
            <w:pPr>
              <w:spacing w:before="0" w:after="12" w:line="259" w:lineRule="auto"/>
              <w:ind w:left="24" w:right="0" w:firstLine="0"/>
              <w:jc w:val="left"/>
            </w:pPr>
            <w:r>
              <w:rPr>
                <w:rFonts w:cs="Cambria" w:hAnsi="Cambria" w:eastAsia="Cambria" w:ascii="Cambria"/>
                <w:i w:val="1"/>
                <w:sz w:val="20"/>
              </w:rPr>
              <w:t xml:space="preserve">manage data for development planning</w:t>
            </w:r>
            <w:r>
              <w:rPr>
                <w:rFonts w:cs="Cambria" w:hAnsi="Cambria" w:eastAsia="Cambria" w:ascii="Cambria"/>
                <w:i w:val="1"/>
                <w:sz w:val="20"/>
              </w:rPr>
              <w:t xml:space="preserve">.</w:t>
            </w:r>
            <w:r>
              <w:rPr>
                <w:rFonts w:cs="Cambria" w:hAnsi="Cambria" w:eastAsia="Cambria" w:ascii="Cambria"/>
                <w:i w:val="1"/>
                <w:sz w:val="20"/>
              </w:rPr>
              <w:t xml:space="preserve"> </w:t>
            </w:r>
          </w:p>
          <w:p>
            <w:pPr>
              <w:spacing w:before="0" w:after="5" w:line="271" w:lineRule="auto"/>
              <w:ind w:left="24" w:right="8" w:firstLine="0"/>
              <w:jc w:val="left"/>
            </w:pPr>
            <w:r>
              <w:rPr>
                <w:sz w:val="20"/>
              </w:rPr>
              <w:t xml:space="preserve">4.2.1 Data collection needs assessments carried out</w:t>
            </w:r>
            <w:r>
              <w:rPr>
                <w:sz w:val="20"/>
              </w:rPr>
              <w:t xml:space="preserve"> </w:t>
            </w:r>
          </w:p>
          <w:p>
            <w:pPr>
              <w:spacing w:before="0" w:after="0" w:line="271" w:lineRule="auto"/>
              <w:ind w:left="24" w:right="0" w:firstLine="0"/>
              <w:jc w:val="left"/>
            </w:pPr>
            <w:r>
              <w:rPr>
                <w:sz w:val="20"/>
              </w:rPr>
              <w:t xml:space="preserve">4.2.2. Develop capacity building plan for local authorities in data collection and management</w:t>
            </w:r>
            <w:r>
              <w:rPr>
                <w:sz w:val="20"/>
              </w:rPr>
              <w:t xml:space="preserve"> </w:t>
            </w:r>
          </w:p>
          <w:p>
            <w:pPr>
              <w:spacing w:before="0" w:after="0" w:line="271" w:lineRule="auto"/>
              <w:ind w:left="24" w:right="0" w:firstLine="0"/>
              <w:jc w:val="left"/>
            </w:pPr>
            <w:r>
              <w:rPr>
                <w:sz w:val="20"/>
              </w:rPr>
              <w:t xml:space="preserve">4.2.3 Train local authorities in data collection and management</w:t>
            </w:r>
            <w:r>
              <w:rPr>
                <w:sz w:val="20"/>
              </w:rPr>
              <w:t xml:space="preserve"> </w:t>
            </w:r>
          </w:p>
          <w:p>
            <w:pPr>
              <w:spacing w:before="0" w:after="5" w:line="271" w:lineRule="auto"/>
              <w:ind w:left="24" w:right="0" w:firstLine="0"/>
              <w:jc w:val="left"/>
            </w:pPr>
            <w:r>
              <w:rPr>
                <w:sz w:val="20"/>
              </w:rPr>
              <w:t xml:space="preserve">4.2.4. Provide equipment for data collection and management.</w:t>
            </w:r>
            <w:r>
              <w:rPr>
                <w:sz w:val="20"/>
              </w:rPr>
              <w:t xml:space="preserve"> </w:t>
            </w:r>
          </w:p>
          <w:p>
            <w:pPr>
              <w:spacing w:before="0" w:after="0" w:line="271" w:lineRule="auto"/>
              <w:ind w:left="24" w:right="0" w:firstLine="0"/>
              <w:jc w:val="left"/>
            </w:pPr>
            <w:r>
              <w:rPr>
                <w:sz w:val="20"/>
              </w:rPr>
              <w:t xml:space="preserve">4.2.5 Monitor data collection and management by the beneficiary local governments. </w:t>
            </w:r>
            <w:r>
              <w:rPr>
                <w:sz w:val="20"/>
              </w:rPr>
              <w:t xml:space="preserve"> </w:t>
            </w:r>
          </w:p>
          <w:p>
            <w:pPr>
              <w:spacing w:before="0" w:after="0" w:line="271" w:lineRule="auto"/>
              <w:ind w:left="24" w:right="0" w:firstLine="0"/>
              <w:jc w:val="left"/>
            </w:pPr>
            <w:r>
              <w:rPr>
                <w:rFonts w:cs="Cambria" w:hAnsi="Cambria" w:eastAsia="Cambria" w:ascii="Cambria"/>
                <w:b w:val="1"/>
                <w:sz w:val="20"/>
              </w:rPr>
              <w:t xml:space="preserve">4.3 Activity result:</w:t>
            </w:r>
            <w:r>
              <w:rPr>
                <w:rFonts w:cs="Cambria" w:hAnsi="Cambria" w:eastAsia="Cambria" w:ascii="Cambria"/>
                <w:i w:val="1"/>
                <w:sz w:val="20"/>
              </w:rPr>
              <w:t xml:space="preserve"> </w:t>
            </w:r>
            <w:r>
              <w:rPr>
                <w:rFonts w:cs="Cambria" w:hAnsi="Cambria" w:eastAsia="Cambria" w:ascii="Cambria"/>
                <w:i w:val="1"/>
                <w:sz w:val="20"/>
              </w:rPr>
              <w:t xml:space="preserve">Improved planning and budgeting at lower levels of government</w:t>
            </w:r>
            <w:r>
              <w:rPr>
                <w:sz w:val="20"/>
              </w:rPr>
              <w:t xml:space="preserve"> </w:t>
            </w:r>
          </w:p>
          <w:p>
            <w:pPr>
              <w:spacing w:before="0" w:after="0" w:line="272" w:lineRule="auto"/>
              <w:ind w:left="24" w:right="0" w:firstLine="0"/>
              <w:jc w:val="left"/>
            </w:pPr>
            <w:r>
              <w:rPr>
                <w:sz w:val="20"/>
              </w:rPr>
              <w:t xml:space="preserve">4.3.1 Support local authorities at lower local government level in planning and budgeting</w:t>
            </w:r>
            <w:r>
              <w:rPr>
                <w:sz w:val="20"/>
              </w:rPr>
              <w:t xml:space="preserve"> </w:t>
            </w:r>
            <w:r>
              <w:rPr>
                <w:sz w:val="20"/>
              </w:rPr>
              <w:t xml:space="preserve">4.3.2. Strengthen capacity planning and budgeting</w:t>
            </w:r>
            <w:r>
              <w:rPr>
                <w:sz w:val="20"/>
              </w:rPr>
              <w:t xml:space="preserve"> </w:t>
            </w:r>
          </w:p>
          <w:p>
            <w:pPr>
              <w:spacing w:before="0" w:after="5" w:line="271" w:lineRule="auto"/>
              <w:ind w:left="24" w:right="264" w:firstLine="0"/>
            </w:pPr>
            <w:r>
              <w:rPr>
                <w:rFonts w:cs="Cambria" w:hAnsi="Cambria" w:eastAsia="Cambria" w:ascii="Cambria"/>
                <w:b w:val="1"/>
                <w:sz w:val="20"/>
              </w:rPr>
              <w:t xml:space="preserve">4.4 Activity result:</w:t>
            </w:r>
            <w:r>
              <w:rPr>
                <w:sz w:val="20"/>
              </w:rPr>
              <w:t xml:space="preserve"> </w:t>
            </w:r>
            <w:r>
              <w:rPr>
                <w:rFonts w:cs="Cambria" w:hAnsi="Cambria" w:eastAsia="Cambria" w:ascii="Cambria"/>
                <w:i w:val="1"/>
                <w:sz w:val="20"/>
              </w:rPr>
              <w:t xml:space="preserve">Increased capacity of the districts to monitor the implementation of development projects</w:t>
            </w:r>
            <w:r>
              <w:rPr>
                <w:rFonts w:cs="Cambria" w:hAnsi="Cambria" w:eastAsia="Cambria" w:ascii="Cambria"/>
                <w:i w:val="1"/>
                <w:sz w:val="20"/>
              </w:rPr>
              <w:t xml:space="preserve"> </w:t>
            </w:r>
          </w:p>
          <w:p>
            <w:pPr>
              <w:spacing w:before="0" w:after="0" w:line="271" w:lineRule="auto"/>
              <w:ind w:left="24" w:right="0" w:firstLine="0"/>
              <w:jc w:val="left"/>
            </w:pPr>
            <w:r>
              <w:rPr>
                <w:sz w:val="20"/>
              </w:rPr>
              <w:t xml:space="preserve">4.4.1 Assess monitoring and evaluation capacity of local governments</w:t>
            </w:r>
            <w:r>
              <w:rPr>
                <w:sz w:val="20"/>
              </w:rPr>
              <w:t xml:space="preserve"> </w:t>
            </w:r>
          </w:p>
          <w:p>
            <w:pPr>
              <w:spacing w:before="0" w:after="0" w:line="271" w:lineRule="auto"/>
              <w:ind w:left="24" w:right="0" w:firstLine="0"/>
              <w:jc w:val="left"/>
            </w:pPr>
            <w:r>
              <w:rPr>
                <w:sz w:val="20"/>
              </w:rPr>
              <w:t xml:space="preserve">4.4.2 Provide the necessary resources for monitoring of  related activities in the targeted local authorities</w:t>
            </w:r>
            <w:r>
              <w:rPr>
                <w:sz w:val="20"/>
              </w:rPr>
              <w:t xml:space="preserve"> </w:t>
            </w:r>
          </w:p>
          <w:p>
            <w:pPr>
              <w:spacing w:before="0" w:after="0" w:line="276" w:lineRule="auto"/>
              <w:ind w:left="24" w:right="0" w:firstLine="0"/>
              <w:jc w:val="left"/>
            </w:pPr>
            <w:r>
              <w:rPr>
                <w:sz w:val="20"/>
              </w:rPr>
              <w:t xml:space="preserve">4.5 </w:t>
            </w:r>
            <w:r>
              <w:rPr>
                <w:rFonts w:cs="Cambria" w:hAnsi="Cambria" w:eastAsia="Cambria" w:ascii="Cambria"/>
                <w:b w:val="1"/>
                <w:sz w:val="20"/>
              </w:rPr>
              <w:t xml:space="preserve">Activity result:</w:t>
            </w:r>
            <w:r>
              <w:rPr>
                <w:sz w:val="20"/>
              </w:rPr>
              <w:t xml:space="preserve"> </w:t>
            </w:r>
            <w:r>
              <w:rPr>
                <w:rFonts w:cs="Cambria" w:hAnsi="Cambria" w:eastAsia="Cambria" w:ascii="Cambria"/>
                <w:i w:val="1"/>
                <w:sz w:val="20"/>
              </w:rPr>
              <w:t xml:space="preserve">Improved participation of the beneficiaries in development planning</w:t>
            </w:r>
            <w:r>
              <w:rPr>
                <w:rFonts w:cs="Cambria" w:hAnsi="Cambria" w:eastAsia="Cambria" w:ascii="Cambria"/>
                <w:i w:val="1"/>
                <w:sz w:val="20"/>
              </w:rPr>
              <w:t xml:space="preserve"> </w:t>
            </w:r>
          </w:p>
          <w:p>
            <w:pPr>
              <w:spacing w:before="0" w:after="0" w:line="271" w:lineRule="auto"/>
              <w:ind w:left="24" w:right="0" w:firstLine="0"/>
              <w:jc w:val="left"/>
            </w:pPr>
            <w:r>
              <w:rPr>
                <w:sz w:val="20"/>
              </w:rPr>
              <w:t xml:space="preserve">4.5.1: Build capacity of civil society to carry out citizen empowerment</w:t>
            </w:r>
            <w:r>
              <w:rPr>
                <w:sz w:val="20"/>
              </w:rPr>
              <w:t xml:space="preserve"> </w:t>
            </w:r>
          </w:p>
          <w:p>
            <w:pPr>
              <w:spacing w:before="0" w:after="0" w:line="259" w:lineRule="auto"/>
              <w:ind w:left="24" w:right="28" w:firstLine="0"/>
              <w:jc w:val="left"/>
            </w:pPr>
            <w:r>
              <w:rPr>
                <w:sz w:val="20"/>
              </w:rPr>
              <w:t xml:space="preserve">4.5.2: Provide budget for identified civil society organisations to carry out citizen empowerment</w:t>
            </w:r>
            <w:r>
              <w:rPr>
                <w:sz w:val="20"/>
              </w:rPr>
              <w:t xml:space="preserve"> </w:t>
            </w:r>
          </w:p>
        </w:tc>
        <w:tc>
          <w:tcPr>
            <w:tcW w:w="2069"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981"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r>
      <w:tr>
        <w:trPr>
          <w:trHeight w:val="266" w:hRule="atLeast"/>
        </w:trPr>
        <w:tc>
          <w:tcPr>
            <w:tcW w:w="12599" w:type="dxa"/>
            <w:gridSpan w:val="4"/>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0" w:right="38" w:firstLine="0"/>
              <w:jc w:val="right"/>
            </w:pPr>
            <w:r>
              <w:rPr>
                <w:rFonts w:cs="Cambria" w:hAnsi="Cambria" w:eastAsia="Cambria" w:ascii="Cambria"/>
                <w:b w:val="1"/>
                <w:sz w:val="18"/>
              </w:rPr>
              <w:t xml:space="preserve">Subtotal output 4</w:t>
            </w:r>
            <w:r>
              <w:rPr>
                <w:rFonts w:cs="Cambria" w:hAnsi="Cambria" w:eastAsia="Cambria" w:ascii="Cambria"/>
                <w:b w:val="1"/>
                <w:sz w:val="18"/>
              </w:rPr>
              <w:t xml:space="preserve"> </w:t>
            </w:r>
          </w:p>
        </w:tc>
        <w:tc>
          <w:tcPr>
            <w:tcW w:w="1981" w:type="dxa"/>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29" w:right="0" w:firstLine="0"/>
              <w:jc w:val="left"/>
            </w:pPr>
            <w:r>
              <w:rPr>
                <w:rFonts w:cs="Cambria" w:hAnsi="Cambria" w:eastAsia="Cambria" w:ascii="Cambria"/>
                <w:b w:val="1"/>
                <w:sz w:val="18"/>
              </w:rPr>
              <w:t xml:space="preserve">1,000,000</w:t>
            </w:r>
            <w:r>
              <w:rPr>
                <w:rFonts w:cs="Cambria" w:hAnsi="Cambria" w:eastAsia="Cambria" w:ascii="Cambria"/>
                <w:b w:val="1"/>
                <w:sz w:val="18"/>
              </w:rPr>
              <w:t xml:space="preserve"> </w:t>
            </w:r>
          </w:p>
        </w:tc>
      </w:tr>
    </w:tbl>
    <w:tbl>
      <w:tblPr>
        <w:tblStyle w:val="TableGrid"/>
        <w:tblW w:w="14580" w:type="dxa"/>
        <w:tblInd w:w="-810" w:type="dxa"/>
        <w:tblCellMar>
          <w:top w:w="30" w:type="dxa"/>
          <w:left w:w="82" w:type="dxa"/>
          <w:bottom w:w="0" w:type="dxa"/>
          <w:right w:w="32" w:type="dxa"/>
        </w:tblCellMar>
      </w:tblPr>
      <w:tblGrid>
        <w:gridCol w:w="3421"/>
        <w:gridCol w:w="2880"/>
        <w:gridCol w:w="4229"/>
        <w:gridCol w:w="2069"/>
        <w:gridCol w:w="1981"/>
      </w:tblGrid>
      <w:tr>
        <w:trPr>
          <w:trHeight w:val="6802" w:hRule="atLeast"/>
        </w:trPr>
        <w:tc>
          <w:tcPr>
            <w:tcW w:w="3421" w:type="dxa"/>
            <w:tcBorders>
              <w:top w:val="single" w:sz="4" w:color="000000"/>
              <w:left w:val="single" w:sz="4" w:color="000000"/>
              <w:bottom w:val="single" w:sz="4" w:color="000000"/>
              <w:right w:val="single" w:sz="4" w:color="000000"/>
            </w:tcBorders>
            <w:vAlign w:val="top"/>
          </w:tcPr>
          <w:p>
            <w:pPr>
              <w:spacing w:before="0" w:after="0" w:line="259" w:lineRule="auto"/>
              <w:ind w:left="4" w:right="0" w:firstLine="0"/>
              <w:jc w:val="left"/>
            </w:pPr>
            <w:r>
              <w:rPr>
                <w:rFonts w:cs="Cambria" w:hAnsi="Cambria" w:eastAsia="Cambria" w:ascii="Cambria"/>
                <w:b w:val="1"/>
                <w:sz w:val="20"/>
              </w:rPr>
              <w:t xml:space="preserve">5: Project Management, </w:t>
            </w:r>
            <w:r>
              <w:rPr>
                <w:rFonts w:cs="Cambria" w:hAnsi="Cambria" w:eastAsia="Cambria" w:ascii="Cambria"/>
                <w:b w:val="1"/>
                <w:color w:val="404040"/>
                <w:sz w:val="20"/>
              </w:rPr>
              <w:t xml:space="preserve">Oversight and overall coordination</w:t>
            </w:r>
            <w:r>
              <w:rPr>
                <w:rFonts w:cs="Cambria" w:hAnsi="Cambria" w:eastAsia="Cambria" w:ascii="Cambria"/>
                <w:b w:val="1"/>
                <w:sz w:val="20"/>
              </w:rPr>
              <w:t xml:space="preserve"> </w:t>
            </w:r>
          </w:p>
        </w:tc>
        <w:tc>
          <w:tcPr>
            <w:tcW w:w="2880"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b w:val="1"/>
                <w:sz w:val="20"/>
              </w:rPr>
              <w:t xml:space="preserve">Target year 1 and 2:</w:t>
            </w:r>
            <w:r>
              <w:rPr>
                <w:rFonts w:cs="Cambria" w:hAnsi="Cambria" w:eastAsia="Cambria" w:ascii="Cambria"/>
                <w:b w:val="1"/>
                <w:sz w:val="20"/>
              </w:rPr>
              <w:t xml:space="preserve"> </w:t>
            </w:r>
          </w:p>
          <w:p>
            <w:pPr>
              <w:spacing w:before="0" w:after="12" w:line="259" w:lineRule="auto"/>
              <w:ind w:left="0" w:right="0" w:firstLine="0"/>
              <w:jc w:val="left"/>
            </w:pPr>
            <w:r>
              <w:rPr>
                <w:sz w:val="20"/>
              </w:rPr>
              <w:t xml:space="preserve">Staff recruited</w:t>
            </w:r>
            <w:r>
              <w:rPr>
                <w:sz w:val="20"/>
              </w:rPr>
              <w:t xml:space="preserve"> </w:t>
            </w:r>
          </w:p>
          <w:p>
            <w:pPr>
              <w:spacing w:before="0" w:after="16" w:line="259" w:lineRule="auto"/>
              <w:ind w:left="0" w:right="0" w:firstLine="0"/>
              <w:jc w:val="left"/>
            </w:pPr>
            <w:r>
              <w:rPr>
                <w:sz w:val="20"/>
              </w:rPr>
              <w:t xml:space="preserve">Project inputs in place</w:t>
            </w:r>
            <w:r>
              <w:rPr>
                <w:sz w:val="20"/>
              </w:rPr>
              <w:t xml:space="preserve"> </w:t>
            </w:r>
          </w:p>
          <w:p>
            <w:pPr>
              <w:spacing w:before="0" w:after="12" w:line="259" w:lineRule="auto"/>
              <w:ind w:left="0" w:right="0" w:firstLine="0"/>
              <w:jc w:val="left"/>
            </w:pPr>
            <w:r>
              <w:rPr>
                <w:sz w:val="20"/>
              </w:rPr>
              <w:t xml:space="preserve">Programme coordinated and </w:t>
            </w:r>
          </w:p>
          <w:p>
            <w:pPr>
              <w:spacing w:before="0" w:after="12" w:line="259" w:lineRule="auto"/>
              <w:ind w:left="0" w:right="0" w:firstLine="0"/>
              <w:jc w:val="left"/>
            </w:pPr>
            <w:r>
              <w:rPr>
                <w:sz w:val="20"/>
              </w:rPr>
              <w:t xml:space="preserve">monitored timely</w:t>
            </w: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4229" w:type="dxa"/>
            <w:tcBorders>
              <w:top w:val="single" w:sz="4" w:color="000000"/>
              <w:left w:val="single" w:sz="4" w:color="000000"/>
              <w:bottom w:val="single" w:sz="4" w:color="000000"/>
              <w:right w:val="single" w:sz="4" w:color="000000"/>
            </w:tcBorders>
            <w:vAlign w:val="top"/>
          </w:tcPr>
          <w:p>
            <w:pPr>
              <w:spacing w:before="0" w:after="0" w:line="271" w:lineRule="auto"/>
              <w:ind w:left="0" w:right="0" w:firstLine="0"/>
              <w:jc w:val="left"/>
            </w:pPr>
            <w:r>
              <w:rPr>
                <w:rFonts w:cs="Cambria" w:hAnsi="Cambria" w:eastAsia="Cambria" w:ascii="Cambria"/>
                <w:b w:val="1"/>
                <w:sz w:val="20"/>
              </w:rPr>
              <w:t xml:space="preserve">Activity result:</w:t>
            </w:r>
            <w:r>
              <w:rPr>
                <w:rFonts w:cs="Cambria" w:hAnsi="Cambria" w:eastAsia="Cambria" w:ascii="Cambria"/>
                <w:b w:val="1"/>
                <w:sz w:val="18"/>
              </w:rPr>
              <w:t xml:space="preserve"> </w:t>
            </w:r>
            <w:r>
              <w:rPr>
                <w:rFonts w:cs="Cambria" w:hAnsi="Cambria" w:eastAsia="Cambria" w:ascii="Cambria"/>
                <w:i w:val="1"/>
                <w:sz w:val="20"/>
              </w:rPr>
              <w:t xml:space="preserve">Project human resource and logistical requirements in place</w:t>
            </w:r>
            <w:r>
              <w:rPr>
                <w:rFonts w:cs="Cambria" w:hAnsi="Cambria" w:eastAsia="Cambria" w:ascii="Cambria"/>
                <w:i w:val="1"/>
                <w:sz w:val="20"/>
              </w:rPr>
              <w:t xml:space="preserve"> </w:t>
            </w:r>
          </w:p>
          <w:p>
            <w:pPr>
              <w:spacing w:before="0" w:after="12" w:line="259" w:lineRule="auto"/>
              <w:ind w:left="0" w:right="0" w:firstLine="0"/>
              <w:jc w:val="left"/>
            </w:pPr>
            <w:r>
              <w:rPr>
                <w:rFonts w:cs="Cambria" w:hAnsi="Cambria" w:eastAsia="Cambria" w:ascii="Cambria"/>
                <w:b w:val="1"/>
                <w:sz w:val="18"/>
              </w:rPr>
              <w:t xml:space="preserve">5.5.1: </w:t>
            </w:r>
            <w:r>
              <w:rPr>
                <w:sz w:val="18"/>
              </w:rPr>
              <w:t xml:space="preserve">Recruit National Project Manager</w:t>
            </w:r>
            <w:r>
              <w:rPr>
                <w:sz w:val="18"/>
              </w:rPr>
              <w:t xml:space="preserve">, </w:t>
            </w:r>
            <w:r>
              <w:rPr>
                <w:sz w:val="18"/>
              </w:rPr>
              <w:t xml:space="preserve">Area </w:t>
            </w:r>
          </w:p>
          <w:p>
            <w:pPr>
              <w:spacing w:before="0" w:after="12" w:line="259" w:lineRule="auto"/>
              <w:ind w:left="0" w:right="0" w:firstLine="0"/>
              <w:jc w:val="left"/>
            </w:pPr>
            <w:r>
              <w:rPr>
                <w:sz w:val="18"/>
              </w:rPr>
              <w:t xml:space="preserve">Project Coordinators, National Rule of Law </w:t>
            </w:r>
          </w:p>
          <w:p>
            <w:pPr>
              <w:spacing w:before="0" w:after="7" w:line="259" w:lineRule="auto"/>
              <w:ind w:left="0" w:right="0" w:firstLine="0"/>
              <w:jc w:val="left"/>
            </w:pPr>
            <w:r>
              <w:rPr>
                <w:sz w:val="18"/>
              </w:rPr>
              <w:t xml:space="preserve">Specialist, Programme Associates, Drivers</w:t>
            </w:r>
            <w:r>
              <w:rPr>
                <w:sz w:val="18"/>
              </w:rPr>
              <w:t xml:space="preserve"> </w:t>
            </w:r>
          </w:p>
          <w:p>
            <w:pPr>
              <w:spacing w:before="0" w:after="0" w:line="259" w:lineRule="auto"/>
              <w:ind w:left="0" w:right="193" w:firstLine="0"/>
            </w:pPr>
            <w:r>
              <w:rPr>
                <w:sz w:val="18"/>
              </w:rPr>
              <w:t xml:space="preserve">5.5.2: Deploy staff to their respective duty stations</w:t>
            </w:r>
            <w:r>
              <w:rPr>
                <w:sz w:val="18"/>
              </w:rPr>
              <w:t xml:space="preserve"> </w:t>
            </w:r>
            <w:r>
              <w:rPr>
                <w:sz w:val="18"/>
              </w:rPr>
              <w:t xml:space="preserve">5.5.3: Procure and equip project management with the necessary logistics </w:t>
            </w:r>
            <w:r>
              <w:rPr>
                <w:rFonts w:cs="Cambria" w:hAnsi="Cambria" w:eastAsia="Cambria" w:ascii="Cambria"/>
                <w:b w:val="1"/>
                <w:sz w:val="18"/>
              </w:rPr>
              <w:t xml:space="preserve"> </w:t>
            </w:r>
          </w:p>
        </w:tc>
        <w:tc>
          <w:tcPr>
            <w:tcW w:w="2069"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18"/>
              </w:rPr>
              <w:t xml:space="preserve">UNDP, District Local </w:t>
            </w:r>
          </w:p>
          <w:p>
            <w:pPr>
              <w:spacing w:before="0" w:after="0" w:line="259" w:lineRule="auto"/>
              <w:ind w:left="0" w:right="0" w:firstLine="0"/>
              <w:jc w:val="left"/>
            </w:pPr>
            <w:r>
              <w:rPr>
                <w:sz w:val="18"/>
              </w:rPr>
              <w:t xml:space="preserve">Governments, OPM</w:t>
            </w:r>
            <w:r>
              <w:rPr>
                <w:sz w:val="18"/>
              </w:rPr>
              <w:t xml:space="preserve"> </w:t>
            </w:r>
          </w:p>
        </w:tc>
        <w:tc>
          <w:tcPr>
            <w:tcW w:w="1981" w:type="dxa"/>
            <w:tcBorders>
              <w:top w:val="single" w:sz="4" w:color="000000"/>
              <w:left w:val="single" w:sz="4" w:color="000000"/>
              <w:bottom w:val="single" w:sz="4" w:color="000000"/>
              <w:right w:val="single" w:sz="4" w:color="000000"/>
            </w:tcBorders>
            <w:vAlign w:val="top"/>
          </w:tcPr>
          <w:p>
            <w:pPr>
              <w:spacing w:before="0" w:after="0" w:line="273" w:lineRule="auto"/>
              <w:ind w:left="5" w:right="0" w:firstLine="0"/>
            </w:pPr>
            <w:r>
              <w:rPr>
                <w:sz w:val="18"/>
              </w:rPr>
              <w:t xml:space="preserve">Staff costs (1 national programme manager, </w:t>
            </w:r>
          </w:p>
          <w:p>
            <w:pPr>
              <w:spacing w:before="0" w:after="2" w:line="270" w:lineRule="auto"/>
              <w:ind w:left="5" w:right="68" w:firstLine="0"/>
              <w:jc w:val="left"/>
            </w:pPr>
            <w:r>
              <w:rPr>
                <w:sz w:val="18"/>
              </w:rPr>
              <w:t xml:space="preserve">3 Area Project Coordinators,</w:t>
            </w:r>
            <w:r>
              <w:rPr>
                <w:sz w:val="18"/>
              </w:rPr>
              <w:t xml:space="preserve"> </w:t>
            </w:r>
            <w:r>
              <w:rPr>
                <w:sz w:val="18"/>
              </w:rPr>
              <w:t xml:space="preserve">1 Rule of Law Specialist, </w:t>
            </w:r>
            <w:r>
              <w:rPr>
                <w:sz w:val="18"/>
              </w:rPr>
              <w:t xml:space="preserve"> </w:t>
            </w:r>
            <w:r>
              <w:rPr>
                <w:sz w:val="18"/>
              </w:rPr>
              <w:t xml:space="preserve">4</w:t>
            </w:r>
            <w:r>
              <w:rPr>
                <w:sz w:val="18"/>
              </w:rPr>
              <w:t xml:space="preserve"> </w:t>
            </w:r>
          </w:p>
          <w:p>
            <w:pPr>
              <w:spacing w:before="0" w:after="7" w:line="259" w:lineRule="auto"/>
              <w:ind w:left="5" w:right="0" w:firstLine="0"/>
              <w:jc w:val="left"/>
            </w:pPr>
            <w:r>
              <w:rPr>
                <w:sz w:val="18"/>
              </w:rPr>
              <w:t xml:space="preserve">programme </w:t>
            </w:r>
          </w:p>
          <w:p>
            <w:pPr>
              <w:spacing w:before="0" w:after="12" w:line="259" w:lineRule="auto"/>
              <w:ind w:left="5" w:right="0" w:firstLine="0"/>
              <w:jc w:val="left"/>
            </w:pPr>
            <w:r>
              <w:rPr>
                <w:sz w:val="18"/>
              </w:rPr>
              <w:t xml:space="preserve">Associates, 4 </w:t>
            </w:r>
            <w:r>
              <w:rPr>
                <w:sz w:val="18"/>
              </w:rPr>
              <w:t xml:space="preserve"> </w:t>
            </w:r>
            <w:r>
              <w:rPr>
                <w:sz w:val="18"/>
              </w:rPr>
              <w:t xml:space="preserve">drivers</w:t>
            </w:r>
            <w:r>
              <w:rPr>
                <w:sz w:val="18"/>
              </w:rPr>
              <w:t xml:space="preserve"> </w:t>
            </w:r>
          </w:p>
          <w:p>
            <w:pPr>
              <w:spacing w:before="0" w:after="12" w:line="259" w:lineRule="auto"/>
              <w:ind w:left="5" w:right="0" w:firstLine="0"/>
              <w:jc w:val="left"/>
            </w:pPr>
            <w:r>
              <w:rPr>
                <w:sz w:val="18"/>
              </w:rPr>
              <w:t xml:space="preserve">300,000</w:t>
            </w:r>
            <w:r>
              <w:rPr>
                <w:sz w:val="18"/>
              </w:rPr>
              <w:t xml:space="preserve"> </w:t>
            </w:r>
          </w:p>
          <w:p>
            <w:pPr>
              <w:spacing w:before="0" w:after="7" w:line="259" w:lineRule="auto"/>
              <w:ind w:left="5" w:right="0" w:firstLine="0"/>
              <w:jc w:val="left"/>
            </w:pPr>
            <w:r>
              <w:rPr>
                <w:sz w:val="18"/>
              </w:rPr>
              <w:t xml:space="preserve">Monitoring (including </w:t>
            </w:r>
          </w:p>
          <w:p>
            <w:pPr>
              <w:spacing w:before="0" w:after="12" w:line="259" w:lineRule="auto"/>
              <w:ind w:left="5" w:right="0" w:firstLine="0"/>
              <w:jc w:val="left"/>
            </w:pPr>
            <w:r>
              <w:rPr>
                <w:sz w:val="18"/>
              </w:rPr>
              <w:t xml:space="preserve">HQ missions)</w:t>
            </w:r>
            <w:r>
              <w:rPr>
                <w:sz w:val="18"/>
              </w:rPr>
              <w:t xml:space="preserve"> </w:t>
            </w:r>
          </w:p>
          <w:p>
            <w:pPr>
              <w:spacing w:before="0" w:after="23" w:line="269" w:lineRule="auto"/>
              <w:ind w:left="5" w:right="183" w:firstLine="0"/>
              <w:jc w:val="left"/>
            </w:pPr>
            <w:r>
              <w:rPr>
                <w:sz w:val="18"/>
              </w:rPr>
              <w:t xml:space="preserve">150,000</w:t>
            </w:r>
            <w:r>
              <w:rPr>
                <w:sz w:val="18"/>
              </w:rPr>
              <w:t xml:space="preserve"> </w:t>
            </w:r>
            <w:r>
              <w:rPr>
                <w:sz w:val="18"/>
              </w:rPr>
              <w:t xml:space="preserve">Programme management support costs</w:t>
            </w:r>
            <w:r>
              <w:rPr>
                <w:sz w:val="18"/>
              </w:rPr>
              <w:t xml:space="preserve"> </w:t>
            </w:r>
          </w:p>
          <w:p>
            <w:pPr>
              <w:spacing w:before="0" w:after="0" w:line="274" w:lineRule="auto"/>
              <w:ind w:left="5" w:right="109" w:firstLine="0"/>
              <w:jc w:val="left"/>
            </w:pPr>
            <w:r>
              <w:rPr>
                <w:sz w:val="18"/>
              </w:rPr>
              <w:t xml:space="preserve">(</w:t>
            </w:r>
            <w:r>
              <w:rPr>
                <w:rFonts w:cs="Calibri" w:hAnsi="Calibri" w:eastAsia="Calibri" w:ascii="Calibri"/>
                <w:sz w:val="20"/>
              </w:rPr>
              <w:t xml:space="preserve">Stationery, communication, fuel, vehicles maintenance, </w:t>
            </w:r>
            <w:r>
              <w:rPr>
                <w:rFonts w:cs="Calibri" w:hAnsi="Calibri" w:eastAsia="Calibri" w:ascii="Calibri"/>
                <w:sz w:val="20"/>
              </w:rPr>
              <w:t xml:space="preserve"> </w:t>
            </w:r>
            <w:r>
              <w:rPr>
                <w:rFonts w:cs="Calibri" w:hAnsi="Calibri" w:eastAsia="Calibri" w:ascii="Calibri"/>
                <w:sz w:val="20"/>
              </w:rPr>
              <w:t xml:space="preserve">DSA and travel  activities)</w:t>
            </w:r>
            <w:r>
              <w:rPr>
                <w:rFonts w:cs="Calibri" w:hAnsi="Calibri" w:eastAsia="Calibri" w:ascii="Calibri"/>
                <w:sz w:val="20"/>
              </w:rPr>
              <w:t xml:space="preserve"> </w:t>
            </w:r>
          </w:p>
          <w:p>
            <w:pPr>
              <w:spacing w:before="0" w:after="10" w:line="259" w:lineRule="auto"/>
              <w:ind w:left="5" w:right="0" w:firstLine="0"/>
              <w:jc w:val="left"/>
            </w:pPr>
            <w:r>
              <w:rPr>
                <w:rFonts w:cs="Calibri" w:hAnsi="Calibri" w:eastAsia="Calibri" w:ascii="Calibri"/>
                <w:sz w:val="18"/>
              </w:rPr>
              <w:t xml:space="preserve">300,000</w:t>
            </w:r>
            <w:r>
              <w:rPr>
                <w:sz w:val="18"/>
              </w:rPr>
              <w:t xml:space="preserve">  </w:t>
            </w:r>
          </w:p>
          <w:p>
            <w:pPr>
              <w:spacing w:before="0" w:after="12" w:line="259" w:lineRule="auto"/>
              <w:ind w:left="5" w:right="0" w:firstLine="0"/>
              <w:jc w:val="left"/>
            </w:pPr>
            <w:r>
              <w:rPr>
                <w:sz w:val="18"/>
              </w:rPr>
              <w:t xml:space="preserve">Audit</w:t>
            </w:r>
            <w:r>
              <w:rPr>
                <w:sz w:val="18"/>
              </w:rPr>
              <w:t xml:space="preserve"> </w:t>
            </w:r>
            <w:r>
              <w:rPr>
                <w:sz w:val="18"/>
              </w:rPr>
              <w:t xml:space="preserve">fees</w:t>
            </w:r>
            <w:r>
              <w:rPr>
                <w:sz w:val="18"/>
              </w:rPr>
              <w:t xml:space="preserve"> </w:t>
            </w:r>
          </w:p>
          <w:p>
            <w:pPr>
              <w:spacing w:before="0" w:after="12" w:line="259" w:lineRule="auto"/>
              <w:ind w:left="5" w:right="0" w:firstLine="0"/>
              <w:jc w:val="left"/>
            </w:pPr>
            <w:r>
              <w:rPr>
                <w:sz w:val="18"/>
              </w:rPr>
              <w:t xml:space="preserve">20,000</w:t>
            </w:r>
            <w:r>
              <w:rPr>
                <w:sz w:val="18"/>
              </w:rPr>
              <w:t xml:space="preserve"> </w:t>
            </w:r>
          </w:p>
          <w:p>
            <w:pPr>
              <w:spacing w:before="0" w:after="7" w:line="259" w:lineRule="auto"/>
              <w:ind w:left="5" w:right="0" w:firstLine="0"/>
              <w:jc w:val="left"/>
            </w:pPr>
            <w:r>
              <w:rPr>
                <w:sz w:val="18"/>
              </w:rPr>
              <w:t xml:space="preserve">Midterm review</w:t>
            </w:r>
            <w:r>
              <w:rPr>
                <w:sz w:val="18"/>
              </w:rPr>
              <w:t xml:space="preserve"> </w:t>
            </w:r>
          </w:p>
          <w:p>
            <w:pPr>
              <w:spacing w:before="0" w:after="12" w:line="259" w:lineRule="auto"/>
              <w:ind w:left="5" w:right="0" w:firstLine="0"/>
              <w:jc w:val="left"/>
            </w:pPr>
            <w:r>
              <w:rPr>
                <w:sz w:val="18"/>
              </w:rPr>
              <w:t xml:space="preserve">50,000</w:t>
            </w:r>
            <w:r>
              <w:rPr>
                <w:sz w:val="18"/>
              </w:rPr>
              <w:t xml:space="preserve"> </w:t>
            </w:r>
          </w:p>
          <w:p>
            <w:pPr>
              <w:spacing w:before="0" w:after="7" w:line="259" w:lineRule="auto"/>
              <w:ind w:left="5" w:right="0" w:firstLine="0"/>
              <w:jc w:val="left"/>
            </w:pPr>
            <w:r>
              <w:rPr>
                <w:sz w:val="18"/>
              </w:rPr>
              <w:t xml:space="preserve">Final evaluation</w:t>
            </w:r>
            <w:r>
              <w:rPr>
                <w:sz w:val="18"/>
              </w:rPr>
              <w:t xml:space="preserve"> </w:t>
            </w:r>
          </w:p>
          <w:p>
            <w:pPr>
              <w:spacing w:before="0" w:after="0" w:line="259" w:lineRule="auto"/>
              <w:ind w:left="5" w:right="0" w:firstLine="0"/>
              <w:jc w:val="left"/>
            </w:pPr>
            <w:r>
              <w:rPr>
                <w:sz w:val="18"/>
              </w:rPr>
              <w:t xml:space="preserve">70,000</w:t>
            </w:r>
            <w:r>
              <w:rPr>
                <w:sz w:val="18"/>
              </w:rPr>
              <w:t xml:space="preserve"> </w:t>
            </w:r>
          </w:p>
        </w:tc>
      </w:tr>
      <w:tr>
        <w:trPr>
          <w:trHeight w:val="253" w:hRule="atLeast"/>
        </w:trPr>
        <w:tc>
          <w:tcPr>
            <w:tcW w:w="3421" w:type="dxa"/>
            <w:tcBorders>
              <w:top w:val="single" w:sz="4" w:color="000000"/>
              <w:left w:val="single" w:sz="4" w:color="000000"/>
              <w:bottom w:val="single" w:sz="4" w:color="000000"/>
              <w:right w:val="nil"/>
            </w:tcBorders>
            <w:vAlign w:val="center"/>
          </w:tcPr>
          <w:p>
            <w:pPr>
              <w:bidi w:val="0"/>
              <w:spacing w:before="0" w:after="160" w:line="259" w:lineRule="auto"/>
              <w:ind w:left="0" w:right="0" w:firstLine="0"/>
              <w:jc w:val="left"/>
            </w:pPr>
          </w:p>
        </w:tc>
        <w:tc>
          <w:tcPr>
            <w:tcW w:w="2880" w:type="dxa"/>
            <w:tcBorders>
              <w:top w:val="single" w:sz="4" w:color="000000"/>
              <w:left w:val="nil"/>
              <w:bottom w:val="single" w:sz="4" w:color="000000"/>
              <w:right w:val="nil"/>
            </w:tcBorders>
            <w:vAlign w:val="center"/>
          </w:tcPr>
          <w:p>
            <w:pPr>
              <w:bidi w:val="0"/>
              <w:spacing w:before="0" w:after="160" w:line="259" w:lineRule="auto"/>
              <w:ind w:left="0" w:right="0" w:firstLine="0"/>
              <w:jc w:val="left"/>
            </w:pPr>
          </w:p>
        </w:tc>
        <w:tc>
          <w:tcPr>
            <w:tcW w:w="6298" w:type="dxa"/>
            <w:gridSpan w:val="2"/>
            <w:tcBorders>
              <w:top w:val="single" w:sz="4" w:color="000000"/>
              <w:left w:val="nil"/>
              <w:bottom w:val="single" w:sz="4" w:color="000000"/>
              <w:right w:val="single" w:sz="4" w:color="000000"/>
            </w:tcBorders>
            <w:vAlign w:val="top"/>
          </w:tcPr>
          <w:p>
            <w:pPr>
              <w:spacing w:before="0" w:after="0" w:line="259" w:lineRule="auto"/>
              <w:ind w:left="0" w:right="75" w:firstLine="0"/>
              <w:jc w:val="right"/>
            </w:pPr>
            <w:r>
              <w:rPr>
                <w:rFonts w:cs="Cambria" w:hAnsi="Cambria" w:eastAsia="Cambria" w:ascii="Cambria"/>
                <w:b w:val="1"/>
                <w:sz w:val="18"/>
              </w:rPr>
              <w:t xml:space="preserve">Subtotal</w:t>
            </w:r>
            <w:r>
              <w:rPr>
                <w:sz w:val="18"/>
              </w:rPr>
              <w:t xml:space="preserve">  </w:t>
            </w:r>
          </w:p>
        </w:tc>
        <w:tc>
          <w:tcPr>
            <w:tcW w:w="198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18"/>
              </w:rPr>
              <w:t xml:space="preserve">890,000</w:t>
            </w:r>
            <w:r>
              <w:rPr>
                <w:rFonts w:cs="Cambria" w:hAnsi="Cambria" w:eastAsia="Cambria" w:ascii="Cambria"/>
                <w:b w:val="1"/>
                <w:sz w:val="18"/>
              </w:rPr>
              <w:t xml:space="preserve"> </w:t>
            </w:r>
          </w:p>
        </w:tc>
      </w:tr>
      <w:tr>
        <w:trPr>
          <w:trHeight w:val="346" w:hRule="atLeast"/>
        </w:trPr>
        <w:tc>
          <w:tcPr>
            <w:tcW w:w="3421" w:type="dxa"/>
            <w:tcBorders>
              <w:top w:val="single" w:sz="4" w:color="000000"/>
              <w:left w:val="single" w:sz="4" w:color="000000"/>
              <w:bottom w:val="single" w:sz="4" w:color="000000"/>
              <w:right w:val="nil"/>
            </w:tcBorders>
            <w:shd w:val="clear" w:fill="daeef3"/>
            <w:vAlign w:val="bottom"/>
          </w:tcPr>
          <w:p>
            <w:pPr>
              <w:bidi w:val="0"/>
              <w:spacing w:before="0" w:after="160" w:line="259" w:lineRule="auto"/>
              <w:ind w:left="0" w:right="0" w:firstLine="0"/>
              <w:jc w:val="left"/>
            </w:pPr>
          </w:p>
        </w:tc>
        <w:tc>
          <w:tcPr>
            <w:tcW w:w="2880" w:type="dxa"/>
            <w:tcBorders>
              <w:top w:val="single" w:sz="4" w:color="000000"/>
              <w:left w:val="nil"/>
              <w:bottom w:val="single" w:sz="4" w:color="000000"/>
              <w:right w:val="nil"/>
            </w:tcBorders>
            <w:shd w:val="clear" w:fill="daeef3"/>
            <w:vAlign w:val="bottom"/>
          </w:tcPr>
          <w:p>
            <w:pPr>
              <w:bidi w:val="0"/>
              <w:spacing w:before="0" w:after="160" w:line="259" w:lineRule="auto"/>
              <w:ind w:left="0" w:right="0" w:firstLine="0"/>
              <w:jc w:val="left"/>
            </w:pPr>
          </w:p>
        </w:tc>
        <w:tc>
          <w:tcPr>
            <w:tcW w:w="6298" w:type="dxa"/>
            <w:gridSpan w:val="2"/>
            <w:tcBorders>
              <w:top w:val="single" w:sz="4" w:color="000000"/>
              <w:left w:val="nil"/>
              <w:bottom w:val="single" w:sz="4" w:color="000000"/>
              <w:right w:val="single" w:sz="4" w:color="000000"/>
            </w:tcBorders>
            <w:shd w:val="clear" w:fill="daeef3"/>
            <w:vAlign w:val="top"/>
          </w:tcPr>
          <w:p>
            <w:pPr>
              <w:spacing w:before="0" w:after="0" w:line="259" w:lineRule="auto"/>
              <w:ind w:left="0" w:right="75" w:firstLine="0"/>
              <w:jc w:val="right"/>
            </w:pPr>
            <w:r>
              <w:rPr>
                <w:rFonts w:cs="Calibri" w:hAnsi="Calibri" w:eastAsia="Calibri" w:ascii="Calibri"/>
                <w:b w:val="1"/>
              </w:rPr>
              <w:t xml:space="preserve">OVERALL TOTAL BUDGET</w:t>
            </w:r>
            <w:r>
              <w:rPr>
                <w:rFonts w:cs="Calibri" w:hAnsi="Calibri" w:eastAsia="Calibri" w:ascii="Calibri"/>
                <w:b w:val="1"/>
              </w:rPr>
              <w:t xml:space="preserve"> </w:t>
            </w:r>
          </w:p>
        </w:tc>
        <w:tc>
          <w:tcPr>
            <w:tcW w:w="1981" w:type="dxa"/>
            <w:tcBorders>
              <w:top w:val="single" w:sz="4" w:color="000000"/>
              <w:left w:val="single" w:sz="4" w:color="000000"/>
              <w:bottom w:val="single" w:sz="4" w:color="000000"/>
              <w:right w:val="single" w:sz="4" w:color="000000"/>
            </w:tcBorders>
            <w:shd w:val="clear" w:fill="daeef3"/>
            <w:vAlign w:val="top"/>
          </w:tcPr>
          <w:p>
            <w:pPr>
              <w:spacing w:before="0" w:after="0" w:line="259" w:lineRule="auto"/>
              <w:ind w:left="5" w:right="0" w:firstLine="0"/>
              <w:jc w:val="left"/>
            </w:pPr>
            <w:r>
              <w:rPr>
                <w:rFonts w:cs="Cambria" w:hAnsi="Cambria" w:eastAsia="Cambria" w:ascii="Cambria"/>
                <w:b w:val="1"/>
                <w:sz w:val="22"/>
              </w:rPr>
              <w:t xml:space="preserve">4,390,000</w:t>
            </w:r>
            <w:r>
              <w:rPr>
                <w:rFonts w:cs="Calibri" w:hAnsi="Calibri" w:eastAsia="Calibri" w:ascii="Calibri"/>
                <w:b w:val="1"/>
              </w:rPr>
              <w:t xml:space="preserve"> </w:t>
            </w:r>
          </w:p>
        </w:tc>
      </w:tr>
    </w:tbl>
    <w:p>
      <w:pPr>
        <w:spacing w:before="0" w:after="0" w:line="259" w:lineRule="auto"/>
        <w:ind w:left="0" w:right="0" w:firstLine="0"/>
      </w:pPr>
      <w:r>
        <w:rPr>
          <w:sz w:val="22"/>
        </w:rPr>
        <w:t xml:space="preserve"> </w:t>
      </w:r>
    </w:p>
    <w:p>
      <w:pPr>
        <w:spacing w:before="0" w:after="11"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0" w:line="259" w:lineRule="auto"/>
        <w:ind w:left="0" w:right="0" w:firstLine="0"/>
      </w:pPr>
      <w:r>
        <w:rPr>
          <w:rFonts w:cs="Cambria" w:hAnsi="Cambria" w:eastAsia="Cambria" w:ascii="Cambria"/>
          <w:b w:val="1"/>
          <w:sz w:val="22"/>
        </w:rPr>
        <w:t xml:space="preserve"> </w:t>
      </w:r>
    </w:p>
    <w:p>
      <w:pPr>
        <w:pStyle w:val="heading1"/>
        <w:tabs>
          <w:tab w:val="center" w:pos="2591"/>
        </w:tabs>
        <w:spacing w:before="0" w:after="0" w:line="259" w:lineRule="auto"/>
        <w:ind w:left="-15" w:firstLine="0"/>
      </w:pPr>
      <w:bookmarkStart w:id="179050" w:name="_Toc179050"/>
      <w:r>
        <w:rPr>
          <w:rFonts w:cs="Calibri" w:hAnsi="Calibri" w:eastAsia="Calibri" w:ascii="Calibri"/>
          <w:sz w:val="22"/>
        </w:rPr>
        <w:drawing>
          <wp:anchor simplePos="0" relativeHeight="0" locked="0" layoutInCell="1" allowOverlap="1" behindDoc="0">
            <wp:simplePos x="0" y="0"/>
            <wp:positionH relativeFrom="page">
              <wp:posOffset>896112</wp:posOffset>
            </wp:positionH>
            <wp:positionV relativeFrom="page">
              <wp:posOffset>914400</wp:posOffset>
            </wp:positionV>
            <wp:extent cx="8266176" cy="6096"/>
            <wp:wrapTopAndBottom/>
            <wp:docPr id="145596" name="Group 145596"/>
            <wp:cNvGraphicFramePr/>
            <a:graphic>
              <a:graphicData uri="http://schemas.microsoft.com/office/word/2010/wordprocessingGroup">
                <wpg:wgp>
                  <wpg:cNvGrpSpPr/>
                  <wpg:grpSpPr>
                    <a:xfrm>
                      <a:off x="0" y="0"/>
                      <a:ext cx="8266176" cy="6096"/>
                      <a:chOff x="0" y="0"/>
                      <a:chExt cx="8266176" cy="6096"/>
                    </a:xfrm>
                  </wpg:grpSpPr>
                  <wps:wsp>
                    <wps:cNvPr id="180734" name="Shape 180734"/>
                    <wps:cNvSpPr/>
                    <wps:spPr>
                      <a:xfrm>
                        <a:off x="0" y="0"/>
                        <a:ext cx="8266176" cy="9144"/>
                      </a:xfrm>
                      <a:custGeom>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rFonts w:cs="Arial" w:hAnsi="Arial" w:eastAsia="Arial" w:ascii="Arial"/>
        </w:rPr>
        <w:t xml:space="preserve">2.</w:t>
      </w:r>
      <w:r>
        <w:rPr>
          <w:rFonts w:cs="Arial" w:hAnsi="Arial" w:eastAsia="Arial" w:ascii="Arial"/>
        </w:rPr>
        <w:t xml:space="preserve"> 	</w:t>
      </w:r>
      <w:r>
        <w:rPr>
          <w:rFonts w:cs="Arial" w:hAnsi="Arial" w:eastAsia="Arial" w:ascii="Arial"/>
        </w:rPr>
        <w:t xml:space="preserve">Annual Work Plan </w:t>
      </w:r>
      <w:r>
        <w:rPr>
          <w:rFonts w:cs="Arial" w:hAnsi="Arial" w:eastAsia="Arial" w:ascii="Arial"/>
        </w:rPr>
        <w:t xml:space="preserve">- </w:t>
      </w:r>
      <w:r>
        <w:rPr>
          <w:rFonts w:cs="Arial" w:hAnsi="Arial" w:eastAsia="Arial" w:ascii="Arial"/>
        </w:rPr>
        <w:t xml:space="preserve">2013</w:t>
      </w:r>
      <w:r>
        <w:rPr>
          <w:rFonts w:cs="Arial" w:hAnsi="Arial" w:eastAsia="Arial" w:ascii="Arial"/>
        </w:rPr>
        <w:t xml:space="preserve"> </w:t>
      </w:r>
      <w:bookmarkEnd w:id="179050"/>
    </w:p>
    <w:tbl>
      <w:tblPr>
        <w:tblStyle w:val="TableGrid"/>
        <w:tblW w:w="13174" w:type="dxa"/>
        <w:tblInd w:w="-107" w:type="dxa"/>
        <w:tblCellMar>
          <w:top w:w="30" w:type="dxa"/>
          <w:left w:w="53" w:type="dxa"/>
          <w:bottom w:w="0" w:type="dxa"/>
          <w:right w:w="13" w:type="dxa"/>
        </w:tblCellMar>
      </w:tblPr>
      <w:tblGrid>
        <w:gridCol w:w="2507"/>
        <w:gridCol w:w="2309"/>
        <w:gridCol w:w="566"/>
        <w:gridCol w:w="566"/>
        <w:gridCol w:w="566"/>
        <w:gridCol w:w="571"/>
        <w:gridCol w:w="1910"/>
        <w:gridCol w:w="1462"/>
        <w:gridCol w:w="1452"/>
        <w:gridCol w:w="1264"/>
      </w:tblGrid>
      <w:tr>
        <w:trPr>
          <w:trHeight w:val="253" w:hRule="atLeast"/>
        </w:trPr>
        <w:tc>
          <w:tcPr>
            <w:tcW w:w="2507" w:type="dxa"/>
            <w:vMerge w:val="restart"/>
            <w:tcBorders>
              <w:top w:val="single" w:sz="4" w:color="000000"/>
              <w:left w:val="single" w:sz="4" w:color="000000"/>
              <w:bottom w:val="single" w:sz="4" w:color="000000"/>
              <w:right w:val="single" w:sz="4" w:color="000000"/>
            </w:tcBorders>
            <w:shd w:val="clear" w:fill="ffff99"/>
            <w:vAlign w:val="top"/>
          </w:tcPr>
          <w:p>
            <w:pPr>
              <w:spacing w:before="0" w:after="7" w:line="259" w:lineRule="auto"/>
              <w:ind w:left="0" w:right="41" w:firstLine="0"/>
              <w:jc w:val="center"/>
            </w:pPr>
            <w:r>
              <w:rPr>
                <w:rFonts w:cs="Cambria" w:hAnsi="Cambria" w:eastAsia="Cambria" w:ascii="Cambria"/>
                <w:b w:val="1"/>
                <w:sz w:val="18"/>
              </w:rPr>
              <w:t xml:space="preserve">EXPECTED  OUTPUTS</w:t>
            </w:r>
            <w:r>
              <w:rPr>
                <w:rFonts w:cs="Cambria" w:hAnsi="Cambria" w:eastAsia="Cambria" w:ascii="Cambria"/>
                <w:b w:val="1"/>
                <w:sz w:val="18"/>
              </w:rPr>
              <w:t xml:space="preserve"> </w:t>
            </w:r>
          </w:p>
          <w:p>
            <w:pPr>
              <w:spacing w:before="0" w:after="0" w:line="259" w:lineRule="auto"/>
              <w:ind w:left="54" w:right="0" w:firstLine="0"/>
            </w:pPr>
            <w:r>
              <w:rPr>
                <w:rFonts w:cs="Arial" w:hAnsi="Arial" w:eastAsia="Arial" w:ascii="Arial"/>
                <w:i w:val="1"/>
                <w:sz w:val="18"/>
              </w:rPr>
              <w:t xml:space="preserve">And</w:t>
            </w:r>
            <w:r>
              <w:rPr>
                <w:rFonts w:cs="Arial" w:hAnsi="Arial" w:eastAsia="Arial" w:ascii="Arial"/>
                <w:i w:val="1"/>
                <w:sz w:val="18"/>
              </w:rPr>
              <w:t xml:space="preserve"> </w:t>
            </w:r>
            <w:r>
              <w:rPr>
                <w:rFonts w:cs="Arial" w:hAnsi="Arial" w:eastAsia="Arial" w:ascii="Arial"/>
                <w:i w:val="1"/>
                <w:sz w:val="18"/>
              </w:rPr>
              <w:t xml:space="preserve">baseline,</w:t>
            </w:r>
            <w:r>
              <w:rPr>
                <w:rFonts w:cs="Arial" w:hAnsi="Arial" w:eastAsia="Arial" w:ascii="Arial"/>
                <w:i w:val="1"/>
                <w:sz w:val="18"/>
              </w:rPr>
              <w:t xml:space="preserve"> </w:t>
            </w:r>
            <w:r>
              <w:rPr>
                <w:rFonts w:cs="Arial" w:hAnsi="Arial" w:eastAsia="Arial" w:ascii="Arial"/>
                <w:i w:val="1"/>
                <w:sz w:val="18"/>
              </w:rPr>
              <w:t xml:space="preserve">indicators including annual targets</w:t>
            </w:r>
            <w:r>
              <w:rPr>
                <w:rFonts w:cs="Arial" w:hAnsi="Arial" w:eastAsia="Arial" w:ascii="Arial"/>
                <w:i w:val="1"/>
                <w:sz w:val="18"/>
              </w:rPr>
              <w:t xml:space="preserve"> </w:t>
            </w:r>
          </w:p>
        </w:tc>
        <w:tc>
          <w:tcPr>
            <w:tcW w:w="2309" w:type="dxa"/>
            <w:vMerge w:val="restart"/>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0" w:right="47" w:firstLine="0"/>
              <w:jc w:val="center"/>
            </w:pPr>
            <w:r>
              <w:rPr>
                <w:rFonts w:cs="Cambria" w:hAnsi="Cambria" w:eastAsia="Cambria" w:ascii="Cambria"/>
                <w:b w:val="1"/>
                <w:sz w:val="18"/>
              </w:rPr>
              <w:t xml:space="preserve">PLANNED ACTIVITIES</w:t>
            </w:r>
            <w:r>
              <w:rPr>
                <w:rFonts w:cs="Cambria" w:hAnsi="Cambria" w:eastAsia="Cambria" w:ascii="Cambria"/>
                <w:b w:val="1"/>
                <w:sz w:val="18"/>
              </w:rPr>
              <w:t xml:space="preserve"> </w:t>
            </w:r>
          </w:p>
          <w:p>
            <w:pPr>
              <w:spacing w:before="0" w:after="0" w:line="259" w:lineRule="auto"/>
              <w:ind w:left="0" w:right="0" w:firstLine="0"/>
              <w:jc w:val="center"/>
            </w:pPr>
            <w:r>
              <w:rPr>
                <w:rFonts w:cs="Cambria" w:hAnsi="Cambria" w:eastAsia="Cambria" w:ascii="Cambria"/>
                <w:i w:val="1"/>
                <w:sz w:val="16"/>
              </w:rPr>
              <w:t xml:space="preserve">List activity results and associated</w:t>
            </w:r>
            <w:r>
              <w:rPr>
                <w:rFonts w:cs="Cambria" w:hAnsi="Cambria" w:eastAsia="Cambria" w:ascii="Cambria"/>
                <w:i w:val="1"/>
                <w:sz w:val="16"/>
              </w:rPr>
              <w:t xml:space="preserve"> </w:t>
            </w:r>
            <w:r>
              <w:rPr>
                <w:rFonts w:cs="Cambria" w:hAnsi="Cambria" w:eastAsia="Cambria" w:ascii="Cambria"/>
                <w:i w:val="1"/>
                <w:sz w:val="16"/>
              </w:rPr>
              <w:t xml:space="preserve">actions</w:t>
            </w:r>
            <w:r>
              <w:rPr>
                <w:rFonts w:cs="Cambria" w:hAnsi="Cambria" w:eastAsia="Cambria" w:ascii="Cambria"/>
                <w:i w:val="1"/>
                <w:sz w:val="16"/>
              </w:rPr>
              <w:t xml:space="preserve">  </w:t>
            </w:r>
          </w:p>
        </w:tc>
        <w:tc>
          <w:tcPr>
            <w:tcW w:w="566" w:type="dxa"/>
            <w:tcBorders>
              <w:top w:val="single" w:sz="4" w:color="000000"/>
              <w:left w:val="single" w:sz="4" w:color="000000"/>
              <w:bottom w:val="single" w:sz="4" w:color="000000"/>
              <w:right w:val="nil"/>
            </w:tcBorders>
            <w:shd w:val="clear" w:fill="ffff99"/>
            <w:vAlign w:val="bottom"/>
          </w:tcPr>
          <w:p>
            <w:pPr>
              <w:bidi w:val="0"/>
              <w:spacing w:before="0" w:after="160" w:line="259" w:lineRule="auto"/>
              <w:ind w:left="0" w:right="0" w:firstLine="0"/>
              <w:jc w:val="left"/>
            </w:pPr>
          </w:p>
        </w:tc>
        <w:tc>
          <w:tcPr>
            <w:tcW w:w="1133" w:type="dxa"/>
            <w:gridSpan w:val="2"/>
            <w:tcBorders>
              <w:top w:val="single" w:sz="4" w:color="000000"/>
              <w:left w:val="nil"/>
              <w:bottom w:val="single" w:sz="4" w:color="000000"/>
              <w:right w:val="nil"/>
            </w:tcBorders>
            <w:shd w:val="clear" w:fill="ffff99"/>
            <w:vAlign w:val="top"/>
          </w:tcPr>
          <w:p>
            <w:pPr>
              <w:spacing w:before="0" w:after="0" w:line="259" w:lineRule="auto"/>
              <w:ind w:left="0" w:right="0" w:firstLine="0"/>
            </w:pPr>
            <w:r>
              <w:rPr>
                <w:rFonts w:cs="Cambria" w:hAnsi="Cambria" w:eastAsia="Cambria" w:ascii="Cambria"/>
                <w:b w:val="1"/>
                <w:sz w:val="18"/>
              </w:rPr>
              <w:t xml:space="preserve">TIMEFRAME</w:t>
            </w:r>
            <w:r>
              <w:rPr>
                <w:rFonts w:cs="Cambria" w:hAnsi="Cambria" w:eastAsia="Cambria" w:ascii="Cambria"/>
                <w:b w:val="1"/>
                <w:sz w:val="18"/>
              </w:rPr>
              <w:t xml:space="preserve"> </w:t>
            </w:r>
          </w:p>
        </w:tc>
        <w:tc>
          <w:tcPr>
            <w:tcW w:w="571" w:type="dxa"/>
            <w:tcBorders>
              <w:top w:val="single" w:sz="4" w:color="000000"/>
              <w:left w:val="nil"/>
              <w:bottom w:val="single" w:sz="4" w:color="000000"/>
              <w:right w:val="single" w:sz="4" w:color="000000"/>
            </w:tcBorders>
            <w:shd w:val="clear" w:fill="ffff99"/>
            <w:vAlign w:val="bottom"/>
          </w:tcPr>
          <w:p>
            <w:pPr>
              <w:bidi w:val="0"/>
              <w:spacing w:before="0" w:after="160" w:line="259" w:lineRule="auto"/>
              <w:ind w:left="0" w:right="0" w:firstLine="0"/>
              <w:jc w:val="left"/>
            </w:pPr>
          </w:p>
        </w:tc>
        <w:tc>
          <w:tcPr>
            <w:tcW w:w="1910" w:type="dxa"/>
            <w:vMerge w:val="restart"/>
            <w:tcBorders>
              <w:top w:val="single" w:sz="4" w:color="000000"/>
              <w:left w:val="single" w:sz="4" w:color="000000"/>
              <w:bottom w:val="single" w:sz="4" w:color="000000"/>
              <w:right w:val="single" w:sz="4" w:color="000000"/>
            </w:tcBorders>
            <w:shd w:val="clear" w:fill="ffff99"/>
            <w:vAlign w:val="center"/>
          </w:tcPr>
          <w:p>
            <w:pPr>
              <w:spacing w:before="0" w:after="12" w:line="259" w:lineRule="auto"/>
              <w:ind w:left="0" w:right="40" w:firstLine="0"/>
              <w:jc w:val="center"/>
            </w:pPr>
            <w:r>
              <w:rPr>
                <w:rFonts w:cs="Cambria" w:hAnsi="Cambria" w:eastAsia="Cambria" w:ascii="Cambria"/>
                <w:b w:val="1"/>
                <w:sz w:val="18"/>
              </w:rPr>
              <w:t xml:space="preserve">RESPONSIBLE </w:t>
            </w:r>
          </w:p>
          <w:p>
            <w:pPr>
              <w:spacing w:before="0" w:after="0" w:line="259" w:lineRule="auto"/>
              <w:ind w:left="0" w:right="40" w:firstLine="0"/>
              <w:jc w:val="center"/>
            </w:pPr>
            <w:r>
              <w:rPr>
                <w:rFonts w:cs="Cambria" w:hAnsi="Cambria" w:eastAsia="Cambria" w:ascii="Cambria"/>
                <w:b w:val="1"/>
                <w:sz w:val="18"/>
              </w:rPr>
              <w:t xml:space="preserve">PARTY</w:t>
            </w:r>
            <w:r>
              <w:rPr>
                <w:rFonts w:cs="Cambria" w:hAnsi="Cambria" w:eastAsia="Cambria" w:ascii="Cambria"/>
                <w:b w:val="1"/>
                <w:sz w:val="18"/>
              </w:rPr>
              <w:t xml:space="preserve"> </w:t>
            </w:r>
          </w:p>
        </w:tc>
        <w:tc>
          <w:tcPr>
            <w:tcW w:w="2914" w:type="dxa"/>
            <w:gridSpan w:val="2"/>
            <w:tcBorders>
              <w:top w:val="single" w:sz="4" w:color="000000"/>
              <w:left w:val="single" w:sz="4" w:color="000000"/>
              <w:bottom w:val="single" w:sz="4" w:color="000000"/>
              <w:right w:val="nil"/>
            </w:tcBorders>
            <w:shd w:val="clear" w:fill="ffff99"/>
            <w:vAlign w:val="top"/>
          </w:tcPr>
          <w:p>
            <w:pPr>
              <w:spacing w:before="0" w:after="0" w:line="259" w:lineRule="auto"/>
              <w:ind w:left="0" w:right="34" w:firstLine="0"/>
              <w:jc w:val="right"/>
            </w:pPr>
            <w:r>
              <w:rPr>
                <w:rFonts w:cs="Cambria" w:hAnsi="Cambria" w:eastAsia="Cambria" w:ascii="Cambria"/>
                <w:b w:val="1"/>
                <w:sz w:val="18"/>
              </w:rPr>
              <w:t xml:space="preserve">PLANNED BUDGET</w:t>
            </w:r>
            <w:r>
              <w:rPr>
                <w:rFonts w:cs="Cambria" w:hAnsi="Cambria" w:eastAsia="Cambria" w:ascii="Cambria"/>
                <w:b w:val="1"/>
                <w:sz w:val="18"/>
              </w:rPr>
              <w:t xml:space="preserve"> </w:t>
            </w:r>
          </w:p>
        </w:tc>
        <w:tc>
          <w:tcPr>
            <w:tcW w:w="1264" w:type="dxa"/>
            <w:tcBorders>
              <w:top w:val="single" w:sz="4" w:color="000000"/>
              <w:left w:val="nil"/>
              <w:bottom w:val="single" w:sz="4" w:color="000000"/>
              <w:right w:val="single" w:sz="4" w:color="000000"/>
            </w:tcBorders>
            <w:shd w:val="clear" w:fill="ffff99"/>
            <w:vAlign w:val="bottom"/>
          </w:tcPr>
          <w:p>
            <w:pPr>
              <w:bidi w:val="0"/>
              <w:spacing w:before="0" w:after="160" w:line="259" w:lineRule="auto"/>
              <w:ind w:left="0" w:right="0" w:firstLine="0"/>
              <w:jc w:val="left"/>
            </w:pPr>
          </w:p>
        </w:tc>
      </w:tr>
      <w:tr>
        <w:trPr>
          <w:trHeight w:val="474" w:hRule="atLeast"/>
        </w:trPr>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566"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48" w:firstLine="0"/>
              <w:jc w:val="center"/>
            </w:pPr>
            <w:r>
              <w:rPr>
                <w:sz w:val="16"/>
              </w:rPr>
              <w:t xml:space="preserve">Q1</w:t>
            </w:r>
            <w:r>
              <w:rPr>
                <w:sz w:val="16"/>
              </w:rPr>
              <w:t xml:space="preserve"> </w:t>
            </w:r>
          </w:p>
        </w:tc>
        <w:tc>
          <w:tcPr>
            <w:tcW w:w="566"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48" w:firstLine="0"/>
              <w:jc w:val="center"/>
            </w:pPr>
            <w:r>
              <w:rPr>
                <w:sz w:val="16"/>
              </w:rPr>
              <w:t xml:space="preserve">Q2</w:t>
            </w:r>
            <w:r>
              <w:rPr>
                <w:sz w:val="16"/>
              </w:rPr>
              <w:t xml:space="preserve"> </w:t>
            </w:r>
          </w:p>
        </w:tc>
        <w:tc>
          <w:tcPr>
            <w:tcW w:w="566"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39" w:firstLine="0"/>
              <w:jc w:val="center"/>
            </w:pPr>
            <w:r>
              <w:rPr>
                <w:sz w:val="16"/>
              </w:rPr>
              <w:t xml:space="preserve">Q3</w:t>
            </w:r>
            <w:r>
              <w:rPr>
                <w:sz w:val="16"/>
              </w:rPr>
              <w:t xml:space="preserve"> </w:t>
            </w:r>
          </w:p>
        </w:tc>
        <w:tc>
          <w:tcPr>
            <w:tcW w:w="571"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34" w:firstLine="0"/>
              <w:jc w:val="center"/>
            </w:pPr>
            <w:r>
              <w:rPr>
                <w:sz w:val="16"/>
              </w:rPr>
              <w:t xml:space="preserve">Q4</w:t>
            </w:r>
            <w:r>
              <w:rPr>
                <w:sz w:val="16"/>
              </w:rPr>
              <w:t xml:space="preserve"> </w:t>
            </w:r>
          </w:p>
        </w:tc>
        <w:tc>
          <w:tcPr>
            <w:vMerge w:val="continue"/>
            <w:tcBorders>
              <w:top w:val="nil"/>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462"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42" w:firstLine="0"/>
              <w:jc w:val="center"/>
            </w:pPr>
            <w:r>
              <w:rPr>
                <w:sz w:val="16"/>
              </w:rPr>
              <w:t xml:space="preserve">Funding Source</w:t>
            </w:r>
            <w:r>
              <w:rPr>
                <w:sz w:val="16"/>
              </w:rPr>
              <w:t xml:space="preserve"> </w:t>
            </w:r>
          </w:p>
        </w:tc>
        <w:tc>
          <w:tcPr>
            <w:tcW w:w="1452" w:type="dxa"/>
            <w:tcBorders>
              <w:top w:val="single" w:sz="4" w:color="000000"/>
              <w:left w:val="single" w:sz="4" w:color="000000"/>
              <w:bottom w:val="single" w:sz="4" w:color="000000"/>
              <w:right w:val="single" w:sz="4" w:color="000000"/>
            </w:tcBorders>
            <w:shd w:val="clear" w:fill="ffff99"/>
            <w:vAlign w:val="top"/>
          </w:tcPr>
          <w:p>
            <w:pPr>
              <w:spacing w:before="0" w:after="0" w:line="259" w:lineRule="auto"/>
              <w:ind w:left="32" w:right="40" w:firstLine="0"/>
              <w:jc w:val="center"/>
            </w:pPr>
            <w:r>
              <w:rPr>
                <w:sz w:val="16"/>
              </w:rPr>
              <w:t xml:space="preserve">Budget Description</w:t>
            </w:r>
            <w:r>
              <w:rPr>
                <w:sz w:val="16"/>
              </w:rPr>
              <w:t xml:space="preserve"> </w:t>
            </w:r>
          </w:p>
        </w:tc>
        <w:tc>
          <w:tcPr>
            <w:tcW w:w="1264" w:type="dxa"/>
            <w:tcBorders>
              <w:top w:val="single" w:sz="4" w:color="000000"/>
              <w:left w:val="single" w:sz="4" w:color="000000"/>
              <w:bottom w:val="single" w:sz="4" w:color="000000"/>
              <w:right w:val="single" w:sz="4" w:color="000000"/>
            </w:tcBorders>
            <w:shd w:val="clear" w:fill="ffff99"/>
            <w:vAlign w:val="center"/>
          </w:tcPr>
          <w:p>
            <w:pPr>
              <w:spacing w:before="0" w:after="0" w:line="259" w:lineRule="auto"/>
              <w:ind w:left="0" w:right="50" w:firstLine="0"/>
              <w:jc w:val="center"/>
            </w:pPr>
            <w:r>
              <w:rPr>
                <w:sz w:val="16"/>
              </w:rPr>
              <w:t xml:space="preserve">Amount</w:t>
            </w:r>
            <w:r>
              <w:rPr>
                <w:sz w:val="16"/>
              </w:rPr>
              <w:t xml:space="preserve"> </w:t>
            </w:r>
          </w:p>
        </w:tc>
      </w:tr>
      <w:tr>
        <w:trPr>
          <w:trHeight w:val="7129" w:hRule="atLeast"/>
        </w:trPr>
        <w:tc>
          <w:tcPr>
            <w:tcW w:w="2507" w:type="dxa"/>
            <w:tcBorders>
              <w:top w:val="single" w:sz="4" w:color="000000"/>
              <w:left w:val="single" w:sz="4" w:color="000000"/>
              <w:bottom w:val="single" w:sz="4" w:color="000000"/>
              <w:right w:val="single" w:sz="4" w:color="000000"/>
            </w:tcBorders>
            <w:vAlign w:val="top"/>
          </w:tcPr>
          <w:p>
            <w:pPr>
              <w:spacing w:before="0" w:after="0" w:line="275" w:lineRule="auto"/>
              <w:ind w:left="54" w:right="0" w:firstLine="0"/>
              <w:jc w:val="left"/>
            </w:pPr>
            <w:r>
              <w:rPr>
                <w:rFonts w:cs="Cambria" w:hAnsi="Cambria" w:eastAsia="Cambria" w:ascii="Cambria"/>
                <w:b w:val="1"/>
                <w:i w:val="1"/>
                <w:sz w:val="18"/>
              </w:rPr>
              <w:t xml:space="preserve">Output 1:</w:t>
            </w:r>
            <w:r>
              <w:rPr>
                <w:rFonts w:cs="Cambria" w:hAnsi="Cambria" w:eastAsia="Cambria" w:ascii="Cambria"/>
                <w:i w:val="1"/>
                <w:sz w:val="18"/>
              </w:rPr>
              <w:t xml:space="preserve"> </w:t>
            </w:r>
            <w:r>
              <w:rPr>
                <w:rFonts w:cs="Cambria" w:hAnsi="Cambria" w:eastAsia="Cambria" w:ascii="Cambria"/>
                <w:i w:val="1"/>
                <w:color w:val="1f497d"/>
                <w:sz w:val="18"/>
              </w:rPr>
              <w:t xml:space="preserve">Community</w:t>
            </w:r>
            <w:r>
              <w:rPr>
                <w:rFonts w:cs="Cambria" w:hAnsi="Cambria" w:eastAsia="Cambria" w:ascii="Cambria"/>
                <w:i w:val="1"/>
                <w:sz w:val="18"/>
              </w:rPr>
              <w:t xml:space="preserve"> </w:t>
            </w:r>
            <w:r>
              <w:rPr>
                <w:rFonts w:cs="Cambria" w:hAnsi="Cambria" w:eastAsia="Cambria" w:ascii="Cambria"/>
                <w:i w:val="1"/>
                <w:sz w:val="18"/>
              </w:rPr>
              <w:t xml:space="preserve">justice, security and social cohesion increased 	for 	peaceful resolution 	of 	disputes, 	in particular as related to land and women’s issues</w:t>
            </w:r>
            <w:r>
              <w:rPr>
                <w:rFonts w:cs="Cambria" w:hAnsi="Cambria" w:eastAsia="Cambria" w:ascii="Cambria"/>
                <w:i w:val="1"/>
                <w:sz w:val="18"/>
              </w:rPr>
              <w:t xml:space="preserve"> </w:t>
            </w:r>
          </w:p>
          <w:p>
            <w:pPr>
              <w:spacing w:before="0" w:after="12" w:line="259" w:lineRule="auto"/>
              <w:ind w:left="54" w:right="0" w:firstLine="0"/>
              <w:jc w:val="left"/>
            </w:pPr>
            <w:r>
              <w:rPr>
                <w:sz w:val="18"/>
              </w:rPr>
              <w:t xml:space="preserve"> </w:t>
            </w:r>
          </w:p>
          <w:p>
            <w:pPr>
              <w:spacing w:before="0" w:after="0" w:line="259" w:lineRule="auto"/>
              <w:ind w:left="54" w:right="0" w:firstLine="0"/>
              <w:jc w:val="left"/>
            </w:pPr>
            <w:r>
              <w:rPr>
                <w:rFonts w:cs="Cambria" w:hAnsi="Cambria" w:eastAsia="Cambria" w:ascii="Cambria"/>
                <w:b w:val="1"/>
                <w:i w:val="1"/>
                <w:sz w:val="18"/>
              </w:rPr>
              <w:t xml:space="preserve">Baselines</w:t>
            </w:r>
            <w:r>
              <w:rPr>
                <w:rFonts w:cs="Cambria" w:hAnsi="Cambria" w:eastAsia="Cambria" w:ascii="Cambria"/>
                <w:b w:val="1"/>
                <w:i w:val="1"/>
                <w:sz w:val="18"/>
              </w:rPr>
              <w:t xml:space="preserve">:</w:t>
            </w:r>
            <w:r>
              <w:rPr>
                <w:rFonts w:cs="Cambria" w:hAnsi="Cambria" w:eastAsia="Cambria" w:ascii="Cambria"/>
                <w:b w:val="1"/>
                <w:i w:val="1"/>
                <w:sz w:val="18"/>
              </w:rPr>
              <w:t xml:space="preserve"> </w:t>
            </w:r>
          </w:p>
          <w:p>
            <w:pPr>
              <w:spacing w:before="0" w:after="0" w:line="275" w:lineRule="auto"/>
              <w:ind w:left="54" w:right="193" w:firstLine="0"/>
            </w:pPr>
            <w:r>
              <w:rPr>
                <w:sz w:val="16"/>
              </w:rPr>
              <w:t xml:space="preserve">-</w:t>
            </w:r>
            <w:r>
              <w:rPr>
                <w:sz w:val="16"/>
              </w:rPr>
              <w:t xml:space="preserve">Mid</w:t>
            </w:r>
            <w:r>
              <w:rPr>
                <w:sz w:val="16"/>
              </w:rPr>
              <w:t xml:space="preserve">-</w:t>
            </w:r>
            <w:r>
              <w:rPr>
                <w:sz w:val="16"/>
              </w:rPr>
              <w:t xml:space="preserve">Term Review PRDP I including data on disputes: 69% of counties raising land conflicts as problem; 58% violence against women and children; </w:t>
            </w:r>
          </w:p>
          <w:p>
            <w:pPr>
              <w:spacing w:before="0" w:after="27" w:line="259" w:lineRule="auto"/>
              <w:ind w:left="54" w:right="0" w:firstLine="0"/>
              <w:jc w:val="left"/>
            </w:pPr>
            <w:r>
              <w:rPr>
                <w:sz w:val="16"/>
              </w:rPr>
              <w:t xml:space="preserve">20% increase in crime. </w:t>
            </w:r>
            <w:r>
              <w:rPr>
                <w:sz w:val="16"/>
                <w:vertAlign w:val="superscript"/>
              </w:rPr>
              <w:footnoteReference w:id="60"/>
            </w:r>
            <w:r>
              <w:rPr>
                <w:sz w:val="16"/>
              </w:rPr>
              <w:t xml:space="preserve"> </w:t>
            </w:r>
          </w:p>
          <w:p>
            <w:pPr>
              <w:spacing w:before="0" w:after="14" w:line="259" w:lineRule="auto"/>
              <w:ind w:left="54" w:right="0" w:firstLine="0"/>
              <w:jc w:val="left"/>
            </w:pPr>
            <w:r>
              <w:rPr>
                <w:sz w:val="16"/>
              </w:rPr>
              <w:t xml:space="preserve"> </w:t>
            </w:r>
          </w:p>
          <w:p>
            <w:pPr>
              <w:spacing w:before="0" w:after="0" w:line="277" w:lineRule="auto"/>
              <w:ind w:left="54" w:right="87" w:firstLine="0"/>
              <w:jc w:val="left"/>
            </w:pPr>
            <w:r>
              <w:rPr>
                <w:sz w:val="16"/>
              </w:rPr>
              <w:t xml:space="preserve">-</w:t>
            </w:r>
            <w:r>
              <w:rPr>
                <w:sz w:val="16"/>
              </w:rPr>
              <w:t xml:space="preserve">Burke and Egaru, on behalf of the UN Peacebuilding Programme in Acholi, </w:t>
            </w:r>
            <w:r>
              <w:rPr>
                <w:rFonts w:cs="Cambria" w:hAnsi="Cambria" w:eastAsia="Cambria" w:ascii="Cambria"/>
                <w:i w:val="1"/>
                <w:sz w:val="16"/>
              </w:rPr>
              <w:t xml:space="preserve">identification of good practices in land conflict resolution in Acholi Land, </w:t>
            </w:r>
            <w:r>
              <w:rPr>
                <w:sz w:val="16"/>
              </w:rPr>
              <w:t xml:space="preserve">November 2011.</w:t>
            </w:r>
            <w:r>
              <w:rPr>
                <w:sz w:val="16"/>
              </w:rPr>
              <w:t xml:space="preserve"> </w:t>
            </w:r>
          </w:p>
          <w:p>
            <w:pPr>
              <w:spacing w:before="0" w:after="33" w:line="259" w:lineRule="auto"/>
              <w:ind w:left="54" w:right="0" w:firstLine="0"/>
              <w:jc w:val="left"/>
            </w:pPr>
            <w:r>
              <w:rPr>
                <w:sz w:val="16"/>
              </w:rPr>
              <w:t xml:space="preserve"> </w:t>
            </w:r>
          </w:p>
          <w:p>
            <w:pPr>
              <w:spacing w:before="0" w:after="7" w:line="259" w:lineRule="auto"/>
              <w:ind w:left="54" w:right="0" w:firstLine="0"/>
              <w:jc w:val="left"/>
            </w:pPr>
            <w:r>
              <w:rPr>
                <w:rFonts w:cs="Cambria" w:hAnsi="Cambria" w:eastAsia="Cambria" w:ascii="Cambria"/>
                <w:b w:val="1"/>
                <w:i w:val="1"/>
                <w:sz w:val="18"/>
              </w:rPr>
              <w:t xml:space="preserve">Indicators:</w:t>
            </w:r>
            <w:r>
              <w:rPr>
                <w:rFonts w:cs="Cambria" w:hAnsi="Cambria" w:eastAsia="Cambria" w:ascii="Cambria"/>
                <w:b w:val="1"/>
                <w:i w:val="1"/>
                <w:sz w:val="18"/>
              </w:rPr>
              <w:t xml:space="preserve"> </w:t>
            </w:r>
          </w:p>
          <w:p>
            <w:pPr>
              <w:spacing w:before="0" w:after="13" w:line="259" w:lineRule="auto"/>
              <w:ind w:left="54" w:right="0" w:firstLine="0"/>
              <w:jc w:val="left"/>
            </w:pPr>
            <w:r>
              <w:rPr>
                <w:rFonts w:cs="Cambria" w:hAnsi="Cambria" w:eastAsia="Cambria" w:ascii="Cambria"/>
                <w:i w:val="1"/>
                <w:sz w:val="18"/>
              </w:rPr>
              <w:t xml:space="preserve"> </w:t>
            </w:r>
          </w:p>
          <w:p>
            <w:pPr>
              <w:spacing w:before="0" w:after="0" w:line="259" w:lineRule="auto"/>
              <w:ind w:left="54" w:right="0" w:firstLine="0"/>
              <w:jc w:val="left"/>
            </w:pPr>
            <w:r>
              <w:rPr>
                <w:sz w:val="16"/>
              </w:rPr>
              <w:t xml:space="preserve">-</w:t>
            </w:r>
            <w:r>
              <w:rPr>
                <w:sz w:val="18"/>
              </w:rPr>
              <w:t xml:space="preserve">% reduction in Crime statistics disaggregated by category (violence/crime related to women’s issues (broken down by category </w:t>
            </w:r>
            <w:r>
              <w:rPr>
                <w:sz w:val="18"/>
              </w:rPr>
              <w:t xml:space="preserve">– </w:t>
            </w:r>
            <w:r>
              <w:rPr>
                <w:sz w:val="18"/>
              </w:rPr>
              <w:t xml:space="preserve">domestic/sexual assault etc.) </w:t>
            </w:r>
          </w:p>
        </w:tc>
        <w:tc>
          <w:tcPr>
            <w:tcW w:w="2309" w:type="dxa"/>
            <w:tcBorders>
              <w:top w:val="single" w:sz="4" w:color="000000"/>
              <w:left w:val="single" w:sz="4" w:color="000000"/>
              <w:bottom w:val="single" w:sz="4" w:color="000000"/>
              <w:right w:val="single" w:sz="4" w:color="000000"/>
            </w:tcBorders>
            <w:vAlign w:val="top"/>
          </w:tcPr>
          <w:p>
            <w:pPr>
              <w:spacing w:before="0" w:after="14" w:line="259" w:lineRule="auto"/>
              <w:ind w:left="53" w:right="0" w:firstLine="0"/>
              <w:jc w:val="left"/>
            </w:pPr>
            <w:r>
              <w:rPr>
                <w:rFonts w:cs="Cambria" w:hAnsi="Cambria" w:eastAsia="Cambria" w:ascii="Cambria"/>
                <w:b w:val="1"/>
                <w:sz w:val="16"/>
              </w:rPr>
              <w:t xml:space="preserve">Activity result</w:t>
            </w:r>
            <w:r>
              <w:rPr>
                <w:rFonts w:cs="Cambria" w:hAnsi="Cambria" w:eastAsia="Cambria" w:ascii="Cambria"/>
                <w:b w:val="1"/>
                <w:sz w:val="16"/>
              </w:rPr>
              <w:t xml:space="preserve"> </w:t>
            </w:r>
            <w:r>
              <w:rPr>
                <w:rFonts w:cs="Cambria" w:hAnsi="Cambria" w:eastAsia="Cambria" w:ascii="Cambria"/>
                <w:b w:val="1"/>
                <w:sz w:val="16"/>
              </w:rPr>
              <w:t xml:space="preserve">1.1:</w:t>
            </w:r>
            <w:r>
              <w:rPr>
                <w:sz w:val="16"/>
              </w:rPr>
              <w:t xml:space="preserve"> </w:t>
            </w:r>
          </w:p>
          <w:p>
            <w:pPr>
              <w:spacing w:before="0" w:after="0" w:line="277" w:lineRule="auto"/>
              <w:ind w:left="53" w:right="222" w:firstLine="0"/>
            </w:pPr>
            <w:r>
              <w:rPr>
                <w:sz w:val="16"/>
              </w:rPr>
              <w:t xml:space="preserve">Community security services and public confidence increased, in particular for </w:t>
            </w:r>
          </w:p>
          <w:p>
            <w:pPr>
              <w:spacing w:before="0" w:after="14" w:line="259" w:lineRule="auto"/>
              <w:ind w:left="53" w:right="0" w:firstLine="0"/>
              <w:jc w:val="left"/>
            </w:pPr>
            <w:r>
              <w:rPr>
                <w:sz w:val="16"/>
              </w:rPr>
              <w:t xml:space="preserve">women</w:t>
            </w:r>
            <w:r>
              <w:rPr>
                <w:sz w:val="16"/>
              </w:rPr>
              <w:t xml:space="preserve"> </w:t>
            </w:r>
          </w:p>
          <w:p>
            <w:pPr>
              <w:spacing w:before="0" w:after="14" w:line="259" w:lineRule="auto"/>
              <w:ind w:left="53" w:right="0" w:firstLine="0"/>
              <w:jc w:val="left"/>
            </w:pPr>
            <w:r>
              <w:rPr>
                <w:sz w:val="16"/>
              </w:rPr>
              <w:t xml:space="preserve"> </w:t>
            </w:r>
          </w:p>
          <w:p>
            <w:pPr>
              <w:spacing w:before="0" w:after="0" w:line="247" w:lineRule="auto"/>
              <w:ind w:left="53" w:right="139" w:firstLine="0"/>
              <w:jc w:val="left"/>
            </w:pPr>
            <w:r>
              <w:rPr>
                <w:rFonts w:cs="Cambria" w:hAnsi="Cambria" w:eastAsia="Cambria" w:ascii="Cambria"/>
                <w:b w:val="1"/>
                <w:sz w:val="16"/>
              </w:rPr>
              <w:t xml:space="preserve">Activity actions:</w:t>
            </w:r>
            <w:r>
              <w:rPr>
                <w:rFonts w:cs="Cambria" w:hAnsi="Cambria" w:eastAsia="Cambria" w:ascii="Cambria"/>
                <w:b w:val="1"/>
                <w:sz w:val="16"/>
              </w:rPr>
              <w:t xml:space="preserve"> </w:t>
            </w:r>
            <w:r>
              <w:rPr>
                <w:sz w:val="16"/>
              </w:rPr>
              <w:t xml:space="preserve">- </w:t>
            </w:r>
            <w:r>
              <w:rPr>
                <w:sz w:val="16"/>
              </w:rPr>
              <w:t xml:space="preserve">Capacity development assessments of needs essential for increasing police reach&amp; community policing in remote areas</w:t>
            </w:r>
            <w:r>
              <w:rPr>
                <w:sz w:val="16"/>
                <w:vertAlign w:val="superscript"/>
              </w:rPr>
              <w:t xml:space="preserve">55</w:t>
            </w:r>
            <w:r>
              <w:rPr>
                <w:sz w:val="16"/>
              </w:rPr>
              <w:t xml:space="preserve">, and special awareness programmes for youth and women on issues </w:t>
            </w:r>
          </w:p>
          <w:p>
            <w:pPr>
              <w:spacing w:before="0" w:after="0" w:line="259" w:lineRule="auto"/>
              <w:ind w:left="53" w:right="0" w:firstLine="0"/>
              <w:jc w:val="left"/>
            </w:pPr>
            <w:r>
              <w:rPr>
                <w:sz w:val="16"/>
              </w:rPr>
              <w:t xml:space="preserve">regarding land</w:t>
            </w:r>
            <w:r>
              <w:rPr>
                <w:sz w:val="16"/>
              </w:rPr>
              <w:t xml:space="preserve">  </w:t>
            </w:r>
          </w:p>
          <w:p>
            <w:pPr>
              <w:spacing w:before="0" w:after="0" w:line="259" w:lineRule="auto"/>
              <w:ind w:left="53" w:right="0" w:firstLine="0"/>
              <w:jc w:val="left"/>
            </w:pPr>
            <w:r>
              <w:rPr>
                <w:sz w:val="16"/>
              </w:rPr>
              <w:t xml:space="preserve"> </w:t>
            </w:r>
          </w:p>
          <w:p>
            <w:pPr>
              <w:numPr>
                <w:ilvl w:val="0"/>
                <w:numId w:val="25"/>
              </w:numPr>
              <w:spacing w:before="0" w:after="0" w:line="243" w:lineRule="auto"/>
              <w:ind w:left="53" w:right="130" w:firstLine="0"/>
              <w:jc w:val="left"/>
            </w:pPr>
            <w:r>
              <w:rPr>
                <w:sz w:val="16"/>
              </w:rPr>
              <w:t xml:space="preserve">Developing capacity building plan for the police in the target districts</w:t>
            </w:r>
            <w:r>
              <w:rPr>
                <w:sz w:val="16"/>
              </w:rPr>
              <w:t xml:space="preserve"> </w:t>
            </w:r>
          </w:p>
          <w:p>
            <w:pPr>
              <w:spacing w:before="0" w:after="0" w:line="259" w:lineRule="auto"/>
              <w:ind w:left="53" w:right="0" w:firstLine="0"/>
              <w:jc w:val="left"/>
            </w:pPr>
            <w:r>
              <w:rPr>
                <w:sz w:val="16"/>
              </w:rPr>
              <w:t xml:space="preserve"> </w:t>
            </w:r>
          </w:p>
          <w:p>
            <w:pPr>
              <w:numPr>
                <w:ilvl w:val="0"/>
                <w:numId w:val="25"/>
              </w:numPr>
              <w:spacing w:before="0" w:after="0" w:line="240" w:lineRule="auto"/>
              <w:ind w:left="53" w:right="130" w:firstLine="0"/>
              <w:jc w:val="left"/>
            </w:pPr>
            <w:r>
              <w:rPr>
                <w:sz w:val="16"/>
              </w:rPr>
              <w:t xml:space="preserve">Undertaking technical capacity building for the police from</w:t>
            </w:r>
            <w:r>
              <w:rPr>
                <w:sz w:val="16"/>
              </w:rPr>
              <w:t xml:space="preserve"> </w:t>
            </w:r>
            <w:r>
              <w:rPr>
                <w:sz w:val="16"/>
              </w:rPr>
              <w:t xml:space="preserve">the target districts</w:t>
            </w:r>
            <w:r>
              <w:rPr>
                <w:sz w:val="16"/>
              </w:rPr>
              <w:t xml:space="preserve"> </w:t>
            </w:r>
          </w:p>
          <w:p>
            <w:pPr>
              <w:spacing w:before="0" w:after="0" w:line="259" w:lineRule="auto"/>
              <w:ind w:left="53" w:right="0" w:firstLine="0"/>
              <w:jc w:val="left"/>
            </w:pPr>
            <w:r>
              <w:rPr>
                <w:sz w:val="16"/>
              </w:rPr>
              <w:t xml:space="preserve"> </w:t>
            </w:r>
          </w:p>
          <w:p>
            <w:pPr>
              <w:numPr>
                <w:ilvl w:val="0"/>
                <w:numId w:val="25"/>
              </w:numPr>
              <w:spacing w:before="0" w:after="0" w:line="240" w:lineRule="auto"/>
              <w:ind w:left="53" w:right="130" w:firstLine="0"/>
              <w:jc w:val="left"/>
            </w:pPr>
            <w:r>
              <w:rPr>
                <w:sz w:val="16"/>
              </w:rPr>
              <w:t xml:space="preserve">Procurement of logistics for the police in the target districts</w:t>
            </w:r>
            <w:r>
              <w:rPr>
                <w:sz w:val="16"/>
              </w:rPr>
              <w:t xml:space="preserve"> </w:t>
            </w:r>
          </w:p>
          <w:p>
            <w:pPr>
              <w:spacing w:before="0" w:after="0" w:line="259" w:lineRule="auto"/>
              <w:ind w:left="53" w:right="0" w:firstLine="0"/>
              <w:jc w:val="left"/>
            </w:pPr>
            <w:r>
              <w:rPr>
                <w:sz w:val="16"/>
              </w:rPr>
              <w:t xml:space="preserve"> </w:t>
            </w:r>
          </w:p>
          <w:p>
            <w:pPr>
              <w:numPr>
                <w:ilvl w:val="0"/>
                <w:numId w:val="25"/>
              </w:numPr>
              <w:spacing w:before="0" w:after="0" w:line="259" w:lineRule="auto"/>
              <w:ind w:left="53" w:right="130" w:firstLine="0"/>
              <w:jc w:val="left"/>
            </w:pPr>
            <w:r>
              <w:rPr>
                <w:sz w:val="16"/>
              </w:rPr>
              <w:t xml:space="preserve">Review of partnership </w:t>
            </w:r>
          </w:p>
          <w:p>
            <w:pPr>
              <w:spacing w:before="0" w:after="0" w:line="259" w:lineRule="auto"/>
              <w:ind w:left="53" w:right="0" w:firstLine="0"/>
              <w:jc w:val="left"/>
            </w:pPr>
            <w:r>
              <w:rPr>
                <w:sz w:val="16"/>
              </w:rPr>
              <w:t xml:space="preserve">between the police and UNDP</w:t>
            </w:r>
            <w:r>
              <w:rPr>
                <w:sz w:val="16"/>
              </w:rPr>
              <w:t xml:space="preserve"> </w:t>
            </w:r>
          </w:p>
          <w:p>
            <w:pPr>
              <w:spacing w:before="0" w:after="14" w:line="259" w:lineRule="auto"/>
              <w:ind w:left="53" w:right="0" w:firstLine="0"/>
              <w:jc w:val="left"/>
            </w:pPr>
            <w:r>
              <w:rPr>
                <w:sz w:val="16"/>
              </w:rPr>
              <w:t xml:space="preserve"> </w:t>
            </w:r>
          </w:p>
          <w:p>
            <w:pPr>
              <w:spacing w:before="0" w:after="14" w:line="259" w:lineRule="auto"/>
              <w:ind w:left="53" w:right="0" w:firstLine="0"/>
              <w:jc w:val="left"/>
            </w:pPr>
            <w:r>
              <w:rPr>
                <w:sz w:val="16"/>
              </w:rPr>
              <w:t xml:space="preserve"> </w:t>
            </w:r>
          </w:p>
          <w:p>
            <w:pPr>
              <w:spacing w:before="0" w:after="14" w:line="259" w:lineRule="auto"/>
              <w:ind w:left="53" w:right="0" w:firstLine="0"/>
              <w:jc w:val="left"/>
            </w:pPr>
            <w:r>
              <w:rPr>
                <w:sz w:val="16"/>
              </w:rPr>
              <w:t xml:space="preserve"> </w:t>
            </w:r>
          </w:p>
          <w:p>
            <w:pPr>
              <w:spacing w:before="0" w:after="14" w:line="259" w:lineRule="auto"/>
              <w:ind w:left="53" w:right="0" w:firstLine="0"/>
              <w:jc w:val="left"/>
            </w:pPr>
            <w:r>
              <w:rPr>
                <w:sz w:val="16"/>
              </w:rPr>
              <w:t xml:space="preserve"> </w:t>
            </w:r>
          </w:p>
          <w:p>
            <w:pPr>
              <w:spacing w:before="0" w:after="14" w:line="259" w:lineRule="auto"/>
              <w:ind w:left="53" w:right="0" w:firstLine="0"/>
              <w:jc w:val="left"/>
            </w:pPr>
            <w:r>
              <w:rPr>
                <w:sz w:val="16"/>
              </w:rPr>
              <w:t xml:space="preserve"> </w:t>
            </w:r>
          </w:p>
          <w:p>
            <w:pPr>
              <w:spacing w:before="0" w:after="0" w:line="259" w:lineRule="auto"/>
              <w:ind w:left="53" w:right="0" w:firstLine="0"/>
              <w:jc w:val="left"/>
            </w:pPr>
            <w:r>
              <w:rPr>
                <w:sz w:val="16"/>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53"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3"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8"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8"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2" w:line="270" w:lineRule="auto"/>
              <w:ind w:left="53" w:right="92" w:firstLine="0"/>
            </w:pPr>
            <w:r>
              <w:rPr>
                <w:sz w:val="18"/>
              </w:rPr>
              <w:t xml:space="preserve">JLOS local and national institutions, CSOs, Ministry of </w:t>
            </w:r>
          </w:p>
          <w:p>
            <w:pPr>
              <w:spacing w:before="0" w:after="0" w:line="259" w:lineRule="auto"/>
              <w:ind w:left="53" w:right="0" w:firstLine="0"/>
              <w:jc w:val="left"/>
            </w:pPr>
            <w:r>
              <w:rPr>
                <w:sz w:val="18"/>
              </w:rPr>
              <w:t xml:space="preserve">Justice,  UNDP</w:t>
            </w:r>
            <w:r>
              <w:rPr>
                <w:sz w:val="18"/>
              </w:rPr>
              <w:t xml:space="preserve"> </w:t>
            </w:r>
          </w:p>
        </w:tc>
        <w:tc>
          <w:tcPr>
            <w:tcW w:w="1462" w:type="dxa"/>
            <w:tcBorders>
              <w:top w:val="single" w:sz="4" w:color="000000"/>
              <w:left w:val="single" w:sz="4" w:color="000000"/>
              <w:bottom w:val="single" w:sz="4" w:color="000000"/>
              <w:right w:val="single" w:sz="4" w:color="000000"/>
            </w:tcBorders>
            <w:vAlign w:val="top"/>
          </w:tcPr>
          <w:p>
            <w:pPr>
              <w:spacing w:before="0" w:after="0" w:line="259" w:lineRule="auto"/>
              <w:ind w:left="58" w:right="0" w:firstLine="0"/>
              <w:jc w:val="left"/>
            </w:pPr>
            <w:r>
              <w:rPr>
                <w:sz w:val="18"/>
              </w:rPr>
              <w:t xml:space="preserve">UNDP/BCPR </w:t>
            </w:r>
            <w:r>
              <w:rPr>
                <w:sz w:val="18"/>
              </w:rPr>
              <w:t xml:space="preserve"> </w:t>
            </w:r>
          </w:p>
        </w:tc>
        <w:tc>
          <w:tcPr>
            <w:tcW w:w="1452" w:type="dxa"/>
            <w:tcBorders>
              <w:top w:val="single" w:sz="4" w:color="000000"/>
              <w:left w:val="single" w:sz="4" w:color="000000"/>
              <w:bottom w:val="single" w:sz="4" w:color="000000"/>
              <w:right w:val="single" w:sz="4" w:color="000000"/>
            </w:tcBorders>
            <w:vAlign w:val="top"/>
          </w:tcPr>
          <w:p>
            <w:pPr>
              <w:spacing w:before="0" w:after="12" w:line="259" w:lineRule="auto"/>
              <w:ind w:left="55" w:right="0" w:firstLine="0"/>
              <w:jc w:val="left"/>
            </w:pPr>
            <w:r>
              <w:rPr>
                <w:sz w:val="18"/>
              </w:rPr>
              <w:t xml:space="preserve">Consultancy </w:t>
            </w:r>
          </w:p>
          <w:p>
            <w:pPr>
              <w:spacing w:before="0" w:after="5" w:line="267" w:lineRule="auto"/>
              <w:ind w:left="55" w:right="0" w:firstLine="0"/>
              <w:jc w:val="left"/>
            </w:pPr>
            <w:r>
              <w:rPr>
                <w:sz w:val="18"/>
              </w:rPr>
              <w:t xml:space="preserve">fees, professional </w:t>
            </w:r>
          </w:p>
          <w:p>
            <w:pPr>
              <w:spacing w:before="0" w:after="0" w:line="259" w:lineRule="auto"/>
              <w:ind w:left="55" w:right="6" w:firstLine="0"/>
              <w:jc w:val="left"/>
            </w:pPr>
            <w:r>
              <w:rPr>
                <w:sz w:val="18"/>
              </w:rPr>
              <w:t xml:space="preserve">services, training 	fees, supplier costs</w:t>
            </w:r>
            <w:r>
              <w:rPr>
                <w:sz w:val="18"/>
              </w:rPr>
              <w:t xml:space="preserve"> </w:t>
            </w:r>
          </w:p>
        </w:tc>
        <w:tc>
          <w:tcPr>
            <w:tcW w:w="1264" w:type="dxa"/>
            <w:tcBorders>
              <w:top w:val="single" w:sz="4" w:color="000000"/>
              <w:left w:val="single" w:sz="4" w:color="000000"/>
              <w:bottom w:val="single" w:sz="4" w:color="000000"/>
              <w:right w:val="single" w:sz="4" w:color="000000"/>
            </w:tcBorders>
            <w:vAlign w:val="top"/>
          </w:tcPr>
          <w:p>
            <w:pPr>
              <w:spacing w:before="0" w:after="0" w:line="259" w:lineRule="auto"/>
              <w:ind w:left="53" w:right="0" w:firstLine="0"/>
              <w:jc w:val="left"/>
            </w:pPr>
            <w:r>
              <w:rPr>
                <w:sz w:val="18"/>
              </w:rPr>
              <w:t xml:space="preserve">110,000</w:t>
            </w:r>
            <w:r>
              <w:rPr>
                <w:sz w:val="18"/>
              </w:rPr>
              <w:t xml:space="preserve"> </w:t>
            </w:r>
          </w:p>
        </w:tc>
      </w:tr>
    </w:tbl>
    <w:p>
      <w:pPr>
        <w:spacing w:before="0" w:after="0" w:line="259" w:lineRule="auto"/>
        <w:ind w:left="-1440" w:right="14405" w:firstLine="0"/>
        <w:jc w:val="left"/>
      </w:pPr>
    </w:p>
    <w:tbl>
      <w:tblPr>
        <w:tblStyle w:val="TableGrid"/>
        <w:tblW w:w="13181" w:type="dxa"/>
        <w:tblInd w:w="-110" w:type="dxa"/>
        <w:tblCellMar>
          <w:top w:w="30" w:type="dxa"/>
          <w:left w:w="106" w:type="dxa"/>
          <w:bottom w:w="0" w:type="dxa"/>
          <w:right w:w="65" w:type="dxa"/>
        </w:tblCellMar>
      </w:tblPr>
      <w:tblGrid>
        <w:gridCol w:w="2510"/>
        <w:gridCol w:w="2309"/>
        <w:gridCol w:w="566"/>
        <w:gridCol w:w="566"/>
        <w:gridCol w:w="566"/>
        <w:gridCol w:w="571"/>
        <w:gridCol w:w="1910"/>
        <w:gridCol w:w="1459"/>
        <w:gridCol w:w="1454"/>
        <w:gridCol w:w="1267"/>
      </w:tblGrid>
      <w:tr>
        <w:trPr>
          <w:trHeight w:val="307" w:hRule="atLeast"/>
        </w:trPr>
        <w:tc>
          <w:tcPr>
            <w:tcW w:w="2510" w:type="dxa"/>
            <w:vMerge w:val="restart"/>
            <w:tcBorders>
              <w:top w:val="single" w:sz="4" w:color="000000"/>
              <w:left w:val="single" w:sz="4" w:color="000000"/>
              <w:bottom w:val="single" w:sz="4" w:color="000000"/>
              <w:right w:val="single" w:sz="4" w:color="000000"/>
            </w:tcBorders>
            <w:vAlign w:val="top"/>
          </w:tcPr>
          <w:p>
            <w:pPr>
              <w:spacing w:before="0" w:after="0" w:line="271" w:lineRule="auto"/>
              <w:ind w:left="5" w:right="0" w:firstLine="0"/>
              <w:jc w:val="left"/>
            </w:pPr>
            <w:r>
              <w:rPr>
                <w:sz w:val="18"/>
              </w:rPr>
              <w:t xml:space="preserve">land; cattle rustling; mining; </w:t>
            </w:r>
            <w:r>
              <w:rPr>
                <w:sz w:val="18"/>
              </w:rPr>
              <w:t xml:space="preserve"> -</w:t>
            </w:r>
            <w:r>
              <w:rPr>
                <w:sz w:val="18"/>
              </w:rPr>
              <w:t xml:space="preserve">Number of cases taken up and resolved by the LCCs disaggregated by category </w:t>
            </w:r>
          </w:p>
          <w:p>
            <w:pPr>
              <w:spacing w:before="0" w:after="0" w:line="271" w:lineRule="auto"/>
              <w:ind w:left="5" w:right="40" w:firstLine="0"/>
            </w:pPr>
            <w:r>
              <w:rPr>
                <w:sz w:val="18"/>
              </w:rPr>
              <w:t xml:space="preserve">(</w:t>
            </w:r>
            <w:r>
              <w:rPr>
                <w:sz w:val="18"/>
              </w:rPr>
              <w:t xml:space="preserve">i.e.</w:t>
            </w:r>
            <w:r>
              <w:rPr>
                <w:sz w:val="18"/>
              </w:rPr>
              <w:t xml:space="preserve">  </w:t>
            </w:r>
            <w:r>
              <w:rPr>
                <w:sz w:val="18"/>
              </w:rPr>
              <w:t xml:space="preserve">Land, sexual assault etc).</w:t>
            </w:r>
            <w:r>
              <w:rPr>
                <w:sz w:val="18"/>
              </w:rPr>
              <w:t xml:space="preserve"> -</w:t>
            </w:r>
            <w:r>
              <w:rPr>
                <w:sz w:val="18"/>
              </w:rPr>
              <w:t xml:space="preserve">Numbers of prisoners with legal representation from prison services in target areas</w:t>
            </w:r>
            <w:r>
              <w:rPr>
                <w:rFonts w:cs="Cambria" w:hAnsi="Cambria" w:eastAsia="Cambria" w:ascii="Cambria"/>
                <w:i w:val="1"/>
                <w:sz w:val="18"/>
              </w:rPr>
              <w:t xml:space="preserve">  </w:t>
            </w:r>
          </w:p>
          <w:p>
            <w:pPr>
              <w:spacing w:before="0" w:after="36" w:line="259" w:lineRule="auto"/>
              <w:ind w:left="5" w:right="0" w:firstLine="0"/>
              <w:jc w:val="left"/>
            </w:pPr>
            <w:r>
              <w:rPr>
                <w:rFonts w:cs="Cambria" w:hAnsi="Cambria" w:eastAsia="Cambria" w:ascii="Cambria"/>
                <w:i w:val="1"/>
                <w:sz w:val="18"/>
              </w:rPr>
              <w:t xml:space="preserve"> </w:t>
            </w:r>
          </w:p>
          <w:p>
            <w:pPr>
              <w:spacing w:before="0" w:after="67" w:line="259" w:lineRule="auto"/>
              <w:ind w:left="5" w:right="0" w:firstLine="0"/>
              <w:jc w:val="left"/>
            </w:pPr>
            <w:r>
              <w:rPr>
                <w:rFonts w:cs="Cambria" w:hAnsi="Cambria" w:eastAsia="Cambria" w:ascii="Cambria"/>
                <w:b w:val="1"/>
                <w:sz w:val="16"/>
              </w:rPr>
              <w:t xml:space="preserve">Annual Targets:</w:t>
            </w:r>
            <w:r>
              <w:rPr>
                <w:rFonts w:cs="Cambria" w:hAnsi="Cambria" w:eastAsia="Cambria" w:ascii="Cambria"/>
                <w:b w:val="1"/>
                <w:sz w:val="16"/>
              </w:rPr>
              <w:t xml:space="preserve"> </w:t>
            </w:r>
          </w:p>
          <w:p>
            <w:pPr>
              <w:spacing w:before="0" w:after="0" w:line="271" w:lineRule="auto"/>
              <w:ind w:left="5" w:right="22" w:firstLine="0"/>
              <w:jc w:val="left"/>
            </w:pPr>
            <w:r>
              <w:rPr>
                <w:sz w:val="18"/>
              </w:rPr>
              <w:t xml:space="preserve">- </w:t>
            </w:r>
            <w:r>
              <w:rPr>
                <w:sz w:val="18"/>
              </w:rPr>
              <w:t xml:space="preserve">Baselines for police, human rights coordination, local council courts, and traditional justice institutions established</w:t>
            </w:r>
            <w:r>
              <w:rPr>
                <w:sz w:val="18"/>
              </w:rPr>
              <w:t xml:space="preserve">; </w:t>
            </w:r>
          </w:p>
          <w:p>
            <w:pPr>
              <w:spacing w:before="0" w:after="0" w:line="271" w:lineRule="auto"/>
              <w:ind w:left="5" w:right="0" w:firstLine="0"/>
              <w:jc w:val="left"/>
            </w:pPr>
            <w:r>
              <w:rPr>
                <w:sz w:val="18"/>
              </w:rPr>
              <w:t xml:space="preserve">-</w:t>
            </w:r>
            <w:r>
              <w:rPr>
                <w:sz w:val="18"/>
              </w:rPr>
              <w:t xml:space="preserve">Partnership between UNDP and local police and other justice institutions established;</w:t>
            </w:r>
            <w:r>
              <w:rPr>
                <w:sz w:val="18"/>
              </w:rPr>
              <w:t xml:space="preserve"> </w:t>
            </w:r>
          </w:p>
          <w:p>
            <w:pPr>
              <w:spacing w:before="0" w:after="0" w:line="259" w:lineRule="auto"/>
              <w:ind w:left="5" w:right="0" w:firstLine="0"/>
              <w:jc w:val="left"/>
            </w:pPr>
            <w:r>
              <w:rPr>
                <w:sz w:val="18"/>
              </w:rPr>
              <w:t xml:space="preserve">-</w:t>
            </w:r>
            <w:r>
              <w:rPr>
                <w:sz w:val="18"/>
              </w:rPr>
              <w:t xml:space="preserve">All human, institutional and material capacity development assessments undertaken and plans developed for capacity development</w:t>
            </w:r>
            <w:r>
              <w:rPr>
                <w:sz w:val="18"/>
              </w:rPr>
              <w:t xml:space="preserve">; </w:t>
            </w:r>
          </w:p>
        </w:tc>
        <w:tc>
          <w:tcPr>
            <w:tcW w:w="2309" w:type="dxa"/>
            <w:vMerge w:val="restart"/>
            <w:tcBorders>
              <w:top w:val="single" w:sz="4" w:color="000000"/>
              <w:left w:val="single" w:sz="4" w:color="000000"/>
              <w:bottom w:val="single" w:sz="4" w:color="000000"/>
              <w:right w:val="single" w:sz="4" w:color="000000"/>
            </w:tcBorders>
            <w:vAlign w:val="top"/>
          </w:tcPr>
          <w:p>
            <w:pPr>
              <w:spacing w:before="0" w:after="0" w:line="279" w:lineRule="auto"/>
              <w:ind w:left="0" w:right="50" w:firstLine="0"/>
              <w:jc w:val="left"/>
            </w:pPr>
            <w:r>
              <w:rPr>
                <w:rFonts w:cs="Cambria" w:hAnsi="Cambria" w:eastAsia="Cambria" w:ascii="Cambria"/>
                <w:b w:val="1"/>
                <w:sz w:val="16"/>
              </w:rPr>
              <w:t xml:space="preserve">Activity result</w:t>
            </w:r>
            <w:r>
              <w:rPr>
                <w:rFonts w:cs="Cambria" w:hAnsi="Cambria" w:eastAsia="Cambria" w:ascii="Cambria"/>
                <w:b w:val="1"/>
                <w:sz w:val="16"/>
              </w:rPr>
              <w:t xml:space="preserve"> </w:t>
            </w:r>
            <w:r>
              <w:rPr>
                <w:rFonts w:cs="Cambria" w:hAnsi="Cambria" w:eastAsia="Cambria" w:ascii="Cambria"/>
                <w:b w:val="1"/>
                <w:sz w:val="16"/>
              </w:rPr>
              <w:t xml:space="preserve">1.2: </w:t>
            </w:r>
            <w:r>
              <w:rPr>
                <w:sz w:val="16"/>
              </w:rPr>
              <w:t xml:space="preserve">Capacity</w:t>
            </w:r>
            <w:r>
              <w:rPr>
                <w:sz w:val="16"/>
              </w:rPr>
              <w:t xml:space="preserve"> </w:t>
            </w:r>
            <w:r>
              <w:rPr>
                <w:sz w:val="16"/>
              </w:rPr>
              <w:t xml:space="preserve">of office for human rights coordination 	at 	local government 	level</w:t>
            </w:r>
            <w:r>
              <w:rPr>
                <w:sz w:val="16"/>
              </w:rPr>
              <w:t xml:space="preserve"> </w:t>
            </w:r>
            <w:r>
              <w:rPr>
                <w:sz w:val="16"/>
              </w:rPr>
              <w:t xml:space="preserve">strengthened</w:t>
            </w:r>
            <w:r>
              <w:rPr>
                <w:sz w:val="16"/>
              </w:rPr>
              <w:t xml:space="preserve"> </w:t>
            </w:r>
            <w:r>
              <w:rPr>
                <w:rFonts w:cs="Cambria" w:hAnsi="Cambria" w:eastAsia="Cambria" w:ascii="Cambria"/>
                <w:b w:val="1"/>
                <w:sz w:val="18"/>
              </w:rPr>
              <w:t xml:space="preserve">Activity actions</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35" w:lineRule="auto"/>
              <w:ind w:left="0" w:right="0" w:firstLine="0"/>
            </w:pPr>
            <w:r>
              <w:rPr>
                <w:sz w:val="18"/>
              </w:rPr>
              <w:t xml:space="preserve">-</w:t>
            </w:r>
            <w:r>
              <w:rPr>
                <w:sz w:val="18"/>
              </w:rPr>
              <w:t xml:space="preserve">Needs assessment of the human rights coordination </w:t>
            </w:r>
          </w:p>
          <w:p>
            <w:pPr>
              <w:spacing w:before="0" w:after="0" w:line="259" w:lineRule="auto"/>
              <w:ind w:left="0" w:right="0" w:firstLine="0"/>
              <w:jc w:val="left"/>
            </w:pPr>
            <w:r>
              <w:rPr>
                <w:sz w:val="18"/>
              </w:rPr>
              <w:t xml:space="preserve">office in the target districts</w:t>
            </w:r>
            <w:r>
              <w:rPr>
                <w:sz w:val="18"/>
              </w:rPr>
              <w:t xml:space="preserve"> </w:t>
            </w:r>
          </w:p>
          <w:p>
            <w:pPr>
              <w:spacing w:before="0" w:after="0" w:line="259" w:lineRule="auto"/>
              <w:ind w:left="0" w:right="0" w:firstLine="0"/>
              <w:jc w:val="left"/>
            </w:pPr>
            <w:r>
              <w:rPr>
                <w:sz w:val="18"/>
              </w:rPr>
              <w:t xml:space="preserve"> </w:t>
            </w:r>
          </w:p>
          <w:p>
            <w:pPr>
              <w:spacing w:before="0" w:after="0" w:line="235" w:lineRule="auto"/>
              <w:ind w:left="0" w:right="77" w:firstLine="0"/>
            </w:pPr>
            <w:r>
              <w:rPr>
                <w:sz w:val="18"/>
              </w:rPr>
              <w:t xml:space="preserve">-</w:t>
            </w:r>
            <w:r>
              <w:rPr>
                <w:sz w:val="18"/>
              </w:rPr>
              <w:t xml:space="preserve">Developing capacity building plan for the human rights coordination </w:t>
            </w:r>
          </w:p>
          <w:p>
            <w:pPr>
              <w:spacing w:before="0" w:after="0" w:line="235" w:lineRule="auto"/>
              <w:ind w:left="0" w:right="0" w:firstLine="0"/>
              <w:jc w:val="left"/>
            </w:pPr>
            <w:r>
              <w:rPr>
                <w:sz w:val="18"/>
              </w:rPr>
              <w:t xml:space="preserve">offices in the target districts</w:t>
            </w:r>
            <w:r>
              <w:rPr>
                <w:sz w:val="18"/>
              </w:rPr>
              <w:t xml:space="preserve"> </w:t>
            </w:r>
          </w:p>
          <w:p>
            <w:pPr>
              <w:spacing w:before="0" w:after="0" w:line="259" w:lineRule="auto"/>
              <w:ind w:left="0" w:right="0" w:firstLine="0"/>
              <w:jc w:val="left"/>
            </w:pPr>
            <w:r>
              <w:rPr>
                <w:sz w:val="18"/>
              </w:rPr>
              <w:t xml:space="preserve"> </w:t>
            </w:r>
          </w:p>
          <w:p>
            <w:pPr>
              <w:spacing w:before="0" w:after="0" w:line="235" w:lineRule="auto"/>
              <w:ind w:left="0" w:right="0" w:firstLine="0"/>
              <w:jc w:val="left"/>
            </w:pPr>
            <w:r>
              <w:rPr>
                <w:sz w:val="18"/>
              </w:rPr>
              <w:t xml:space="preserve">-</w:t>
            </w:r>
            <w:r>
              <w:rPr>
                <w:sz w:val="18"/>
              </w:rPr>
              <w:t xml:space="preserve">Undertake technical logistics capacity building for the human rights coordination offices from the target districts</w:t>
            </w:r>
            <w:r>
              <w:rPr>
                <w:sz w:val="18"/>
              </w:rPr>
              <w:t xml:space="preserve"> </w:t>
            </w:r>
          </w:p>
          <w:p>
            <w:pPr>
              <w:spacing w:before="0" w:after="0" w:line="259" w:lineRule="auto"/>
              <w:ind w:left="0" w:right="0" w:firstLine="0"/>
              <w:jc w:val="left"/>
            </w:pPr>
            <w:r>
              <w:rPr>
                <w:sz w:val="18"/>
              </w:rPr>
              <w:t xml:space="preserve"> </w:t>
            </w:r>
          </w:p>
          <w:p>
            <w:pPr>
              <w:spacing w:before="0" w:after="0" w:line="235" w:lineRule="auto"/>
              <w:ind w:left="0" w:right="0" w:firstLine="0"/>
              <w:jc w:val="left"/>
            </w:pPr>
            <w:r>
              <w:rPr>
                <w:sz w:val="18"/>
              </w:rPr>
              <w:t xml:space="preserve">-</w:t>
            </w:r>
            <w:r>
              <w:rPr>
                <w:sz w:val="18"/>
              </w:rPr>
              <w:t xml:space="preserve">Procurement of logistics for the human rights coordination offices in the target districts</w:t>
            </w:r>
            <w:r>
              <w:rPr>
                <w:sz w:val="18"/>
              </w:rPr>
              <w:t xml:space="preserve"> </w:t>
            </w:r>
          </w:p>
          <w:p>
            <w:pPr>
              <w:spacing w:before="0" w:after="0" w:line="259" w:lineRule="auto"/>
              <w:ind w:left="0" w:right="0" w:firstLine="0"/>
              <w:jc w:val="left"/>
            </w:pPr>
            <w:r>
              <w:rPr>
                <w:sz w:val="18"/>
              </w:rPr>
              <w:t xml:space="preserve"> </w:t>
            </w:r>
          </w:p>
          <w:p>
            <w:pPr>
              <w:spacing w:before="0" w:after="0" w:line="235" w:lineRule="auto"/>
              <w:ind w:left="0" w:right="0" w:firstLine="0"/>
              <w:jc w:val="left"/>
            </w:pPr>
            <w:r>
              <w:rPr>
                <w:sz w:val="18"/>
              </w:rPr>
              <w:t xml:space="preserve">-</w:t>
            </w:r>
            <w:r>
              <w:rPr>
                <w:sz w:val="18"/>
              </w:rPr>
              <w:t xml:space="preserve">Establish a central repository for decisions of </w:t>
            </w:r>
          </w:p>
          <w:p>
            <w:pPr>
              <w:spacing w:before="0" w:after="0" w:line="259" w:lineRule="auto"/>
              <w:ind w:left="0" w:right="0" w:firstLine="0"/>
              <w:jc w:val="left"/>
            </w:pPr>
            <w:r>
              <w:rPr>
                <w:sz w:val="18"/>
              </w:rPr>
              <w:t xml:space="preserve">LCCs</w:t>
            </w:r>
            <w:r>
              <w:rPr>
                <w:sz w:val="18"/>
              </w:rPr>
              <w:t xml:space="preserve"> </w:t>
            </w:r>
          </w:p>
          <w:p>
            <w:pPr>
              <w:spacing w:before="0" w:after="0" w:line="259" w:lineRule="auto"/>
              <w:ind w:left="0" w:right="0" w:firstLine="0"/>
              <w:jc w:val="left"/>
            </w:pPr>
            <w:r>
              <w:rPr>
                <w:sz w:val="18"/>
              </w:rPr>
              <w:t xml:space="preserve"> </w:t>
            </w:r>
          </w:p>
          <w:p>
            <w:pPr>
              <w:spacing w:before="0" w:after="0" w:line="273" w:lineRule="auto"/>
              <w:ind w:left="0" w:right="39" w:firstLine="0"/>
            </w:pPr>
            <w:r>
              <w:rPr>
                <w:sz w:val="18"/>
              </w:rPr>
              <w:t xml:space="preserve">-</w:t>
            </w:r>
            <w:r>
              <w:rPr>
                <w:sz w:val="18"/>
              </w:rPr>
              <w:t xml:space="preserve">Review of partnership between the human rights coordination offices and </w:t>
            </w:r>
          </w:p>
          <w:p>
            <w:pPr>
              <w:spacing w:before="0" w:after="0" w:line="259" w:lineRule="auto"/>
              <w:ind w:left="0" w:right="0" w:firstLine="0"/>
              <w:jc w:val="left"/>
            </w:pPr>
            <w:r>
              <w:rPr>
                <w:sz w:val="18"/>
              </w:rPr>
              <w:t xml:space="preserve">UNDP</w:t>
            </w:r>
            <w:r>
              <w:rPr>
                <w:rFonts w:cs="Cambria" w:hAnsi="Cambria" w:eastAsia="Cambria" w:ascii="Cambria"/>
                <w:i w:val="1"/>
                <w:sz w:val="16"/>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r>
      <w:tr>
        <w:trPr>
          <w:trHeight w:val="727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0" w:right="40" w:firstLine="0"/>
            </w:pPr>
            <w:r>
              <w:rPr>
                <w:sz w:val="18"/>
              </w:rPr>
              <w:t xml:space="preserve">JLOS local and national institutions, CSOs, MGLSD,  UNDP</w:t>
            </w:r>
            <w:r>
              <w:rPr>
                <w:sz w:val="18"/>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 </w:t>
            </w:r>
            <w:r>
              <w:rPr>
                <w:sz w:val="18"/>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18"/>
              </w:rPr>
              <w:t xml:space="preserve">Consultancy </w:t>
            </w:r>
          </w:p>
          <w:p>
            <w:pPr>
              <w:spacing w:before="0" w:after="5" w:line="267" w:lineRule="auto"/>
              <w:ind w:left="5" w:right="0" w:firstLine="0"/>
              <w:jc w:val="left"/>
            </w:pPr>
            <w:r>
              <w:rPr>
                <w:sz w:val="18"/>
              </w:rPr>
              <w:t xml:space="preserve">fees, professional </w:t>
            </w:r>
          </w:p>
          <w:p>
            <w:pPr>
              <w:spacing w:before="0" w:after="5" w:line="267" w:lineRule="auto"/>
              <w:ind w:left="5" w:right="0" w:firstLine="0"/>
            </w:pPr>
            <w:r>
              <w:rPr>
                <w:sz w:val="18"/>
              </w:rPr>
              <w:t xml:space="preserve">services, grants for legal </w:t>
            </w:r>
          </w:p>
          <w:p>
            <w:pPr>
              <w:spacing w:before="0" w:after="0" w:line="259" w:lineRule="auto"/>
              <w:ind w:left="5" w:right="0" w:firstLine="0"/>
              <w:jc w:val="left"/>
            </w:pPr>
            <w:r>
              <w:rPr>
                <w:sz w:val="18"/>
              </w:rPr>
              <w:t xml:space="preserve">aid/assistance</w:t>
            </w:r>
            <w:r>
              <w:rPr>
                <w:sz w:val="18"/>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100,000</w:t>
            </w:r>
            <w:r>
              <w:rPr>
                <w:sz w:val="18"/>
              </w:rPr>
              <w:t xml:space="preserve"> </w:t>
            </w:r>
          </w:p>
        </w:tc>
      </w:tr>
      <w:tr>
        <w:trPr>
          <w:trHeight w:val="1709"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09" w:type="dxa"/>
            <w:tcBorders>
              <w:top w:val="single" w:sz="4" w:color="000000"/>
              <w:left w:val="single" w:sz="4" w:color="000000"/>
              <w:bottom w:val="single" w:sz="4" w:color="000000"/>
              <w:right w:val="single" w:sz="4" w:color="000000"/>
            </w:tcBorders>
            <w:vAlign w:val="top"/>
          </w:tcPr>
          <w:p>
            <w:pPr>
              <w:spacing w:before="0" w:after="0" w:line="259" w:lineRule="auto"/>
              <w:ind w:left="0" w:right="39" w:firstLine="0"/>
            </w:pPr>
            <w:r>
              <w:rPr>
                <w:rFonts w:cs="Cambria" w:hAnsi="Cambria" w:eastAsia="Cambria" w:ascii="Cambria"/>
                <w:b w:val="1"/>
                <w:sz w:val="18"/>
              </w:rPr>
              <w:t xml:space="preserve">Activity result</w:t>
            </w:r>
            <w:r>
              <w:rPr>
                <w:rFonts w:cs="Cambria" w:hAnsi="Cambria" w:eastAsia="Cambria" w:ascii="Cambria"/>
                <w:b w:val="1"/>
                <w:sz w:val="18"/>
              </w:rPr>
              <w:t xml:space="preserve"> </w:t>
            </w:r>
            <w:r>
              <w:rPr>
                <w:rFonts w:cs="Cambria" w:hAnsi="Cambria" w:eastAsia="Cambria" w:ascii="Cambria"/>
                <w:b w:val="1"/>
                <w:sz w:val="18"/>
              </w:rPr>
              <w:t xml:space="preserve">1.3:</w:t>
            </w:r>
            <w:r>
              <w:rPr>
                <w:sz w:val="18"/>
              </w:rPr>
              <w:t xml:space="preserve"> </w:t>
            </w:r>
            <w:r>
              <w:rPr>
                <w:sz w:val="18"/>
              </w:rPr>
              <w:t xml:space="preserve">LCCs and traditional justice institutions strengthened for increased prevention and resolution of disputes, in particular as related to land</w:t>
            </w:r>
            <w:r>
              <w:rPr>
                <w:sz w:val="18"/>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5" w:line="267" w:lineRule="auto"/>
              <w:ind w:left="0" w:right="0" w:firstLine="0"/>
            </w:pPr>
            <w:r>
              <w:rPr>
                <w:sz w:val="18"/>
              </w:rPr>
              <w:t xml:space="preserve">JLOS local and national institutions, </w:t>
            </w:r>
          </w:p>
          <w:p>
            <w:pPr>
              <w:spacing w:before="0" w:after="0" w:line="259" w:lineRule="auto"/>
              <w:ind w:left="0" w:right="0" w:firstLine="0"/>
              <w:jc w:val="left"/>
            </w:pPr>
            <w:r>
              <w:rPr>
                <w:sz w:val="18"/>
              </w:rPr>
              <w:t xml:space="preserve">CSOs, UNDP</w:t>
            </w:r>
            <w:r>
              <w:rPr>
                <w:sz w:val="18"/>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 </w:t>
            </w:r>
            <w:r>
              <w:rPr>
                <w:sz w:val="18"/>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7" w:line="259" w:lineRule="auto"/>
              <w:ind w:left="5" w:right="0" w:firstLine="0"/>
              <w:jc w:val="left"/>
            </w:pPr>
            <w:r>
              <w:rPr>
                <w:sz w:val="18"/>
              </w:rPr>
              <w:t xml:space="preserve">Consultancy </w:t>
            </w:r>
          </w:p>
          <w:p>
            <w:pPr>
              <w:spacing w:before="0" w:after="3" w:line="273" w:lineRule="auto"/>
              <w:ind w:left="5" w:right="0" w:firstLine="0"/>
              <w:jc w:val="left"/>
            </w:pPr>
            <w:r>
              <w:rPr>
                <w:sz w:val="18"/>
              </w:rPr>
              <w:t xml:space="preserve">fees, professional services, grants for 	legal </w:t>
            </w:r>
          </w:p>
          <w:p>
            <w:pPr>
              <w:spacing w:before="0" w:after="0" w:line="259" w:lineRule="auto"/>
              <w:ind w:left="5" w:right="0" w:firstLine="0"/>
              <w:jc w:val="left"/>
            </w:pPr>
            <w:r>
              <w:rPr>
                <w:sz w:val="18"/>
              </w:rPr>
              <w:t xml:space="preserve">aid/assistance</w:t>
            </w:r>
            <w:r>
              <w:rPr>
                <w:sz w:val="18"/>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100,000</w:t>
            </w:r>
            <w:r>
              <w:rPr>
                <w:sz w:val="18"/>
              </w:rPr>
              <w:t xml:space="preserve"> </w:t>
            </w:r>
          </w:p>
        </w:tc>
      </w:tr>
    </w:tbl>
    <w:p>
      <w:pPr>
        <w:spacing w:before="0" w:after="0" w:line="259" w:lineRule="auto"/>
        <w:ind w:left="-1440" w:right="14405" w:firstLine="0"/>
        <w:jc w:val="left"/>
      </w:pPr>
    </w:p>
    <w:tbl>
      <w:tblPr>
        <w:tblStyle w:val="TableGrid"/>
        <w:tblW w:w="13177" w:type="dxa"/>
        <w:tblInd w:w="-107" w:type="dxa"/>
        <w:tblCellMar>
          <w:top w:w="30" w:type="dxa"/>
          <w:left w:w="106" w:type="dxa"/>
          <w:bottom w:w="0" w:type="dxa"/>
          <w:right w:w="64" w:type="dxa"/>
        </w:tblCellMar>
      </w:tblPr>
      <w:tblGrid>
        <w:gridCol w:w="2507"/>
        <w:gridCol w:w="2309"/>
        <w:gridCol w:w="566"/>
        <w:gridCol w:w="566"/>
        <w:gridCol w:w="566"/>
        <w:gridCol w:w="571"/>
        <w:gridCol w:w="1910"/>
        <w:gridCol w:w="1459"/>
        <w:gridCol w:w="1453"/>
        <w:gridCol w:w="1268"/>
      </w:tblGrid>
      <w:tr>
        <w:trPr>
          <w:trHeight w:val="6077" w:hRule="atLeast"/>
        </w:trPr>
        <w:tc>
          <w:tcPr>
            <w:tcW w:w="2507"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16"/>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0"/>
              </w:rPr>
              <w:t xml:space="preserve"> </w:t>
            </w:r>
          </w:p>
          <w:p>
            <w:pPr>
              <w:spacing w:before="0" w:after="0"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59" w:lineRule="auto"/>
              <w:ind w:left="0" w:right="0" w:firstLine="0"/>
              <w:jc w:val="left"/>
            </w:pPr>
            <w:r>
              <w:rPr>
                <w:sz w:val="16"/>
              </w:rPr>
              <w:t xml:space="preserve"> </w:t>
            </w:r>
          </w:p>
          <w:p>
            <w:pPr>
              <w:spacing w:before="0" w:after="0" w:line="240" w:lineRule="auto"/>
              <w:ind w:left="0" w:right="253" w:firstLine="0"/>
            </w:pPr>
            <w:r>
              <w:rPr>
                <w:sz w:val="16"/>
              </w:rPr>
              <w:t xml:space="preserve">-</w:t>
            </w:r>
            <w:r>
              <w:rPr>
                <w:sz w:val="16"/>
              </w:rPr>
              <w:t xml:space="preserve">Needs assessment of the of the LCCs and traditional institutions in the target districts</w:t>
            </w:r>
            <w:r>
              <w:rPr>
                <w:sz w:val="16"/>
              </w:rPr>
              <w:t xml:space="preserve"> </w:t>
            </w:r>
          </w:p>
          <w:p>
            <w:pPr>
              <w:spacing w:before="0" w:after="0" w:line="259" w:lineRule="auto"/>
              <w:ind w:left="0" w:right="0" w:firstLine="0"/>
              <w:jc w:val="left"/>
            </w:pPr>
            <w:r>
              <w:rPr>
                <w:sz w:val="16"/>
              </w:rPr>
              <w:t xml:space="preserve"> </w:t>
            </w:r>
          </w:p>
          <w:p>
            <w:pPr>
              <w:spacing w:before="0" w:after="0" w:line="242" w:lineRule="auto"/>
              <w:ind w:left="0" w:right="117" w:firstLine="0"/>
            </w:pPr>
            <w:r>
              <w:rPr>
                <w:sz w:val="16"/>
              </w:rPr>
              <w:t xml:space="preserve">-</w:t>
            </w:r>
            <w:r>
              <w:rPr>
                <w:sz w:val="16"/>
              </w:rPr>
              <w:t xml:space="preserve">Developing capacity building plan for the LCCs and traditional institutions in the target districts</w:t>
            </w:r>
            <w:r>
              <w:rPr>
                <w:sz w:val="16"/>
              </w:rPr>
              <w:t xml:space="preserve"> </w:t>
            </w:r>
          </w:p>
          <w:p>
            <w:pPr>
              <w:spacing w:before="0" w:after="0" w:line="259" w:lineRule="auto"/>
              <w:ind w:left="0" w:right="0" w:firstLine="0"/>
              <w:jc w:val="left"/>
            </w:pPr>
            <w:r>
              <w:rPr>
                <w:sz w:val="16"/>
              </w:rPr>
              <w:t xml:space="preserve"> </w:t>
            </w:r>
          </w:p>
          <w:p>
            <w:pPr>
              <w:spacing w:before="0" w:after="0" w:line="240" w:lineRule="auto"/>
              <w:ind w:left="0" w:right="169" w:firstLine="0"/>
            </w:pPr>
            <w:r>
              <w:rPr>
                <w:sz w:val="16"/>
              </w:rPr>
              <w:t xml:space="preserve">-</w:t>
            </w:r>
            <w:r>
              <w:rPr>
                <w:sz w:val="16"/>
              </w:rPr>
              <w:t xml:space="preserve">Undertake capacity building for the LCCs and traditional institutions from the target </w:t>
            </w:r>
          </w:p>
          <w:p>
            <w:pPr>
              <w:spacing w:before="0" w:after="0" w:line="259" w:lineRule="auto"/>
              <w:ind w:left="0" w:right="0" w:firstLine="0"/>
              <w:jc w:val="left"/>
            </w:pPr>
            <w:r>
              <w:rPr>
                <w:sz w:val="16"/>
              </w:rPr>
              <w:t xml:space="preserve">districts</w:t>
            </w:r>
            <w:r>
              <w:rPr>
                <w:sz w:val="16"/>
              </w:rPr>
              <w:t xml:space="preserve"> </w:t>
            </w:r>
          </w:p>
          <w:p>
            <w:pPr>
              <w:spacing w:before="0" w:after="0" w:line="259" w:lineRule="auto"/>
              <w:ind w:left="0" w:right="0" w:firstLine="0"/>
              <w:jc w:val="left"/>
            </w:pPr>
            <w:r>
              <w:rPr>
                <w:sz w:val="16"/>
              </w:rPr>
              <w:t xml:space="preserve"> </w:t>
            </w:r>
          </w:p>
          <w:p>
            <w:pPr>
              <w:spacing w:before="0" w:after="0" w:line="259" w:lineRule="auto"/>
              <w:ind w:left="0" w:right="0" w:firstLine="0"/>
              <w:jc w:val="left"/>
            </w:pPr>
            <w:r>
              <w:rPr>
                <w:sz w:val="16"/>
              </w:rPr>
              <w:t xml:space="preserve">-</w:t>
            </w:r>
            <w:r>
              <w:rPr>
                <w:sz w:val="16"/>
              </w:rPr>
              <w:t xml:space="preserve">Identify and train paralegals </w:t>
            </w:r>
          </w:p>
          <w:p>
            <w:pPr>
              <w:spacing w:before="0" w:after="0" w:line="259" w:lineRule="auto"/>
              <w:ind w:left="0" w:right="0" w:firstLine="0"/>
              <w:jc w:val="left"/>
            </w:pPr>
            <w:r>
              <w:rPr>
                <w:sz w:val="16"/>
              </w:rPr>
              <w:t xml:space="preserve">to mentor LCCs and </w:t>
            </w:r>
          </w:p>
          <w:p>
            <w:pPr>
              <w:spacing w:before="0" w:after="0" w:line="259" w:lineRule="auto"/>
              <w:ind w:left="0" w:right="0" w:firstLine="0"/>
              <w:jc w:val="left"/>
            </w:pPr>
            <w:r>
              <w:rPr>
                <w:sz w:val="16"/>
              </w:rPr>
              <w:t xml:space="preserve">traditional institutions</w:t>
            </w:r>
            <w:r>
              <w:rPr>
                <w:sz w:val="16"/>
              </w:rPr>
              <w:t xml:space="preserve"> </w:t>
            </w:r>
          </w:p>
          <w:p>
            <w:pPr>
              <w:spacing w:before="0" w:after="0" w:line="259" w:lineRule="auto"/>
              <w:ind w:left="0" w:right="0" w:firstLine="0"/>
              <w:jc w:val="left"/>
            </w:pPr>
            <w:r>
              <w:rPr>
                <w:sz w:val="16"/>
              </w:rPr>
              <w:t xml:space="preserve"> </w:t>
            </w:r>
          </w:p>
          <w:p>
            <w:pPr>
              <w:spacing w:before="0" w:after="0" w:line="242" w:lineRule="auto"/>
              <w:ind w:left="0" w:right="192" w:firstLine="0"/>
            </w:pPr>
            <w:r>
              <w:rPr>
                <w:sz w:val="16"/>
              </w:rPr>
              <w:t xml:space="preserve">-</w:t>
            </w:r>
            <w:r>
              <w:rPr>
                <w:sz w:val="16"/>
              </w:rPr>
              <w:t xml:space="preserve">Procurement of logistics for the LCCs and traditional institutions in the target districts</w:t>
            </w:r>
            <w:r>
              <w:rPr>
                <w:sz w:val="16"/>
              </w:rPr>
              <w:t xml:space="preserve"> </w:t>
            </w:r>
          </w:p>
          <w:p>
            <w:pPr>
              <w:spacing w:before="0" w:after="0" w:line="259" w:lineRule="auto"/>
              <w:ind w:left="0" w:right="0" w:firstLine="0"/>
              <w:jc w:val="left"/>
            </w:pPr>
            <w:r>
              <w:rPr>
                <w:sz w:val="16"/>
              </w:rPr>
              <w:t xml:space="preserve"> </w:t>
            </w:r>
          </w:p>
          <w:p>
            <w:pPr>
              <w:spacing w:before="0" w:after="30" w:line="277" w:lineRule="auto"/>
              <w:ind w:left="0" w:right="50" w:firstLine="0"/>
            </w:pPr>
            <w:r>
              <w:rPr>
                <w:sz w:val="16"/>
              </w:rPr>
              <w:t xml:space="preserve">-</w:t>
            </w:r>
            <w:r>
              <w:rPr>
                <w:sz w:val="16"/>
              </w:rPr>
              <w:t xml:space="preserve">Review</w:t>
            </w:r>
            <w:r>
              <w:rPr>
                <w:sz w:val="16"/>
              </w:rPr>
              <w:t xml:space="preserve"> </w:t>
            </w:r>
            <w:r>
              <w:rPr>
                <w:sz w:val="16"/>
              </w:rPr>
              <w:t xml:space="preserve">of partnership between the LCCs and traditional institutions, and </w:t>
            </w:r>
          </w:p>
          <w:p>
            <w:pPr>
              <w:spacing w:before="0" w:after="0" w:line="259" w:lineRule="auto"/>
              <w:ind w:left="0" w:right="0" w:firstLine="0"/>
              <w:jc w:val="left"/>
            </w:pPr>
            <w:r>
              <w:rPr>
                <w:sz w:val="16"/>
              </w:rPr>
              <w:t xml:space="preserve">UNDP</w:t>
            </w:r>
            <w:r>
              <w:rPr>
                <w:rFonts w:cs="Cambria" w:hAnsi="Cambria" w:eastAsia="Cambria" w:ascii="Cambria"/>
                <w:b w:val="1"/>
                <w:sz w:val="20"/>
              </w:rPr>
              <w:t xml:space="preserve"> </w:t>
            </w:r>
          </w:p>
        </w:tc>
        <w:tc>
          <w:tcPr>
            <w:tcW w:w="5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5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5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57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1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5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53"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26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97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09" w:type="dxa"/>
            <w:tcBorders>
              <w:top w:val="single" w:sz="4" w:color="000000"/>
              <w:left w:val="single" w:sz="4" w:color="000000"/>
              <w:bottom w:val="single" w:sz="4" w:color="000000"/>
              <w:right w:val="single" w:sz="4" w:color="000000"/>
            </w:tcBorders>
            <w:vAlign w:val="top"/>
          </w:tcPr>
          <w:p>
            <w:pPr>
              <w:spacing w:before="0" w:after="2" w:line="277" w:lineRule="auto"/>
              <w:ind w:left="0" w:right="75" w:firstLine="0"/>
            </w:pPr>
            <w:r>
              <w:rPr>
                <w:rFonts w:cs="Cambria" w:hAnsi="Cambria" w:eastAsia="Cambria" w:ascii="Cambria"/>
                <w:b w:val="1"/>
                <w:sz w:val="17"/>
              </w:rPr>
              <w:t xml:space="preserve">Activity result</w:t>
            </w:r>
            <w:r>
              <w:rPr>
                <w:rFonts w:cs="Cambria" w:hAnsi="Cambria" w:eastAsia="Cambria" w:ascii="Cambria"/>
                <w:b w:val="1"/>
                <w:sz w:val="17"/>
              </w:rPr>
              <w:t xml:space="preserve"> </w:t>
            </w:r>
            <w:r>
              <w:rPr>
                <w:rFonts w:cs="Cambria" w:hAnsi="Cambria" w:eastAsia="Cambria" w:ascii="Cambria"/>
                <w:b w:val="1"/>
                <w:sz w:val="17"/>
              </w:rPr>
              <w:t xml:space="preserve">1.4:</w:t>
            </w:r>
            <w:r>
              <w:rPr>
                <w:rFonts w:cs="Cambria" w:hAnsi="Cambria" w:eastAsia="Cambria" w:ascii="Cambria"/>
                <w:b w:val="1"/>
                <w:sz w:val="17"/>
              </w:rPr>
              <w:t xml:space="preserve"> </w:t>
            </w:r>
            <w:r>
              <w:rPr>
                <w:sz w:val="17"/>
              </w:rPr>
              <w:t xml:space="preserve">Linkages between formal and informal justice systems further developed</w:t>
            </w:r>
            <w:r>
              <w:rPr>
                <w:sz w:val="17"/>
              </w:rPr>
              <w:t xml:space="preserve"> </w:t>
            </w:r>
          </w:p>
          <w:p>
            <w:pPr>
              <w:spacing w:before="0" w:after="11" w:line="259" w:lineRule="auto"/>
              <w:ind w:left="0" w:right="0" w:firstLine="0"/>
              <w:jc w:val="left"/>
            </w:pPr>
            <w:r>
              <w:rPr>
                <w:sz w:val="17"/>
              </w:rPr>
              <w:t xml:space="preserve"> </w:t>
            </w:r>
          </w:p>
          <w:p>
            <w:pPr>
              <w:spacing w:before="0" w:after="16" w:line="259" w:lineRule="auto"/>
              <w:ind w:left="0"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w:t>
            </w:r>
            <w:r>
              <w:rPr>
                <w:rFonts w:cs="Cambria" w:hAnsi="Cambria" w:eastAsia="Cambria" w:ascii="Cambria"/>
                <w:b w:val="1"/>
                <w:sz w:val="17"/>
              </w:rPr>
              <w:t xml:space="preserve"> </w:t>
            </w:r>
          </w:p>
          <w:p>
            <w:pPr>
              <w:spacing w:before="0" w:after="16" w:line="259" w:lineRule="auto"/>
              <w:ind w:left="0" w:right="0" w:firstLine="0"/>
              <w:jc w:val="left"/>
            </w:pPr>
            <w:r>
              <w:rPr>
                <w:rFonts w:cs="Cambria" w:hAnsi="Cambria" w:eastAsia="Cambria" w:ascii="Cambria"/>
                <w:b w:val="1"/>
                <w:sz w:val="17"/>
              </w:rPr>
              <w:t xml:space="preserve"> </w:t>
            </w:r>
          </w:p>
          <w:p>
            <w:pPr>
              <w:spacing w:before="0" w:after="0" w:line="277" w:lineRule="auto"/>
              <w:ind w:left="0" w:right="51" w:firstLine="0"/>
            </w:pPr>
            <w:r>
              <w:rPr>
                <w:sz w:val="17"/>
              </w:rPr>
              <w:t xml:space="preserve">-</w:t>
            </w:r>
            <w:r>
              <w:rPr>
                <w:sz w:val="17"/>
              </w:rPr>
              <w:t xml:space="preserve">Facilitate experience sharing and mutual engagements between the formal and informal justice systems</w:t>
            </w:r>
            <w:r>
              <w:rPr>
                <w:sz w:val="17"/>
              </w:rPr>
              <w:t xml:space="preserve"> </w:t>
            </w:r>
          </w:p>
          <w:p>
            <w:pPr>
              <w:spacing w:before="0" w:after="0" w:line="259" w:lineRule="auto"/>
              <w:ind w:left="0" w:right="0" w:firstLine="0"/>
              <w:jc w:val="left"/>
            </w:pPr>
            <w:r>
              <w:rPr>
                <w:sz w:val="16"/>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X</w:t>
            </w: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X</w:t>
            </w:r>
            <w:r>
              <w:rPr>
                <w:sz w:val="22"/>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X</w:t>
            </w:r>
            <w:r>
              <w:rPr>
                <w:sz w:val="22"/>
              </w:rPr>
              <w:t xml:space="preserve"> </w:t>
            </w:r>
          </w:p>
        </w:tc>
        <w:tc>
          <w:tcPr>
            <w:tcW w:w="1910" w:type="dxa"/>
            <w:tcBorders>
              <w:top w:val="single" w:sz="4" w:color="000000"/>
              <w:left w:val="single" w:sz="4" w:color="000000"/>
              <w:bottom w:val="single" w:sz="4" w:color="000000"/>
              <w:right w:val="single" w:sz="4" w:color="000000"/>
            </w:tcBorders>
            <w:vAlign w:val="top"/>
          </w:tcPr>
          <w:p>
            <w:pPr>
              <w:tabs>
                <w:tab w:val="center" w:pos="204"/>
                <w:tab w:val="center" w:pos="1496"/>
              </w:tabs>
              <w:spacing w:before="0" w:after="11" w:line="259" w:lineRule="auto"/>
              <w:ind w:left="0" w:right="0" w:firstLine="0"/>
              <w:jc w:val="left"/>
            </w:pPr>
            <w:r>
              <w:rPr>
                <w:rFonts w:cs="Calibri" w:hAnsi="Calibri" w:eastAsia="Calibri" w:ascii="Calibri"/>
                <w:sz w:val="22"/>
              </w:rPr>
              <w:t xml:space="preserve">	</w:t>
            </w:r>
            <w:r>
              <w:rPr>
                <w:sz w:val="18"/>
              </w:rPr>
              <w:t xml:space="preserve">OPM, 	Local </w:t>
            </w:r>
          </w:p>
          <w:p>
            <w:pPr>
              <w:spacing w:before="0" w:after="12" w:line="259" w:lineRule="auto"/>
              <w:ind w:left="0" w:right="0" w:firstLine="0"/>
              <w:jc w:val="left"/>
            </w:pPr>
            <w:r>
              <w:rPr>
                <w:sz w:val="18"/>
              </w:rPr>
              <w:t xml:space="preserve">Authorities,  UNDP, </w:t>
            </w:r>
          </w:p>
          <w:p>
            <w:pPr>
              <w:spacing w:before="0" w:after="0" w:line="259" w:lineRule="auto"/>
              <w:ind w:left="0" w:right="0" w:firstLine="0"/>
              <w:jc w:val="left"/>
            </w:pPr>
            <w:r>
              <w:rPr>
                <w:sz w:val="18"/>
              </w:rPr>
              <w:t xml:space="preserve">CSO/NGO and JLOS</w:t>
            </w:r>
            <w:r>
              <w:rPr>
                <w:sz w:val="18"/>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18"/>
              </w:rPr>
              <w:t xml:space="preserve"> </w:t>
            </w:r>
            <w:r>
              <w:rPr>
                <w:sz w:val="22"/>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7" w:line="259" w:lineRule="auto"/>
              <w:ind w:left="5" w:right="0" w:firstLine="0"/>
              <w:jc w:val="left"/>
            </w:pPr>
            <w:r>
              <w:rPr>
                <w:sz w:val="18"/>
              </w:rPr>
              <w:t xml:space="preserve">Consultancy </w:t>
            </w:r>
          </w:p>
          <w:p>
            <w:pPr>
              <w:spacing w:before="0" w:after="0" w:line="273" w:lineRule="auto"/>
              <w:ind w:left="5" w:right="0" w:firstLine="0"/>
              <w:jc w:val="left"/>
            </w:pPr>
            <w:r>
              <w:rPr>
                <w:sz w:val="18"/>
              </w:rPr>
              <w:t xml:space="preserve">fees, professional services, grants for 	legal </w:t>
            </w:r>
          </w:p>
          <w:p>
            <w:pPr>
              <w:spacing w:before="0" w:after="0" w:line="259" w:lineRule="auto"/>
              <w:ind w:left="5" w:right="0" w:firstLine="0"/>
              <w:jc w:val="left"/>
            </w:pPr>
            <w:r>
              <w:rPr>
                <w:sz w:val="18"/>
              </w:rPr>
              <w:t xml:space="preserve">aid/assistance</w:t>
            </w:r>
            <w:r>
              <w:rPr>
                <w:sz w:val="18"/>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18"/>
              </w:rPr>
              <w:t xml:space="preserve">40,000</w:t>
            </w:r>
            <w:r>
              <w:rPr>
                <w:sz w:val="18"/>
              </w:rPr>
              <w:t xml:space="preserve"> </w:t>
            </w:r>
          </w:p>
        </w:tc>
      </w:tr>
      <w:tr>
        <w:trPr>
          <w:trHeight w:val="276" w:hRule="atLeast"/>
        </w:trPr>
        <w:tc>
          <w:tcPr>
            <w:tcW w:w="250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Subtotal </w:t>
            </w:r>
            <w:r>
              <w:rPr>
                <w:rFonts w:cs="Cambria" w:hAnsi="Cambria" w:eastAsia="Cambria" w:ascii="Cambria"/>
                <w:b w:val="1"/>
                <w:sz w:val="20"/>
              </w:rPr>
              <w:t xml:space="preserve">- </w:t>
            </w:r>
            <w:r>
              <w:rPr>
                <w:rFonts w:cs="Cambria" w:hAnsi="Cambria" w:eastAsia="Cambria" w:ascii="Cambria"/>
                <w:b w:val="1"/>
                <w:sz w:val="20"/>
              </w:rPr>
              <w:t xml:space="preserve">Output 1</w:t>
            </w:r>
            <w:r>
              <w:rPr>
                <w:rFonts w:cs="Cambria" w:hAnsi="Cambria" w:eastAsia="Cambria" w:ascii="Cambria"/>
                <w:b w:val="1"/>
                <w:sz w:val="20"/>
              </w:rPr>
              <w:t xml:space="preserve"> </w:t>
            </w:r>
          </w:p>
        </w:tc>
        <w:tc>
          <w:tcPr>
            <w:tcW w:w="9402" w:type="dxa"/>
            <w:gridSpan w:val="8"/>
            <w:tcBorders>
              <w:top w:val="single" w:sz="4" w:color="000000"/>
              <w:left w:val="single" w:sz="4" w:color="000000"/>
              <w:bottom w:val="single" w:sz="4" w:color="000000"/>
              <w:right w:val="single" w:sz="4" w:color="000000"/>
            </w:tcBorders>
            <w:shd w:val="clear" w:fill="dddddd"/>
            <w:vAlign w:val="top"/>
          </w:tcPr>
          <w:p>
            <w:pPr>
              <w:spacing w:before="0" w:after="0" w:line="259" w:lineRule="auto"/>
              <w:ind w:left="0" w:right="0" w:firstLine="0"/>
              <w:jc w:val="left"/>
            </w:pP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350,000</w:t>
            </w:r>
            <w:r>
              <w:rPr>
                <w:rFonts w:cs="Cambria" w:hAnsi="Cambria" w:eastAsia="Cambria" w:ascii="Cambria"/>
                <w:b w:val="1"/>
                <w:sz w:val="20"/>
              </w:rPr>
              <w:t xml:space="preserve"> </w:t>
            </w:r>
          </w:p>
        </w:tc>
      </w:tr>
    </w:tbl>
    <w:p>
      <w:pPr>
        <w:spacing w:before="0" w:after="0" w:line="259" w:lineRule="auto"/>
        <w:ind w:left="-1440" w:right="14405" w:firstLine="0"/>
        <w:jc w:val="left"/>
      </w:pPr>
    </w:p>
    <w:tbl>
      <w:tblPr>
        <w:tblStyle w:val="TableGrid"/>
        <w:tblW w:w="13181" w:type="dxa"/>
        <w:tblInd w:w="-110" w:type="dxa"/>
        <w:tblCellMar>
          <w:top w:w="32" w:type="dxa"/>
          <w:left w:w="106" w:type="dxa"/>
          <w:bottom w:w="0" w:type="dxa"/>
          <w:right w:w="61" w:type="dxa"/>
        </w:tblCellMar>
      </w:tblPr>
      <w:tblGrid>
        <w:gridCol w:w="2510"/>
        <w:gridCol w:w="2309"/>
        <w:gridCol w:w="566"/>
        <w:gridCol w:w="566"/>
        <w:gridCol w:w="566"/>
        <w:gridCol w:w="571"/>
        <w:gridCol w:w="1910"/>
        <w:gridCol w:w="1459"/>
        <w:gridCol w:w="1454"/>
        <w:gridCol w:w="1267"/>
      </w:tblGrid>
      <w:tr>
        <w:trPr>
          <w:trHeight w:val="5035" w:hRule="atLeast"/>
        </w:trPr>
        <w:tc>
          <w:tcPr>
            <w:tcW w:w="2510" w:type="dxa"/>
            <w:tcBorders>
              <w:top w:val="single" w:sz="4" w:color="000000"/>
              <w:left w:val="single" w:sz="4" w:color="000000"/>
              <w:bottom w:val="single" w:sz="4" w:color="000000"/>
              <w:right w:val="single" w:sz="4" w:color="000000"/>
            </w:tcBorders>
            <w:vAlign w:val="top"/>
          </w:tcPr>
          <w:p>
            <w:pPr>
              <w:spacing w:before="0" w:after="27" w:line="275" w:lineRule="auto"/>
              <w:ind w:left="5" w:right="42" w:firstLine="0"/>
            </w:pPr>
            <w:r>
              <w:rPr>
                <w:rFonts w:cs="Cambria" w:hAnsi="Cambria" w:eastAsia="Cambria" w:ascii="Cambria"/>
                <w:b w:val="1"/>
                <w:sz w:val="22"/>
              </w:rPr>
              <w:t xml:space="preserve">Output 2</w:t>
            </w:r>
            <w:r>
              <w:rPr>
                <w:rFonts w:cs="Cambria" w:hAnsi="Cambria" w:eastAsia="Cambria" w:ascii="Cambria"/>
                <w:b w:val="1"/>
                <w:sz w:val="22"/>
              </w:rPr>
              <w:t xml:space="preserve">:</w:t>
            </w:r>
            <w:r>
              <w:rPr>
                <w:sz w:val="16"/>
              </w:rPr>
              <w:t xml:space="preserve"> </w:t>
            </w:r>
            <w:r>
              <w:rPr>
                <w:rFonts w:cs="Cambria" w:hAnsi="Cambria" w:eastAsia="Cambria" w:ascii="Cambria"/>
                <w:i w:val="1"/>
                <w:sz w:val="18"/>
              </w:rPr>
              <w:t xml:space="preserve">Employment opportunities enhanced and economic recovery and reintegration initiatives developed targeting youth, crises</w:t>
            </w:r>
            <w:r>
              <w:rPr>
                <w:rFonts w:cs="Cambria" w:hAnsi="Cambria" w:eastAsia="Cambria" w:ascii="Cambria"/>
                <w:i w:val="1"/>
                <w:sz w:val="18"/>
              </w:rPr>
              <w:t xml:space="preserve">-</w:t>
            </w:r>
            <w:r>
              <w:rPr>
                <w:rFonts w:cs="Cambria" w:hAnsi="Cambria" w:eastAsia="Cambria" w:ascii="Cambria"/>
                <w:i w:val="1"/>
                <w:sz w:val="18"/>
              </w:rPr>
              <w:t xml:space="preserve">affected and vulnerable </w:t>
            </w:r>
          </w:p>
          <w:p>
            <w:pPr>
              <w:spacing w:before="0" w:after="5" w:line="259" w:lineRule="auto"/>
              <w:ind w:left="5" w:right="0" w:firstLine="0"/>
              <w:jc w:val="left"/>
            </w:pPr>
            <w:r>
              <w:rPr>
                <w:rFonts w:cs="Cambria" w:hAnsi="Cambria" w:eastAsia="Cambria" w:ascii="Cambria"/>
                <w:i w:val="1"/>
                <w:sz w:val="18"/>
              </w:rPr>
              <w:t xml:space="preserve">people (30% women)</w:t>
            </w:r>
            <w:r>
              <w:rPr>
                <w:rFonts w:cs="Cambria" w:hAnsi="Cambria" w:eastAsia="Cambria" w:ascii="Cambria"/>
                <w:b w:val="1"/>
                <w:i w:val="1"/>
                <w:sz w:val="22"/>
              </w:rPr>
              <w:t xml:space="preserve"> </w:t>
            </w:r>
          </w:p>
          <w:p>
            <w:pPr>
              <w:spacing w:before="0" w:after="1" w:line="259" w:lineRule="auto"/>
              <w:ind w:left="5" w:right="0" w:firstLine="0"/>
              <w:jc w:val="left"/>
            </w:pPr>
            <w:r>
              <w:rPr>
                <w:sz w:val="22"/>
              </w:rPr>
              <w:t xml:space="preserve"> </w:t>
            </w:r>
          </w:p>
          <w:p>
            <w:pPr>
              <w:spacing w:before="0" w:after="0" w:line="259" w:lineRule="auto"/>
              <w:ind w:left="5" w:right="0" w:firstLine="0"/>
              <w:jc w:val="left"/>
            </w:pPr>
            <w:r>
              <w:rPr>
                <w:rFonts w:cs="Cambria" w:hAnsi="Cambria" w:eastAsia="Cambria" w:ascii="Cambria"/>
                <w:b w:val="1"/>
                <w:i w:val="1"/>
                <w:sz w:val="20"/>
              </w:rPr>
              <w:t xml:space="preserve">Baseline:</w:t>
            </w:r>
            <w:r>
              <w:rPr>
                <w:rFonts w:cs="Cambria" w:hAnsi="Cambria" w:eastAsia="Cambria" w:ascii="Cambria"/>
                <w:b w:val="1"/>
                <w:i w:val="1"/>
                <w:sz w:val="20"/>
              </w:rPr>
              <w:t xml:space="preserve"> </w:t>
            </w:r>
          </w:p>
          <w:p>
            <w:pPr>
              <w:spacing w:before="0" w:after="0" w:line="280" w:lineRule="auto"/>
              <w:ind w:left="5" w:right="44" w:firstLine="0"/>
            </w:pPr>
            <w:r>
              <w:rPr>
                <w:sz w:val="17"/>
              </w:rPr>
              <w:t xml:space="preserve"> </w:t>
            </w:r>
            <w:r>
              <w:rPr>
                <w:sz w:val="16"/>
              </w:rPr>
              <w:t xml:space="preserve">-</w:t>
            </w:r>
            <w:r>
              <w:rPr>
                <w:sz w:val="16"/>
              </w:rPr>
              <w:t xml:space="preserve">High unemployment</w:t>
            </w:r>
            <w:r>
              <w:rPr>
                <w:sz w:val="16"/>
                <w:vertAlign w:val="superscript"/>
              </w:rPr>
              <w:footnoteReference w:id="61"/>
            </w:r>
            <w:r>
              <w:rPr>
                <w:sz w:val="16"/>
              </w:rPr>
              <w:t xml:space="preserve"> </w:t>
            </w:r>
            <w:r>
              <w:rPr>
                <w:sz w:val="16"/>
              </w:rPr>
              <w:t xml:space="preserve">rate amongst the youth; 58% of Ugandans unemployed are youth according to central bureau of statistics (2007) as reported by the world bank;</w:t>
            </w:r>
            <w:r>
              <w:rPr>
                <w:sz w:val="16"/>
              </w:rPr>
              <w:t xml:space="preserve"> </w:t>
            </w:r>
          </w:p>
          <w:p>
            <w:pPr>
              <w:spacing w:before="0" w:after="14" w:line="259" w:lineRule="auto"/>
              <w:ind w:left="5" w:right="0" w:firstLine="0"/>
              <w:jc w:val="left"/>
            </w:pPr>
            <w:r>
              <w:rPr>
                <w:sz w:val="16"/>
              </w:rPr>
              <w:t xml:space="preserve"> </w:t>
            </w:r>
          </w:p>
          <w:p>
            <w:pPr>
              <w:spacing w:before="0" w:after="0" w:line="277" w:lineRule="auto"/>
              <w:ind w:left="5" w:right="0" w:firstLine="0"/>
            </w:pPr>
            <w:r>
              <w:rPr>
                <w:sz w:val="16"/>
              </w:rPr>
              <w:t xml:space="preserve">-</w:t>
            </w:r>
            <w:r>
              <w:rPr>
                <w:sz w:val="16"/>
              </w:rPr>
              <w:t xml:space="preserve">High urban unemployment (12.4%) compared to rural </w:t>
            </w:r>
          </w:p>
          <w:p>
            <w:pPr>
              <w:spacing w:before="0" w:after="14" w:line="259" w:lineRule="auto"/>
              <w:ind w:left="5" w:right="0" w:firstLine="0"/>
              <w:jc w:val="left"/>
            </w:pPr>
            <w:r>
              <w:rPr>
                <w:sz w:val="16"/>
              </w:rPr>
              <w:t xml:space="preserve">(</w:t>
            </w:r>
            <w:r>
              <w:rPr>
                <w:sz w:val="16"/>
              </w:rPr>
              <w:t xml:space="preserve">1.7%);</w:t>
            </w:r>
            <w:r>
              <w:rPr>
                <w:sz w:val="16"/>
              </w:rPr>
              <w:t xml:space="preserve"> </w:t>
            </w:r>
          </w:p>
          <w:p>
            <w:pPr>
              <w:spacing w:before="0" w:after="29" w:line="259" w:lineRule="auto"/>
              <w:ind w:left="5" w:right="0" w:firstLine="0"/>
              <w:jc w:val="left"/>
            </w:pPr>
            <w:r>
              <w:rPr>
                <w:sz w:val="16"/>
              </w:rPr>
              <w:t xml:space="preserve"> </w:t>
            </w:r>
          </w:p>
          <w:p>
            <w:pPr>
              <w:tabs>
                <w:tab w:val="center" w:pos="808"/>
                <w:tab w:val="center" w:pos="1439"/>
                <w:tab w:val="right" w:pos="2344"/>
              </w:tabs>
              <w:spacing w:before="0" w:after="0" w:line="259" w:lineRule="auto"/>
              <w:ind w:left="0" w:right="0" w:firstLine="0"/>
              <w:jc w:val="left"/>
            </w:pPr>
            <w:r>
              <w:rPr>
                <w:sz w:val="16"/>
              </w:rPr>
              <w:t xml:space="preserve">-</w:t>
            </w:r>
            <w:r>
              <w:rPr>
                <w:sz w:val="16"/>
              </w:rPr>
              <w:t xml:space="preserve">High 	poverty 	rate</w:t>
            </w:r>
            <w:r>
              <w:rPr>
                <w:sz w:val="16"/>
                <w:vertAlign w:val="superscript"/>
              </w:rPr>
              <w:footnoteReference w:id="62"/>
            </w:r>
            <w:r>
              <w:rPr>
                <w:sz w:val="16"/>
              </w:rPr>
              <w:t xml:space="preserve"> 	</w:t>
            </w:r>
            <w:r>
              <w:rPr>
                <w:sz w:val="16"/>
              </w:rPr>
              <w:t xml:space="preserve">around</w:t>
            </w:r>
            <w:r>
              <w:rPr>
                <w:sz w:val="18"/>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rFonts w:cs="Cambria" w:hAnsi="Cambria" w:eastAsia="Cambria" w:ascii="Cambria"/>
                <w:b w:val="1"/>
                <w:sz w:val="17"/>
              </w:rPr>
              <w:t xml:space="preserve">Activity result</w:t>
            </w:r>
            <w:r>
              <w:rPr>
                <w:rFonts w:cs="Cambria" w:hAnsi="Cambria" w:eastAsia="Cambria" w:ascii="Cambria"/>
                <w:b w:val="1"/>
                <w:sz w:val="17"/>
              </w:rPr>
              <w:t xml:space="preserve"> </w:t>
            </w:r>
            <w:r>
              <w:rPr>
                <w:rFonts w:cs="Cambria" w:hAnsi="Cambria" w:eastAsia="Cambria" w:ascii="Cambria"/>
                <w:b w:val="1"/>
                <w:sz w:val="17"/>
              </w:rPr>
              <w:t xml:space="preserve">2.1: </w:t>
            </w:r>
          </w:p>
          <w:p>
            <w:pPr>
              <w:spacing w:before="0" w:after="2" w:line="276" w:lineRule="auto"/>
              <w:ind w:left="0" w:right="0" w:firstLine="0"/>
              <w:jc w:val="left"/>
            </w:pPr>
            <w:r>
              <w:rPr>
                <w:sz w:val="17"/>
              </w:rPr>
              <w:t xml:space="preserve">Employment created and income increased for targeted youth in northern </w:t>
            </w:r>
          </w:p>
          <w:p>
            <w:pPr>
              <w:spacing w:before="0" w:after="16" w:line="259" w:lineRule="auto"/>
              <w:ind w:left="0" w:right="0" w:firstLine="0"/>
              <w:jc w:val="left"/>
            </w:pPr>
            <w:r>
              <w:rPr>
                <w:sz w:val="17"/>
              </w:rPr>
              <w:t xml:space="preserve">Uganda</w:t>
            </w:r>
            <w:r>
              <w:rPr>
                <w:sz w:val="17"/>
              </w:rPr>
              <w:t xml:space="preserve"> </w:t>
            </w:r>
          </w:p>
          <w:p>
            <w:pPr>
              <w:spacing w:before="0" w:after="16" w:line="259" w:lineRule="auto"/>
              <w:ind w:left="130" w:right="0" w:firstLine="0"/>
              <w:jc w:val="left"/>
            </w:pPr>
            <w:r>
              <w:rPr>
                <w:sz w:val="17"/>
              </w:rPr>
              <w:t xml:space="preserve"> </w:t>
            </w:r>
          </w:p>
          <w:p>
            <w:pPr>
              <w:spacing w:before="0" w:after="11" w:line="259" w:lineRule="auto"/>
              <w:ind w:left="0"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 </w:t>
            </w:r>
          </w:p>
          <w:p>
            <w:pPr>
              <w:spacing w:before="0" w:after="0" w:line="242" w:lineRule="auto"/>
              <w:ind w:left="0" w:right="0" w:firstLine="0"/>
              <w:jc w:val="left"/>
            </w:pPr>
            <w:r>
              <w:rPr>
                <w:sz w:val="17"/>
              </w:rPr>
              <w:t xml:space="preserve">-</w:t>
            </w:r>
            <w:r>
              <w:rPr>
                <w:sz w:val="17"/>
              </w:rPr>
              <w:t xml:space="preserve">Mobilise youth who have undergone vocational skills trade training (in Acholi sub region)</w:t>
            </w:r>
            <w:r>
              <w:rPr>
                <w:sz w:val="17"/>
              </w:rPr>
              <w:t xml:space="preserve"> </w:t>
            </w:r>
          </w:p>
          <w:p>
            <w:pPr>
              <w:spacing w:before="0" w:after="0" w:line="242" w:lineRule="auto"/>
              <w:ind w:left="0" w:right="0" w:firstLine="0"/>
              <w:jc w:val="left"/>
            </w:pPr>
            <w:r>
              <w:rPr>
                <w:sz w:val="17"/>
              </w:rPr>
              <w:t xml:space="preserve">-</w:t>
            </w:r>
            <w:r>
              <w:rPr>
                <w:sz w:val="17"/>
              </w:rPr>
              <w:t xml:space="preserve">Sponsor at least 300 youth drawn from Lango and Karamoja in vocational schools in their respective districts or sub region</w:t>
            </w:r>
            <w:r>
              <w:rPr>
                <w:sz w:val="17"/>
              </w:rPr>
              <w:t xml:space="preserve"> -</w:t>
            </w:r>
            <w:r>
              <w:rPr>
                <w:sz w:val="17"/>
              </w:rPr>
              <w:t xml:space="preserve">Identify business where the youth will be placed for </w:t>
            </w:r>
          </w:p>
          <w:p>
            <w:pPr>
              <w:spacing w:before="0" w:after="0" w:line="259" w:lineRule="auto"/>
              <w:ind w:left="0" w:right="0" w:firstLine="0"/>
              <w:jc w:val="left"/>
            </w:pPr>
            <w:r>
              <w:rPr>
                <w:sz w:val="17"/>
              </w:rPr>
              <w:t xml:space="preserve">apprenticeship</w:t>
            </w:r>
            <w:r>
              <w:rPr>
                <w:sz w:val="17"/>
              </w:rPr>
              <w:t xml:space="preserve"> </w:t>
            </w:r>
          </w:p>
          <w:p>
            <w:pPr>
              <w:spacing w:before="0" w:after="0" w:line="259" w:lineRule="auto"/>
              <w:ind w:left="0" w:right="0" w:firstLine="0"/>
              <w:jc w:val="left"/>
            </w:pPr>
            <w:r>
              <w:rPr>
                <w:sz w:val="17"/>
              </w:rPr>
              <w:t xml:space="preserve">-</w:t>
            </w:r>
            <w:r>
              <w:rPr>
                <w:sz w:val="17"/>
              </w:rPr>
              <w:t xml:space="preserve">Procure start</w:t>
            </w:r>
            <w:r>
              <w:rPr>
                <w:sz w:val="17"/>
              </w:rPr>
              <w:t xml:space="preserve">-</w:t>
            </w:r>
            <w:r>
              <w:rPr>
                <w:sz w:val="17"/>
              </w:rPr>
              <w:t xml:space="preserve">up kits for the trainees and provide them with the kits after their have completed apprenticeship </w:t>
            </w:r>
            <w:r>
              <w:rPr>
                <w:sz w:val="17"/>
              </w:rPr>
              <w:t xml:space="preserve"> -</w:t>
            </w:r>
            <w:r>
              <w:rPr>
                <w:sz w:val="17"/>
              </w:rPr>
              <w:t xml:space="preserve">Review the sponsorship</w:t>
            </w:r>
            <w:r>
              <w:rPr>
                <w:sz w:val="17"/>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X</w:t>
            </w: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X</w:t>
            </w:r>
            <w:r>
              <w:rPr>
                <w:sz w:val="22"/>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X</w:t>
            </w:r>
            <w:r>
              <w:rPr>
                <w:sz w:val="22"/>
              </w:rPr>
              <w:t xml:space="preserve"> </w:t>
            </w:r>
          </w:p>
        </w:tc>
        <w:tc>
          <w:tcPr>
            <w:tcW w:w="1910" w:type="dxa"/>
            <w:tcBorders>
              <w:top w:val="single" w:sz="4" w:color="000000"/>
              <w:left w:val="single" w:sz="4" w:color="000000"/>
              <w:bottom w:val="single" w:sz="4" w:color="000000"/>
              <w:right w:val="single" w:sz="4" w:color="000000"/>
            </w:tcBorders>
            <w:vAlign w:val="top"/>
          </w:tcPr>
          <w:p>
            <w:pPr>
              <w:tabs>
                <w:tab w:val="right" w:pos="1744"/>
              </w:tabs>
              <w:spacing w:before="0" w:after="16" w:line="259" w:lineRule="auto"/>
              <w:ind w:left="0" w:right="0" w:firstLine="0"/>
              <w:jc w:val="left"/>
            </w:pPr>
            <w:r>
              <w:rPr>
                <w:sz w:val="20"/>
              </w:rPr>
              <w:t xml:space="preserve">OPM, 	Local </w:t>
            </w:r>
          </w:p>
          <w:p>
            <w:pPr>
              <w:spacing w:before="0" w:after="5" w:line="271" w:lineRule="auto"/>
              <w:ind w:left="0" w:right="0" w:firstLine="0"/>
            </w:pPr>
            <w:r>
              <w:rPr>
                <w:sz w:val="20"/>
              </w:rPr>
              <w:t xml:space="preserve">Authorities, UNDP, CSO/NGO, Private </w:t>
            </w:r>
          </w:p>
          <w:p>
            <w:pPr>
              <w:spacing w:before="0" w:after="26" w:line="259" w:lineRule="auto"/>
              <w:ind w:left="0" w:right="0" w:firstLine="0"/>
              <w:jc w:val="left"/>
            </w:pPr>
            <w:r>
              <w:rPr>
                <w:sz w:val="20"/>
              </w:rPr>
              <w:t xml:space="preserve">Sector</w:t>
            </w:r>
            <w:r>
              <w:rPr>
                <w:sz w:val="20"/>
              </w:rPr>
              <w:t xml:space="preserve"> </w:t>
            </w:r>
          </w:p>
          <w:p>
            <w:pPr>
              <w:spacing w:before="0" w:after="0" w:line="259" w:lineRule="auto"/>
              <w:ind w:left="0" w:right="0" w:firstLine="0"/>
              <w:jc w:val="left"/>
            </w:pP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UNDP/BCPR </w:t>
            </w:r>
            <w:r>
              <w:rPr>
                <w:sz w:val="22"/>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Consultancy fees, professional services</w:t>
            </w:r>
            <w:r>
              <w:rPr>
                <w:sz w:val="22"/>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350,000</w:t>
            </w:r>
            <w:r>
              <w:rPr>
                <w:sz w:val="22"/>
              </w:rPr>
              <w:t xml:space="preserve"> </w:t>
            </w:r>
          </w:p>
        </w:tc>
      </w:tr>
    </w:tbl>
    <w:p>
      <w:pPr>
        <w:spacing w:before="0" w:after="0" w:line="259" w:lineRule="auto"/>
        <w:ind w:left="-1440" w:right="14405" w:firstLine="0"/>
        <w:jc w:val="left"/>
      </w:pPr>
    </w:p>
    <w:tbl>
      <w:tblPr>
        <w:tblStyle w:val="TableGrid"/>
        <w:tblW w:w="13181" w:type="dxa"/>
        <w:tblInd w:w="-110" w:type="dxa"/>
        <w:tblCellMar>
          <w:top w:w="29" w:type="dxa"/>
          <w:left w:w="38" w:type="dxa"/>
          <w:bottom w:w="0" w:type="dxa"/>
          <w:right w:w="61" w:type="dxa"/>
        </w:tblCellMar>
      </w:tblPr>
      <w:tblGrid>
        <w:gridCol w:w="2510"/>
        <w:gridCol w:w="2309"/>
        <w:gridCol w:w="566"/>
        <w:gridCol w:w="566"/>
        <w:gridCol w:w="566"/>
        <w:gridCol w:w="571"/>
        <w:gridCol w:w="1406"/>
        <w:gridCol w:w="504"/>
        <w:gridCol w:w="1459"/>
        <w:gridCol w:w="1454"/>
        <w:gridCol w:w="1267"/>
      </w:tblGrid>
      <w:tr>
        <w:trPr>
          <w:trHeight w:val="3149" w:hRule="atLeast"/>
        </w:trPr>
        <w:tc>
          <w:tcPr>
            <w:tcW w:w="2510" w:type="dxa"/>
            <w:vMerge w:val="restart"/>
            <w:tcBorders>
              <w:top w:val="single" w:sz="4" w:color="000000"/>
              <w:left w:val="single" w:sz="4" w:color="000000"/>
              <w:bottom w:val="single" w:sz="4" w:color="000000"/>
              <w:right w:val="single" w:sz="4" w:color="000000"/>
            </w:tcBorders>
            <w:vAlign w:val="top"/>
          </w:tcPr>
          <w:p>
            <w:pPr>
              <w:spacing w:before="0" w:after="14" w:line="259" w:lineRule="auto"/>
              <w:ind w:left="72" w:right="0" w:firstLine="0"/>
              <w:jc w:val="left"/>
            </w:pPr>
            <w:r>
              <w:rPr>
                <w:sz w:val="16"/>
              </w:rPr>
              <w:t xml:space="preserve">24.5%;</w:t>
            </w:r>
            <w:r>
              <w:rPr>
                <w:sz w:val="16"/>
              </w:rPr>
              <w:t xml:space="preserve"> </w:t>
            </w:r>
          </w:p>
          <w:p>
            <w:pPr>
              <w:spacing w:before="0" w:after="14" w:line="259" w:lineRule="auto"/>
              <w:ind w:left="72" w:right="0" w:firstLine="0"/>
              <w:jc w:val="left"/>
            </w:pPr>
            <w:r>
              <w:rPr>
                <w:sz w:val="16"/>
              </w:rPr>
              <w:t xml:space="preserve"> </w:t>
            </w:r>
          </w:p>
          <w:p>
            <w:pPr>
              <w:spacing w:before="0" w:after="0" w:line="277" w:lineRule="auto"/>
              <w:ind w:left="72" w:right="51" w:firstLine="0"/>
            </w:pPr>
            <w:r>
              <w:rPr>
                <w:sz w:val="16"/>
              </w:rPr>
              <w:t xml:space="preserve">-</w:t>
            </w:r>
            <w:r>
              <w:rPr>
                <w:sz w:val="16"/>
              </w:rPr>
              <w:t xml:space="preserve">Supply of employment opportunities do not meet demand (every year around 500,000 enter the labour force, while jobs created do not exceed </w:t>
            </w:r>
          </w:p>
          <w:p>
            <w:pPr>
              <w:spacing w:before="0" w:after="14" w:line="259" w:lineRule="auto"/>
              <w:ind w:left="72" w:right="0" w:firstLine="0"/>
              <w:jc w:val="left"/>
            </w:pPr>
            <w:r>
              <w:rPr>
                <w:sz w:val="16"/>
              </w:rPr>
              <w:t xml:space="preserve">150,000 a year);</w:t>
            </w:r>
            <w:r>
              <w:rPr>
                <w:sz w:val="16"/>
              </w:rPr>
              <w:t xml:space="preserve"> </w:t>
            </w:r>
          </w:p>
          <w:p>
            <w:pPr>
              <w:spacing w:before="0" w:after="14" w:line="259" w:lineRule="auto"/>
              <w:ind w:left="72" w:right="0" w:firstLine="0"/>
              <w:jc w:val="left"/>
            </w:pPr>
            <w:r>
              <w:rPr>
                <w:sz w:val="16"/>
              </w:rPr>
              <w:t xml:space="preserve"> </w:t>
            </w:r>
          </w:p>
          <w:p>
            <w:pPr>
              <w:spacing w:before="0" w:after="5" w:line="271" w:lineRule="auto"/>
              <w:ind w:left="72" w:right="0" w:firstLine="0"/>
            </w:pPr>
            <w:r>
              <w:rPr>
                <w:sz w:val="16"/>
              </w:rPr>
              <w:t xml:space="preserve">-</w:t>
            </w:r>
            <w:r>
              <w:rPr>
                <w:sz w:val="16"/>
              </w:rPr>
              <w:t xml:space="preserve">Weak social, economic and productive infrastructure </w:t>
            </w:r>
          </w:p>
          <w:p>
            <w:pPr>
              <w:spacing w:before="0" w:after="10" w:line="277" w:lineRule="auto"/>
              <w:ind w:left="72" w:right="0" w:firstLine="0"/>
            </w:pPr>
            <w:r>
              <w:rPr>
                <w:sz w:val="16"/>
              </w:rPr>
              <w:t xml:space="preserve">(markets, roads/ transportation) and high urban/rural disparities. </w:t>
            </w:r>
            <w:r>
              <w:rPr>
                <w:sz w:val="16"/>
              </w:rPr>
              <w:t xml:space="preserve"> </w:t>
            </w:r>
          </w:p>
          <w:p>
            <w:pPr>
              <w:spacing w:before="0" w:after="50" w:line="259" w:lineRule="auto"/>
              <w:ind w:left="72" w:right="0" w:firstLine="0"/>
              <w:jc w:val="left"/>
            </w:pPr>
            <w:r>
              <w:rPr>
                <w:sz w:val="17"/>
              </w:rPr>
              <w:t xml:space="preserve"> </w:t>
            </w:r>
          </w:p>
          <w:p>
            <w:pPr>
              <w:spacing w:before="0" w:after="0" w:line="259" w:lineRule="auto"/>
              <w:ind w:left="72" w:right="0" w:firstLine="0"/>
              <w:jc w:val="left"/>
            </w:pPr>
            <w:r>
              <w:rPr>
                <w:rFonts w:cs="Cambria" w:hAnsi="Cambria" w:eastAsia="Cambria" w:ascii="Cambria"/>
                <w:b w:val="1"/>
                <w:i w:val="1"/>
                <w:sz w:val="20"/>
              </w:rPr>
              <w:t xml:space="preserve">Indicators:</w:t>
            </w:r>
            <w:r>
              <w:rPr>
                <w:rFonts w:cs="Cambria" w:hAnsi="Cambria" w:eastAsia="Cambria" w:ascii="Cambria"/>
                <w:b w:val="1"/>
                <w:i w:val="1"/>
                <w:sz w:val="20"/>
              </w:rPr>
              <w:t xml:space="preserve"> </w:t>
            </w:r>
          </w:p>
          <w:p>
            <w:pPr>
              <w:spacing w:before="0" w:after="0" w:line="259" w:lineRule="auto"/>
              <w:ind w:left="72" w:right="0" w:firstLine="0"/>
              <w:jc w:val="left"/>
            </w:pPr>
            <w:r>
              <w:rPr>
                <w:sz w:val="17"/>
              </w:rPr>
              <w:t xml:space="preserve"> </w:t>
            </w:r>
          </w:p>
          <w:p>
            <w:pPr>
              <w:spacing w:before="0" w:after="0" w:line="235" w:lineRule="auto"/>
              <w:ind w:left="72" w:right="0" w:firstLine="0"/>
              <w:jc w:val="left"/>
            </w:pPr>
            <w:r>
              <w:rPr>
                <w:sz w:val="18"/>
              </w:rPr>
              <w:t xml:space="preserve">-</w:t>
            </w:r>
            <w:r>
              <w:rPr>
                <w:sz w:val="18"/>
              </w:rPr>
              <w:t xml:space="preserve">Number of targeted people that have undergone training and apprenticeship disaggregated by gender and </w:t>
            </w:r>
          </w:p>
          <w:p>
            <w:pPr>
              <w:spacing w:before="0" w:after="0" w:line="259" w:lineRule="auto"/>
              <w:ind w:left="72" w:right="0" w:firstLine="0"/>
              <w:jc w:val="left"/>
            </w:pPr>
            <w:r>
              <w:rPr>
                <w:sz w:val="18"/>
              </w:rPr>
              <w:t xml:space="preserve">type of training</w:t>
            </w:r>
            <w:r>
              <w:rPr>
                <w:sz w:val="18"/>
              </w:rPr>
              <w:t xml:space="preserve">; </w:t>
            </w:r>
          </w:p>
          <w:p>
            <w:pPr>
              <w:spacing w:before="0" w:after="0" w:line="259" w:lineRule="auto"/>
              <w:ind w:left="72" w:right="0" w:firstLine="0"/>
              <w:jc w:val="left"/>
            </w:pPr>
            <w:r>
              <w:rPr>
                <w:sz w:val="18"/>
              </w:rPr>
              <w:t xml:space="preserve"> </w:t>
            </w:r>
          </w:p>
          <w:p>
            <w:pPr>
              <w:spacing w:before="0" w:after="2" w:line="233" w:lineRule="auto"/>
              <w:ind w:left="72" w:right="28" w:firstLine="0"/>
              <w:jc w:val="left"/>
            </w:pPr>
            <w:r>
              <w:rPr>
                <w:sz w:val="18"/>
              </w:rPr>
              <w:t xml:space="preserve">-</w:t>
            </w:r>
            <w:r>
              <w:rPr>
                <w:sz w:val="18"/>
              </w:rPr>
              <w:t xml:space="preserve">Number of jobs/employment opportunities created as a result of the programme </w:t>
            </w:r>
          </w:p>
          <w:p>
            <w:pPr>
              <w:spacing w:before="0" w:after="0" w:line="259" w:lineRule="auto"/>
              <w:ind w:left="72" w:right="0" w:firstLine="0"/>
              <w:jc w:val="left"/>
            </w:pPr>
            <w:r>
              <w:rPr>
                <w:sz w:val="18"/>
              </w:rPr>
              <w:t xml:space="preserve">interventions</w:t>
            </w:r>
            <w:r>
              <w:rPr>
                <w:sz w:val="18"/>
              </w:rPr>
              <w:t xml:space="preserve">; </w:t>
            </w:r>
          </w:p>
          <w:p>
            <w:pPr>
              <w:spacing w:before="0" w:after="0" w:line="259" w:lineRule="auto"/>
              <w:ind w:left="245" w:right="0" w:firstLine="0"/>
              <w:jc w:val="left"/>
            </w:pPr>
            <w:r>
              <w:rPr>
                <w:sz w:val="18"/>
              </w:rPr>
              <w:t xml:space="preserve"> </w:t>
            </w:r>
          </w:p>
          <w:p>
            <w:pPr>
              <w:spacing w:before="0" w:after="24" w:line="235" w:lineRule="auto"/>
              <w:ind w:left="72" w:right="125" w:firstLine="0"/>
            </w:pPr>
            <w:r>
              <w:rPr>
                <w:sz w:val="18"/>
              </w:rPr>
              <w:t xml:space="preserve">-</w:t>
            </w:r>
            <w:r>
              <w:rPr>
                <w:sz w:val="18"/>
              </w:rPr>
              <w:t xml:space="preserve">Number of farmer groups/produce marketing groups involved in identified value chain</w:t>
            </w:r>
            <w:r>
              <w:rPr>
                <w:sz w:val="18"/>
              </w:rPr>
              <w:t xml:space="preserve">.</w:t>
            </w:r>
            <w:r>
              <w:rPr>
                <w:sz w:val="18"/>
              </w:rPr>
              <w:t xml:space="preserve"> </w:t>
            </w:r>
          </w:p>
          <w:p>
            <w:pPr>
              <w:spacing w:before="0" w:after="0" w:line="259" w:lineRule="auto"/>
              <w:ind w:left="72" w:right="0" w:firstLine="0"/>
              <w:jc w:val="left"/>
            </w:pPr>
            <w:r>
              <w:rPr>
                <w:rFonts w:cs="Cambria" w:hAnsi="Cambria" w:eastAsia="Cambria" w:ascii="Cambria"/>
                <w:b w:val="1"/>
                <w:i w:val="1"/>
                <w:sz w:val="20"/>
              </w:rPr>
              <w:t xml:space="preserve"> </w:t>
            </w:r>
          </w:p>
          <w:p>
            <w:pPr>
              <w:spacing w:before="0" w:after="12" w:line="259" w:lineRule="auto"/>
              <w:ind w:left="72" w:right="0" w:firstLine="0"/>
              <w:jc w:val="left"/>
            </w:pPr>
            <w:r>
              <w:rPr>
                <w:rFonts w:cs="Cambria" w:hAnsi="Cambria" w:eastAsia="Cambria" w:ascii="Cambria"/>
                <w:b w:val="1"/>
                <w:i w:val="1"/>
                <w:sz w:val="18"/>
              </w:rPr>
              <w:t xml:space="preserve">Annual Targets:</w:t>
            </w:r>
            <w:r>
              <w:rPr>
                <w:rFonts w:cs="Cambria" w:hAnsi="Cambria" w:eastAsia="Cambria" w:ascii="Cambria"/>
                <w:b w:val="1"/>
                <w:i w:val="1"/>
                <w:sz w:val="18"/>
              </w:rPr>
              <w:t xml:space="preserve"> </w:t>
            </w:r>
          </w:p>
          <w:p>
            <w:pPr>
              <w:spacing w:before="0" w:after="0" w:line="259" w:lineRule="auto"/>
              <w:ind w:left="72" w:right="0" w:firstLine="0"/>
              <w:jc w:val="left"/>
            </w:pPr>
            <w:r>
              <w:rPr>
                <w:rFonts w:cs="Cambria" w:hAnsi="Cambria" w:eastAsia="Cambria" w:ascii="Cambria"/>
                <w:b w:val="1"/>
                <w:i w:val="1"/>
                <w:sz w:val="18"/>
              </w:rPr>
              <w:t xml:space="preserve"> </w:t>
            </w:r>
          </w:p>
          <w:p>
            <w:pPr>
              <w:spacing w:before="0" w:after="0" w:line="259" w:lineRule="auto"/>
              <w:ind w:left="72" w:right="58" w:firstLine="0"/>
              <w:jc w:val="left"/>
            </w:pPr>
            <w:r>
              <w:rPr>
                <w:sz w:val="17"/>
              </w:rPr>
              <w:t xml:space="preserve">-</w:t>
            </w:r>
            <w:r>
              <w:rPr>
                <w:sz w:val="17"/>
              </w:rPr>
              <w:t xml:space="preserve">Around 500 youth (young men and women including ex</w:t>
            </w:r>
            <w:r>
              <w:rPr>
                <w:sz w:val="17"/>
              </w:rPr>
              <w:t xml:space="preserve"/>
            </w:r>
            <w:r>
              <w:rPr>
                <w:sz w:val="17"/>
              </w:rPr>
              <w:t xml:space="preserve">combatants and survivors physically affected) are targeted with market</w:t>
            </w:r>
            <w:r>
              <w:rPr>
                <w:sz w:val="17"/>
              </w:rPr>
              <w:t xml:space="preserve"/>
            </w:r>
            <w:r>
              <w:rPr>
                <w:sz w:val="17"/>
              </w:rPr>
              <w:t xml:space="preserve">responsive vocational training and business development </w:t>
            </w:r>
          </w:p>
        </w:tc>
        <w:tc>
          <w:tcPr>
            <w:tcW w:w="2309" w:type="dxa"/>
            <w:tcBorders>
              <w:top w:val="single" w:sz="4" w:color="000000"/>
              <w:left w:val="single" w:sz="4" w:color="000000"/>
              <w:bottom w:val="single" w:sz="4" w:color="000000"/>
              <w:right w:val="single" w:sz="4" w:color="000000"/>
            </w:tcBorders>
            <w:vAlign w:val="top"/>
          </w:tcPr>
          <w:p>
            <w:pPr>
              <w:spacing w:before="0" w:after="14" w:line="259" w:lineRule="auto"/>
              <w:ind w:left="67" w:right="0" w:firstLine="0"/>
              <w:jc w:val="left"/>
            </w:pPr>
            <w:r>
              <w:rPr>
                <w:rFonts w:cs="Cambria" w:hAnsi="Cambria" w:eastAsia="Cambria" w:ascii="Cambria"/>
                <w:b w:val="1"/>
                <w:sz w:val="16"/>
              </w:rPr>
              <w:t xml:space="preserve">Activity result</w:t>
            </w:r>
            <w:r>
              <w:rPr>
                <w:rFonts w:cs="Cambria" w:hAnsi="Cambria" w:eastAsia="Cambria" w:ascii="Cambria"/>
                <w:b w:val="1"/>
                <w:sz w:val="16"/>
              </w:rPr>
              <w:t xml:space="preserve"> </w:t>
            </w:r>
            <w:r>
              <w:rPr>
                <w:rFonts w:cs="Cambria" w:hAnsi="Cambria" w:eastAsia="Cambria" w:ascii="Cambria"/>
                <w:b w:val="1"/>
                <w:sz w:val="16"/>
              </w:rPr>
              <w:t xml:space="preserve">2.2 :</w:t>
            </w:r>
            <w:r>
              <w:rPr>
                <w:sz w:val="16"/>
              </w:rPr>
              <w:t xml:space="preserve"> </w:t>
            </w:r>
          </w:p>
          <w:p>
            <w:pPr>
              <w:spacing w:before="0" w:after="0" w:line="260" w:lineRule="auto"/>
              <w:ind w:left="67" w:right="0" w:firstLine="0"/>
              <w:jc w:val="left"/>
            </w:pPr>
            <w:r>
              <w:rPr>
                <w:sz w:val="16"/>
              </w:rPr>
              <w:t xml:space="preserve">Government aided vocational schools </w:t>
            </w:r>
            <w:r>
              <w:rPr>
                <w:sz w:val="16"/>
              </w:rPr>
              <w:t xml:space="preserve">   </w:t>
            </w:r>
            <w:r>
              <w:rPr>
                <w:sz w:val="16"/>
              </w:rPr>
              <w:t xml:space="preserve">equipped with tools</w:t>
            </w:r>
            <w:r>
              <w:rPr>
                <w:sz w:val="16"/>
              </w:rPr>
              <w:t xml:space="preserve"> </w:t>
            </w:r>
            <w:r>
              <w:rPr>
                <w:sz w:val="16"/>
              </w:rPr>
              <w:t xml:space="preserve">Identify vocational schools in the three sub regions to be equipped with tools</w:t>
            </w:r>
            <w:r>
              <w:rPr>
                <w:sz w:val="16"/>
              </w:rPr>
              <w:t xml:space="preserve"> </w:t>
            </w:r>
          </w:p>
          <w:p>
            <w:pPr>
              <w:spacing w:before="0" w:after="23" w:line="259" w:lineRule="auto"/>
              <w:ind w:left="67" w:right="0" w:firstLine="0"/>
              <w:jc w:val="left"/>
            </w:pPr>
            <w:r>
              <w:rPr>
                <w:sz w:val="16"/>
              </w:rPr>
              <w:t xml:space="preserve"> </w:t>
            </w:r>
          </w:p>
          <w:p>
            <w:pPr>
              <w:spacing w:before="0" w:after="16" w:line="259" w:lineRule="auto"/>
              <w:ind w:left="67"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w:t>
            </w:r>
            <w:r>
              <w:rPr>
                <w:rFonts w:cs="Cambria" w:hAnsi="Cambria" w:eastAsia="Cambria" w:ascii="Cambria"/>
                <w:b w:val="1"/>
                <w:sz w:val="17"/>
              </w:rPr>
              <w:t xml:space="preserve"> </w:t>
            </w:r>
          </w:p>
          <w:p>
            <w:pPr>
              <w:spacing w:before="0" w:after="55" w:line="251" w:lineRule="auto"/>
              <w:ind w:left="67" w:right="52" w:firstLine="0"/>
              <w:jc w:val="left"/>
            </w:pPr>
            <w:r>
              <w:rPr>
                <w:sz w:val="17"/>
              </w:rPr>
              <w:t xml:space="preserve">- </w:t>
            </w:r>
            <w:r>
              <w:rPr>
                <w:sz w:val="17"/>
              </w:rPr>
              <w:t xml:space="preserve">Carry out a needs assessment of the schools</w:t>
            </w:r>
            <w:r>
              <w:rPr>
                <w:sz w:val="17"/>
              </w:rPr>
              <w:t xml:space="preserve"> - </w:t>
            </w:r>
            <w:r>
              <w:rPr>
                <w:sz w:val="17"/>
              </w:rPr>
              <w:t xml:space="preserve">Procure and equip the schools with the equipment</w:t>
            </w:r>
            <w:r>
              <w:rPr>
                <w:sz w:val="17"/>
              </w:rPr>
              <w:t xml:space="preserve"> -</w:t>
            </w:r>
            <w:r>
              <w:rPr>
                <w:sz w:val="17"/>
              </w:rPr>
              <w:t xml:space="preserve">Review 	the 	partnership between the schools and </w:t>
            </w:r>
          </w:p>
          <w:p>
            <w:pPr>
              <w:spacing w:before="0" w:after="0" w:line="259" w:lineRule="auto"/>
              <w:ind w:left="67" w:right="0" w:firstLine="0"/>
              <w:jc w:val="left"/>
            </w:pPr>
            <w:r>
              <w:rPr>
                <w:sz w:val="17"/>
              </w:rPr>
              <w:t xml:space="preserve">UNDP</w:t>
            </w: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16" w:line="259" w:lineRule="auto"/>
              <w:ind w:left="67" w:right="0" w:firstLine="0"/>
              <w:jc w:val="left"/>
            </w:pPr>
            <w:r>
              <w:rPr>
                <w:sz w:val="22"/>
              </w:rPr>
              <w:t xml:space="preserve"> </w:t>
            </w:r>
          </w:p>
          <w:p>
            <w:pPr>
              <w:spacing w:before="0" w:after="0" w:line="259" w:lineRule="auto"/>
              <w:ind w:left="67"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X</w:t>
            </w:r>
            <w:r>
              <w:rPr>
                <w:sz w:val="18"/>
              </w:rPr>
              <w:t xml:space="preserve"> </w:t>
            </w:r>
          </w:p>
        </w:tc>
        <w:tc>
          <w:tcPr>
            <w:tcW w:w="1406" w:type="dxa"/>
            <w:tcBorders>
              <w:top w:val="single" w:sz="4" w:color="000000"/>
              <w:left w:val="single" w:sz="4" w:color="000000"/>
              <w:bottom w:val="single" w:sz="4" w:color="000000"/>
              <w:right w:val="nil"/>
            </w:tcBorders>
            <w:vAlign w:val="top"/>
          </w:tcPr>
          <w:p>
            <w:pPr>
              <w:tabs>
                <w:tab w:val="center" w:pos="252"/>
                <w:tab w:val="center" w:pos="958"/>
              </w:tabs>
              <w:spacing w:before="0" w:after="16" w:line="259" w:lineRule="auto"/>
              <w:ind w:left="0" w:right="0" w:firstLine="0"/>
              <w:jc w:val="left"/>
            </w:pPr>
            <w:r>
              <w:rPr>
                <w:rFonts w:cs="Calibri" w:hAnsi="Calibri" w:eastAsia="Calibri" w:ascii="Calibri"/>
                <w:sz w:val="22"/>
              </w:rPr>
              <w:t xml:space="preserve">	</w:t>
            </w:r>
            <w:r>
              <w:rPr>
                <w:sz w:val="18"/>
              </w:rPr>
              <w:t xml:space="preserve">OPM 	and </w:t>
            </w:r>
          </w:p>
          <w:p>
            <w:pPr>
              <w:spacing w:before="0" w:after="0" w:line="259" w:lineRule="auto"/>
              <w:ind w:left="67" w:right="0" w:firstLine="0"/>
              <w:jc w:val="left"/>
            </w:pPr>
            <w:r>
              <w:rPr>
                <w:sz w:val="18"/>
              </w:rPr>
              <w:t xml:space="preserve">ministries, authorities UNDP, MOES</w:t>
            </w:r>
            <w:r>
              <w:rPr>
                <w:sz w:val="18"/>
              </w:rPr>
              <w:t xml:space="preserve"> </w:t>
            </w:r>
          </w:p>
        </w:tc>
        <w:tc>
          <w:tcPr>
            <w:tcW w:w="504" w:type="dxa"/>
            <w:tcBorders>
              <w:top w:val="single" w:sz="4" w:color="000000"/>
              <w:left w:val="nil"/>
              <w:bottom w:val="single" w:sz="4" w:color="000000"/>
              <w:right w:val="single" w:sz="4" w:color="000000"/>
            </w:tcBorders>
            <w:vAlign w:val="top"/>
          </w:tcPr>
          <w:p>
            <w:pPr>
              <w:spacing w:before="0" w:after="0" w:line="259" w:lineRule="auto"/>
              <w:ind w:left="0" w:right="43" w:firstLine="0"/>
              <w:jc w:val="right"/>
            </w:pPr>
            <w:r>
              <w:rPr>
                <w:sz w:val="18"/>
              </w:rPr>
              <w:t xml:space="preserve">line local and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UNDP/BCPR</w:t>
            </w:r>
            <w:r>
              <w:rPr>
                <w:sz w:val="18"/>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12" w:line="259" w:lineRule="auto"/>
              <w:ind w:left="72" w:right="0" w:firstLine="0"/>
              <w:jc w:val="left"/>
            </w:pPr>
            <w:r>
              <w:rPr>
                <w:sz w:val="18"/>
              </w:rPr>
              <w:t xml:space="preserve">Consultancy </w:t>
            </w:r>
          </w:p>
          <w:p>
            <w:pPr>
              <w:spacing w:before="0" w:after="5" w:line="267" w:lineRule="auto"/>
              <w:ind w:left="72" w:right="0" w:firstLine="0"/>
              <w:jc w:val="left"/>
            </w:pPr>
            <w:r>
              <w:rPr>
                <w:sz w:val="18"/>
              </w:rPr>
              <w:t xml:space="preserve">fees, professional </w:t>
            </w:r>
          </w:p>
          <w:p>
            <w:pPr>
              <w:spacing w:before="0" w:after="14" w:line="259" w:lineRule="auto"/>
              <w:ind w:left="72" w:right="0" w:firstLine="0"/>
              <w:jc w:val="left"/>
            </w:pPr>
            <w:r>
              <w:rPr>
                <w:sz w:val="18"/>
              </w:rPr>
              <w:t xml:space="preserve">services, </w:t>
            </w:r>
          </w:p>
          <w:p>
            <w:pPr>
              <w:spacing w:before="0" w:after="0" w:line="259" w:lineRule="auto"/>
              <w:ind w:left="72" w:right="0" w:firstLine="0"/>
              <w:jc w:val="left"/>
            </w:pPr>
            <w:r>
              <w:rPr>
                <w:sz w:val="18"/>
              </w:rPr>
              <w:t xml:space="preserve">purchase 	of tools and other equipment 	for the schools</w:t>
            </w:r>
            <w:r>
              <w:rPr>
                <w:sz w:val="18"/>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sz w:val="22"/>
              </w:rPr>
              <w:t xml:space="preserve">130,000</w:t>
            </w:r>
            <w:r>
              <w:rPr>
                <w:sz w:val="22"/>
              </w:rPr>
              <w:t xml:space="preserve"> </w:t>
            </w:r>
          </w:p>
        </w:tc>
      </w:tr>
      <w:tr>
        <w:trPr>
          <w:trHeight w:val="603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09" w:type="dxa"/>
            <w:tcBorders>
              <w:top w:val="single" w:sz="4" w:color="000000"/>
              <w:left w:val="single" w:sz="4" w:color="000000"/>
              <w:bottom w:val="single" w:sz="4" w:color="000000"/>
              <w:right w:val="single" w:sz="4" w:color="000000"/>
            </w:tcBorders>
            <w:vAlign w:val="top"/>
          </w:tcPr>
          <w:p>
            <w:pPr>
              <w:spacing w:before="0" w:after="0" w:line="279" w:lineRule="auto"/>
              <w:ind w:left="67" w:right="41" w:firstLine="0"/>
              <w:jc w:val="left"/>
            </w:pPr>
            <w:r>
              <w:rPr>
                <w:rFonts w:cs="Cambria" w:hAnsi="Cambria" w:eastAsia="Cambria" w:ascii="Cambria"/>
                <w:b w:val="1"/>
                <w:sz w:val="17"/>
              </w:rPr>
              <w:t xml:space="preserve">Activity Result 2.3</w:t>
            </w:r>
            <w:r>
              <w:rPr>
                <w:sz w:val="22"/>
              </w:rPr>
              <w:t xml:space="preserve"> </w:t>
            </w:r>
            <w:r>
              <w:rPr>
                <w:sz w:val="17"/>
              </w:rPr>
              <w:t xml:space="preserve">Enterprises established and/or developed while at the same time invest in value chains for certain products to enhance alternative livelihoods and diversified economic opportunities</w:t>
            </w:r>
            <w:r>
              <w:rPr>
                <w:sz w:val="17"/>
              </w:rPr>
              <w:t xml:space="preserve"> </w:t>
            </w:r>
          </w:p>
          <w:p>
            <w:pPr>
              <w:spacing w:before="0" w:after="16" w:line="259" w:lineRule="auto"/>
              <w:ind w:left="67" w:right="0" w:firstLine="0"/>
              <w:jc w:val="left"/>
            </w:pPr>
            <w:r>
              <w:rPr>
                <w:rFonts w:cs="Cambria" w:hAnsi="Cambria" w:eastAsia="Cambria" w:ascii="Cambria"/>
                <w:b w:val="1"/>
                <w:sz w:val="17"/>
              </w:rPr>
              <w:t xml:space="preserve"> </w:t>
            </w:r>
          </w:p>
          <w:p>
            <w:pPr>
              <w:spacing w:before="0" w:after="11" w:line="259" w:lineRule="auto"/>
              <w:ind w:left="67"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w:t>
            </w:r>
            <w:r>
              <w:rPr>
                <w:rFonts w:cs="Cambria" w:hAnsi="Cambria" w:eastAsia="Cambria" w:ascii="Cambria"/>
                <w:b w:val="1"/>
                <w:sz w:val="17"/>
              </w:rPr>
              <w:t xml:space="preserve"> </w:t>
            </w:r>
          </w:p>
          <w:p>
            <w:pPr>
              <w:numPr>
                <w:ilvl w:val="0"/>
                <w:numId w:val="26"/>
              </w:numPr>
              <w:spacing w:before="0" w:after="16" w:line="259" w:lineRule="auto"/>
              <w:ind w:left="67" w:right="52" w:firstLine="0"/>
              <w:jc w:val="left"/>
            </w:pPr>
            <w:r>
              <w:rPr>
                <w:sz w:val="17"/>
              </w:rPr>
              <w:t xml:space="preserve">Identify farmer groups</w:t>
            </w:r>
            <w:r>
              <w:rPr>
                <w:sz w:val="17"/>
              </w:rPr>
              <w:t xml:space="preserve"> </w:t>
            </w:r>
          </w:p>
          <w:p>
            <w:pPr>
              <w:numPr>
                <w:ilvl w:val="0"/>
                <w:numId w:val="26"/>
              </w:numPr>
              <w:spacing w:before="0" w:after="1" w:line="277" w:lineRule="auto"/>
              <w:ind w:left="67" w:right="52" w:firstLine="0"/>
              <w:jc w:val="left"/>
            </w:pPr>
            <w:r>
              <w:rPr>
                <w:sz w:val="17"/>
              </w:rPr>
              <w:t xml:space="preserve">Identify and support women to form produce marketing groups and support their business with value addition</w:t>
            </w:r>
            <w:r>
              <w:rPr>
                <w:sz w:val="17"/>
              </w:rPr>
              <w:t xml:space="preserve"> </w:t>
            </w:r>
          </w:p>
          <w:p>
            <w:pPr>
              <w:spacing w:before="0" w:after="0" w:line="279" w:lineRule="auto"/>
              <w:ind w:left="67" w:right="0" w:firstLine="0"/>
              <w:jc w:val="left"/>
            </w:pPr>
            <w:r>
              <w:rPr>
                <w:sz w:val="17"/>
              </w:rPr>
              <w:t xml:space="preserve">-</w:t>
            </w:r>
            <w:r>
              <w:rPr>
                <w:sz w:val="17"/>
              </w:rPr>
              <w:t xml:space="preserve">Support establishment of VSLAs</w:t>
            </w:r>
            <w:r>
              <w:rPr>
                <w:sz w:val="17"/>
              </w:rPr>
              <w:t xml:space="preserve"> </w:t>
            </w:r>
          </w:p>
          <w:p>
            <w:pPr>
              <w:spacing w:before="0" w:after="0" w:line="279" w:lineRule="auto"/>
              <w:ind w:left="67" w:right="53" w:firstLine="0"/>
            </w:pPr>
            <w:r>
              <w:rPr>
                <w:sz w:val="17"/>
              </w:rPr>
              <w:t xml:space="preserve">-</w:t>
            </w:r>
            <w:r>
              <w:rPr>
                <w:sz w:val="17"/>
              </w:rPr>
              <w:t xml:space="preserve">Train farmers on improved agronomic practices</w:t>
            </w:r>
            <w:r>
              <w:rPr>
                <w:sz w:val="17"/>
              </w:rPr>
              <w:t xml:space="preserve"> -</w:t>
            </w:r>
            <w:r>
              <w:rPr>
                <w:sz w:val="17"/>
              </w:rPr>
              <w:t xml:space="preserve">Review the support</w:t>
            </w:r>
            <w:r>
              <w:rPr>
                <w:sz w:val="17"/>
              </w:rPr>
              <w:t xml:space="preserve"> </w:t>
            </w:r>
          </w:p>
          <w:p>
            <w:pPr>
              <w:spacing w:before="0" w:after="11" w:line="259" w:lineRule="auto"/>
              <w:ind w:left="67" w:right="0" w:firstLine="0"/>
              <w:jc w:val="left"/>
            </w:pPr>
            <w:r>
              <w:rPr>
                <w:sz w:val="17"/>
              </w:rPr>
              <w:t xml:space="preserve"> </w:t>
            </w:r>
          </w:p>
          <w:p>
            <w:pPr>
              <w:spacing w:before="0" w:after="16" w:line="259" w:lineRule="auto"/>
              <w:ind w:left="67" w:right="0" w:firstLine="0"/>
              <w:jc w:val="left"/>
            </w:pPr>
            <w:r>
              <w:rPr>
                <w:sz w:val="17"/>
              </w:rPr>
              <w:t xml:space="preserve"> </w:t>
            </w:r>
          </w:p>
          <w:p>
            <w:pPr>
              <w:spacing w:before="0" w:after="64" w:line="259" w:lineRule="auto"/>
              <w:ind w:left="67" w:right="0" w:firstLine="0"/>
              <w:jc w:val="left"/>
            </w:pPr>
            <w:r>
              <w:rPr>
                <w:sz w:val="17"/>
              </w:rPr>
              <w:t xml:space="preserve"> </w:t>
            </w:r>
          </w:p>
          <w:p>
            <w:pPr>
              <w:spacing w:before="0" w:after="0" w:line="259" w:lineRule="auto"/>
              <w:ind w:left="67"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67"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X</w:t>
            </w:r>
            <w:r>
              <w:rPr>
                <w:sz w:val="18"/>
              </w:rPr>
              <w:t xml:space="preserve"> </w:t>
            </w:r>
          </w:p>
        </w:tc>
        <w:tc>
          <w:tcPr>
            <w:tcW w:w="191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67" w:right="42" w:firstLine="0"/>
            </w:pPr>
            <w:r>
              <w:rPr>
                <w:sz w:val="20"/>
              </w:rPr>
              <w:t xml:space="preserve">OPM and line ministries, local authorities and UNDP, CSO/NGO</w:t>
            </w: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72" w:right="0" w:firstLine="0"/>
              <w:jc w:val="left"/>
            </w:pPr>
            <w:r>
              <w:rPr>
                <w:sz w:val="18"/>
              </w:rPr>
              <w:t xml:space="preserve">UNDP/BCPR</w:t>
            </w:r>
            <w:r>
              <w:rPr>
                <w:sz w:val="22"/>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12" w:line="259" w:lineRule="auto"/>
              <w:ind w:left="72" w:right="0" w:firstLine="0"/>
              <w:jc w:val="left"/>
            </w:pPr>
            <w:r>
              <w:rPr>
                <w:sz w:val="20"/>
              </w:rPr>
              <w:t xml:space="preserve">Consultancy </w:t>
            </w:r>
          </w:p>
          <w:p>
            <w:pPr>
              <w:spacing w:before="0" w:after="0" w:line="259" w:lineRule="auto"/>
              <w:ind w:left="72" w:right="0" w:firstLine="0"/>
              <w:jc w:val="left"/>
            </w:pPr>
            <w:r>
              <w:rPr>
                <w:sz w:val="20"/>
              </w:rPr>
              <w:t xml:space="preserve">fees, professional services</w:t>
            </w:r>
            <w:r>
              <w:rPr>
                <w:sz w:val="22"/>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67" w:right="0" w:firstLine="0"/>
              <w:jc w:val="left"/>
            </w:pPr>
            <w:r>
              <w:rPr>
                <w:sz w:val="22"/>
              </w:rPr>
              <w:t xml:space="preserve">100,000</w:t>
            </w:r>
            <w:r>
              <w:rPr>
                <w:sz w:val="22"/>
              </w:rPr>
              <w:t xml:space="preserve"> </w:t>
            </w:r>
          </w:p>
        </w:tc>
      </w:tr>
    </w:tbl>
    <w:p>
      <w:pPr>
        <w:spacing w:before="0" w:after="0" w:line="259" w:lineRule="auto"/>
        <w:ind w:left="-1440" w:right="14405" w:firstLine="0"/>
        <w:jc w:val="left"/>
      </w:pPr>
    </w:p>
    <w:tbl>
      <w:tblPr>
        <w:tblStyle w:val="TableGrid"/>
        <w:tblW w:w="13177" w:type="dxa"/>
        <w:tblInd w:w="-107" w:type="dxa"/>
        <w:tblCellMar>
          <w:top w:w="29" w:type="dxa"/>
          <w:left w:w="106" w:type="dxa"/>
          <w:bottom w:w="0" w:type="dxa"/>
          <w:right w:w="61" w:type="dxa"/>
        </w:tblCellMar>
      </w:tblPr>
      <w:tblGrid>
        <w:gridCol w:w="2507"/>
        <w:gridCol w:w="2309"/>
        <w:gridCol w:w="566"/>
        <w:gridCol w:w="566"/>
        <w:gridCol w:w="566"/>
        <w:gridCol w:w="571"/>
        <w:gridCol w:w="1910"/>
        <w:gridCol w:w="1459"/>
        <w:gridCol w:w="1453"/>
        <w:gridCol w:w="1268"/>
      </w:tblGrid>
      <w:tr>
        <w:trPr>
          <w:trHeight w:val="6856" w:hRule="atLeast"/>
        </w:trPr>
        <w:tc>
          <w:tcPr>
            <w:tcW w:w="2507"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17"/>
              </w:rPr>
              <w:t xml:space="preserve">initiatives;</w:t>
            </w:r>
            <w:r>
              <w:rPr>
                <w:sz w:val="17"/>
              </w:rPr>
              <w:t xml:space="preserve"> </w:t>
            </w:r>
          </w:p>
          <w:p>
            <w:pPr>
              <w:spacing w:before="0" w:after="0" w:line="259" w:lineRule="auto"/>
              <w:ind w:left="1" w:right="0" w:firstLine="0"/>
              <w:jc w:val="left"/>
            </w:pPr>
            <w:r>
              <w:rPr>
                <w:sz w:val="17"/>
              </w:rPr>
              <w:t xml:space="preserve"> </w:t>
            </w:r>
          </w:p>
          <w:p>
            <w:pPr>
              <w:spacing w:before="0" w:after="2" w:line="241" w:lineRule="auto"/>
              <w:ind w:left="1" w:right="0" w:firstLine="0"/>
              <w:jc w:val="left"/>
            </w:pPr>
            <w:r>
              <w:rPr>
                <w:sz w:val="17"/>
              </w:rPr>
              <w:t xml:space="preserve">-</w:t>
            </w:r>
            <w:r>
              <w:rPr>
                <w:sz w:val="17"/>
              </w:rPr>
              <w:t xml:space="preserve">At least 3 vocational schools equipped with tools and other equipment for vocational </w:t>
            </w:r>
          </w:p>
          <w:p>
            <w:pPr>
              <w:spacing w:before="0" w:after="0" w:line="259" w:lineRule="auto"/>
              <w:ind w:left="1" w:right="0" w:firstLine="0"/>
              <w:jc w:val="left"/>
            </w:pPr>
            <w:r>
              <w:rPr>
                <w:sz w:val="17"/>
              </w:rPr>
              <w:t xml:space="preserve">training</w:t>
            </w:r>
            <w:r>
              <w:rPr>
                <w:sz w:val="17"/>
              </w:rPr>
              <w:t xml:space="preserve">; </w:t>
            </w:r>
          </w:p>
          <w:p>
            <w:pPr>
              <w:spacing w:before="0" w:after="0" w:line="259" w:lineRule="auto"/>
              <w:ind w:left="1" w:right="0" w:firstLine="0"/>
              <w:jc w:val="left"/>
            </w:pPr>
            <w:r>
              <w:rPr>
                <w:sz w:val="17"/>
              </w:rPr>
              <w:t xml:space="preserve"> </w:t>
            </w:r>
          </w:p>
          <w:p>
            <w:pPr>
              <w:spacing w:before="0" w:after="0" w:line="241" w:lineRule="auto"/>
              <w:ind w:left="1" w:right="131" w:firstLine="0"/>
            </w:pPr>
            <w:r>
              <w:rPr>
                <w:sz w:val="17"/>
              </w:rPr>
              <w:t xml:space="preserve">-</w:t>
            </w:r>
            <w:r>
              <w:rPr>
                <w:sz w:val="17"/>
              </w:rPr>
              <w:t xml:space="preserve">At least 3 women led Produce Marketing Groups established and linked to WFP</w:t>
            </w:r>
            <w:r>
              <w:rPr>
                <w:sz w:val="17"/>
              </w:rPr>
              <w:t xml:space="preserve">; </w:t>
            </w:r>
          </w:p>
          <w:p>
            <w:pPr>
              <w:spacing w:before="0" w:after="0" w:line="259" w:lineRule="auto"/>
              <w:ind w:left="1" w:right="0" w:firstLine="0"/>
              <w:jc w:val="left"/>
            </w:pPr>
            <w:r>
              <w:rPr>
                <w:sz w:val="17"/>
              </w:rPr>
              <w:t xml:space="preserve"> </w:t>
            </w:r>
          </w:p>
          <w:p>
            <w:pPr>
              <w:spacing w:before="0" w:after="51" w:line="240" w:lineRule="auto"/>
              <w:ind w:left="1" w:right="0" w:firstLine="0"/>
              <w:jc w:val="left"/>
            </w:pPr>
            <w:r>
              <w:rPr>
                <w:sz w:val="17"/>
              </w:rPr>
              <w:t xml:space="preserve">-</w:t>
            </w:r>
            <w:r>
              <w:rPr>
                <w:sz w:val="17"/>
              </w:rPr>
              <w:t xml:space="preserve">At least one value chain analysis of a competitive product/service is carried out in conjunction with FAO </w:t>
            </w:r>
            <w:r>
              <w:rPr>
                <w:sz w:val="17"/>
              </w:rPr>
              <w:t xml:space="preserve"> </w:t>
            </w:r>
          </w:p>
          <w:p>
            <w:pPr>
              <w:spacing w:before="0" w:after="16" w:line="259" w:lineRule="auto"/>
              <w:ind w:left="1" w:right="0" w:firstLine="0"/>
              <w:jc w:val="left"/>
            </w:pPr>
            <w:r>
              <w:rPr>
                <w:sz w:val="22"/>
              </w:rPr>
              <w:t xml:space="preserve"> </w:t>
            </w:r>
          </w:p>
          <w:p>
            <w:pPr>
              <w:spacing w:before="0" w:after="11"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1"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6" w:line="259" w:lineRule="auto"/>
              <w:ind w:left="1" w:right="0" w:firstLine="0"/>
              <w:jc w:val="left"/>
            </w:pPr>
            <w:r>
              <w:rPr>
                <w:sz w:val="22"/>
              </w:rPr>
              <w:t xml:space="preserve"> </w:t>
            </w:r>
          </w:p>
          <w:p>
            <w:pPr>
              <w:spacing w:before="0" w:after="11" w:line="259" w:lineRule="auto"/>
              <w:ind w:left="1" w:right="0" w:firstLine="0"/>
              <w:jc w:val="left"/>
            </w:pPr>
            <w:r>
              <w:rPr>
                <w:sz w:val="22"/>
              </w:rPr>
              <w:t xml:space="preserve"> </w:t>
            </w:r>
          </w:p>
          <w:p>
            <w:pPr>
              <w:spacing w:before="0" w:after="0" w:line="259" w:lineRule="auto"/>
              <w:ind w:left="1" w:right="0" w:firstLine="0"/>
              <w:jc w:val="left"/>
            </w:pPr>
            <w:r>
              <w:rPr>
                <w:sz w:val="22"/>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43" w:line="279" w:lineRule="auto"/>
              <w:ind w:left="0" w:right="308" w:firstLine="0"/>
              <w:jc w:val="left"/>
            </w:pPr>
            <w:r>
              <w:rPr>
                <w:rFonts w:cs="Cambria" w:hAnsi="Cambria" w:eastAsia="Cambria" w:ascii="Cambria"/>
                <w:b w:val="1"/>
                <w:sz w:val="17"/>
              </w:rPr>
              <w:t xml:space="preserve">Activity Result 2.</w:t>
            </w:r>
            <w:r>
              <w:rPr>
                <w:rFonts w:cs="Cambria" w:hAnsi="Cambria" w:eastAsia="Cambria" w:ascii="Cambria"/>
                <w:b w:val="1"/>
                <w:sz w:val="17"/>
              </w:rPr>
              <w:t xml:space="preserve">4</w:t>
            </w:r>
            <w:r>
              <w:rPr>
                <w:rFonts w:cs="Cambria" w:hAnsi="Cambria" w:eastAsia="Cambria" w:ascii="Cambria"/>
                <w:b w:val="1"/>
                <w:sz w:val="17"/>
              </w:rPr>
              <w:t xml:space="preserve"> </w:t>
            </w:r>
            <w:r>
              <w:rPr>
                <w:sz w:val="17"/>
              </w:rPr>
              <w:t xml:space="preserve">Local markets developed and/or established</w:t>
            </w:r>
            <w:r>
              <w:rPr>
                <w:sz w:val="17"/>
              </w:rPr>
              <w:t xml:space="preserve"> </w:t>
            </w:r>
          </w:p>
          <w:p>
            <w:pPr>
              <w:spacing w:before="0" w:after="0" w:line="259" w:lineRule="auto"/>
              <w:ind w:left="0" w:right="0" w:firstLine="0"/>
              <w:jc w:val="left"/>
            </w:pPr>
            <w:r>
              <w:rPr>
                <w:sz w:val="22"/>
              </w:rPr>
              <w:t xml:space="preserve"> </w:t>
            </w:r>
          </w:p>
          <w:p>
            <w:pPr>
              <w:spacing w:before="0" w:after="16" w:line="259" w:lineRule="auto"/>
              <w:ind w:left="0"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 </w:t>
            </w:r>
          </w:p>
          <w:p>
            <w:pPr>
              <w:spacing w:before="0" w:after="19" w:line="256" w:lineRule="auto"/>
              <w:ind w:left="0" w:right="0" w:firstLine="0"/>
              <w:jc w:val="left"/>
            </w:pPr>
            <w:r>
              <w:rPr>
                <w:sz w:val="17"/>
              </w:rPr>
              <w:t xml:space="preserve">-</w:t>
            </w:r>
            <w:r>
              <w:rPr>
                <w:sz w:val="17"/>
              </w:rPr>
              <w:t xml:space="preserve">Carry out market assessment of the different commodity crops commonly produced in the sub regions</w:t>
            </w:r>
            <w:r>
              <w:rPr>
                <w:sz w:val="17"/>
              </w:rPr>
              <w:t xml:space="preserve"> -</w:t>
            </w:r>
            <w:r>
              <w:rPr>
                <w:sz w:val="17"/>
              </w:rPr>
              <w:t xml:space="preserve">Development market information system and provide information to the farmers</w:t>
            </w:r>
            <w:r>
              <w:rPr>
                <w:sz w:val="17"/>
              </w:rPr>
              <w:t xml:space="preserve"> </w:t>
            </w:r>
          </w:p>
          <w:p>
            <w:pPr>
              <w:spacing w:before="0" w:after="0" w:line="279" w:lineRule="auto"/>
              <w:ind w:left="0" w:right="0" w:firstLine="0"/>
            </w:pPr>
            <w:r>
              <w:rPr>
                <w:sz w:val="17"/>
              </w:rPr>
              <w:t xml:space="preserve">-</w:t>
            </w:r>
            <w:r>
              <w:rPr>
                <w:sz w:val="17"/>
              </w:rPr>
              <w:t xml:space="preserve">Link produce marketing groups to existing markets </w:t>
            </w:r>
          </w:p>
          <w:p>
            <w:pPr>
              <w:spacing w:before="0" w:after="0" w:line="259" w:lineRule="auto"/>
              <w:ind w:left="0" w:right="0" w:firstLine="0"/>
              <w:jc w:val="left"/>
            </w:pPr>
            <w:r>
              <w:rPr>
                <w:sz w:val="17"/>
              </w:rPr>
              <w:t xml:space="preserve">(WFP)</w:t>
            </w:r>
            <w:r>
              <w:rPr>
                <w:sz w:val="17"/>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tabs>
                <w:tab w:val="center" w:pos="225"/>
                <w:tab w:val="center" w:pos="1513"/>
              </w:tabs>
              <w:spacing w:before="0" w:after="16" w:line="259" w:lineRule="auto"/>
              <w:ind w:left="0" w:right="0" w:firstLine="0"/>
              <w:jc w:val="left"/>
            </w:pPr>
            <w:r>
              <w:rPr>
                <w:rFonts w:cs="Calibri" w:hAnsi="Calibri" w:eastAsia="Calibri" w:ascii="Calibri"/>
                <w:sz w:val="22"/>
              </w:rPr>
              <w:t xml:space="preserve">	</w:t>
            </w:r>
            <w:r>
              <w:rPr>
                <w:sz w:val="20"/>
              </w:rPr>
              <w:t xml:space="preserve">OPM, 	Line </w:t>
            </w:r>
          </w:p>
          <w:p>
            <w:pPr>
              <w:spacing w:before="0" w:after="6" w:line="272" w:lineRule="auto"/>
              <w:ind w:left="0" w:right="43" w:firstLine="0"/>
            </w:pPr>
            <w:r>
              <w:rPr>
                <w:sz w:val="20"/>
              </w:rPr>
              <w:t xml:space="preserve">Ministries, Local Authorities, UNDP, Specialized UN agencies.</w:t>
            </w:r>
            <w:r>
              <w:rPr>
                <w:sz w:val="20"/>
              </w:rPr>
              <w:t xml:space="preserve"> </w:t>
            </w:r>
          </w:p>
          <w:p>
            <w:pPr>
              <w:spacing w:before="0" w:after="10" w:line="275" w:lineRule="auto"/>
              <w:ind w:left="0" w:right="0" w:firstLine="0"/>
              <w:jc w:val="left"/>
            </w:pPr>
            <w:r>
              <w:rPr>
                <w:sz w:val="20"/>
              </w:rPr>
              <w:t xml:space="preserve">NGO/CSO, 	Private sector</w:t>
            </w:r>
            <w:r>
              <w:rPr>
                <w:sz w:val="20"/>
              </w:rPr>
              <w:t xml:space="preserve"> </w:t>
            </w:r>
          </w:p>
          <w:p>
            <w:pPr>
              <w:spacing w:before="0" w:after="0" w:line="259" w:lineRule="auto"/>
              <w:ind w:left="0" w:right="0" w:firstLine="0"/>
              <w:jc w:val="left"/>
            </w:pP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22"/>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Consultancy fees, professional services</w:t>
            </w:r>
            <w:r>
              <w:rPr>
                <w:sz w:val="22"/>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120,000</w:t>
            </w:r>
            <w:r>
              <w:rPr>
                <w:sz w:val="22"/>
              </w:rPr>
              <w:t xml:space="preserve"> </w:t>
            </w:r>
          </w:p>
        </w:tc>
      </w:tr>
      <w:tr>
        <w:trPr>
          <w:trHeight w:val="278" w:hRule="atLeast"/>
        </w:trPr>
        <w:tc>
          <w:tcPr>
            <w:tcW w:w="250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Subtotal </w:t>
            </w:r>
            <w:r>
              <w:rPr>
                <w:rFonts w:cs="Cambria" w:hAnsi="Cambria" w:eastAsia="Cambria" w:ascii="Cambria"/>
                <w:b w:val="1"/>
                <w:sz w:val="20"/>
              </w:rPr>
              <w:t xml:space="preserve">- </w:t>
            </w:r>
            <w:r>
              <w:rPr>
                <w:rFonts w:cs="Cambria" w:hAnsi="Cambria" w:eastAsia="Cambria" w:ascii="Cambria"/>
                <w:b w:val="1"/>
                <w:sz w:val="20"/>
              </w:rPr>
              <w:t xml:space="preserve">Output </w:t>
            </w:r>
            <w:r>
              <w:rPr>
                <w:rFonts w:cs="Cambria" w:hAnsi="Cambria" w:eastAsia="Cambria" w:ascii="Cambria"/>
                <w:b w:val="1"/>
                <w:sz w:val="20"/>
              </w:rPr>
              <w:t xml:space="preserve">2</w:t>
            </w:r>
            <w:r>
              <w:rPr>
                <w:rFonts w:cs="Cambria" w:hAnsi="Cambria" w:eastAsia="Cambria" w:ascii="Cambria"/>
                <w:b w:val="1"/>
                <w:sz w:val="20"/>
              </w:rPr>
              <w:t xml:space="preserve"> </w:t>
            </w:r>
          </w:p>
        </w:tc>
        <w:tc>
          <w:tcPr>
            <w:tcW w:w="9402" w:type="dxa"/>
            <w:gridSpan w:val="8"/>
            <w:tcBorders>
              <w:top w:val="single" w:sz="4" w:color="000000"/>
              <w:left w:val="single" w:sz="4" w:color="000000"/>
              <w:bottom w:val="single" w:sz="4" w:color="000000"/>
              <w:right w:val="single" w:sz="4" w:color="000000"/>
            </w:tcBorders>
            <w:shd w:val="clear" w:fill="dddddd"/>
            <w:vAlign w:val="top"/>
          </w:tcPr>
          <w:p>
            <w:pPr>
              <w:spacing w:before="0" w:after="0" w:line="259" w:lineRule="auto"/>
              <w:ind w:left="0" w:right="0" w:firstLine="0"/>
              <w:jc w:val="left"/>
            </w:pP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700,000</w:t>
            </w:r>
            <w:r>
              <w:rPr>
                <w:rFonts w:cs="Cambria" w:hAnsi="Cambria" w:eastAsia="Cambria" w:ascii="Cambria"/>
                <w:b w:val="1"/>
                <w:sz w:val="20"/>
              </w:rPr>
              <w:t xml:space="preserve"> </w:t>
            </w:r>
          </w:p>
        </w:tc>
      </w:tr>
    </w:tbl>
    <w:p>
      <w:pPr>
        <w:spacing w:before="0" w:after="0" w:line="259" w:lineRule="auto"/>
        <w:ind w:left="-1440" w:right="14405" w:firstLine="0"/>
        <w:jc w:val="left"/>
      </w:pPr>
    </w:p>
    <w:tbl>
      <w:tblPr>
        <w:tblStyle w:val="TableGrid"/>
        <w:tblW w:w="13177" w:type="dxa"/>
        <w:tblInd w:w="-107" w:type="dxa"/>
        <w:tblCellMar>
          <w:top w:w="29" w:type="dxa"/>
          <w:left w:w="106" w:type="dxa"/>
          <w:bottom w:w="0" w:type="dxa"/>
          <w:right w:w="61" w:type="dxa"/>
        </w:tblCellMar>
      </w:tblPr>
      <w:tblGrid>
        <w:gridCol w:w="2507"/>
        <w:gridCol w:w="2309"/>
        <w:gridCol w:w="566"/>
        <w:gridCol w:w="566"/>
        <w:gridCol w:w="566"/>
        <w:gridCol w:w="571"/>
        <w:gridCol w:w="1910"/>
        <w:gridCol w:w="1459"/>
        <w:gridCol w:w="1453"/>
        <w:gridCol w:w="1268"/>
      </w:tblGrid>
      <w:tr>
        <w:trPr>
          <w:trHeight w:val="4580" w:hRule="atLeast"/>
        </w:trPr>
        <w:tc>
          <w:tcPr>
            <w:tcW w:w="2507" w:type="dxa"/>
            <w:tcBorders>
              <w:top w:val="single" w:sz="4" w:color="000000"/>
              <w:left w:val="single" w:sz="4" w:color="000000"/>
              <w:bottom w:val="single" w:sz="4" w:color="000000"/>
              <w:right w:val="single" w:sz="4" w:color="000000"/>
            </w:tcBorders>
            <w:vAlign w:val="top"/>
          </w:tcPr>
          <w:p>
            <w:pPr>
              <w:spacing w:before="0" w:after="11" w:line="270" w:lineRule="auto"/>
              <w:ind w:left="1" w:right="0" w:firstLine="0"/>
            </w:pPr>
            <w:r>
              <w:rPr>
                <w:rFonts w:cs="Cambria" w:hAnsi="Cambria" w:eastAsia="Cambria" w:ascii="Cambria"/>
                <w:b w:val="1"/>
                <w:sz w:val="18"/>
              </w:rPr>
              <w:t xml:space="preserve">Output 3:</w:t>
            </w:r>
            <w:r>
              <w:rPr>
                <w:sz w:val="18"/>
              </w:rPr>
              <w:t xml:space="preserve"> </w:t>
            </w:r>
            <w:r>
              <w:rPr>
                <w:sz w:val="19"/>
              </w:rPr>
              <w:t xml:space="preserve">Peaceful and sustainable mining in </w:t>
            </w:r>
          </w:p>
          <w:p>
            <w:pPr>
              <w:spacing w:before="0" w:after="14" w:line="259" w:lineRule="auto"/>
              <w:ind w:left="1" w:right="0" w:firstLine="0"/>
              <w:jc w:val="left"/>
            </w:pPr>
            <w:r>
              <w:rPr>
                <w:sz w:val="19"/>
              </w:rPr>
              <w:t xml:space="preserve">Northern Uganda</w:t>
            </w: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16" w:line="259" w:lineRule="auto"/>
              <w:ind w:left="1" w:right="0" w:firstLine="0"/>
              <w:jc w:val="left"/>
            </w:pPr>
            <w:r>
              <w:rPr>
                <w:rFonts w:cs="Cambria" w:hAnsi="Cambria" w:eastAsia="Cambria" w:ascii="Cambria"/>
                <w:b w:val="1"/>
                <w:i w:val="1"/>
                <w:sz w:val="20"/>
              </w:rPr>
              <w:t xml:space="preserve">Baseline:</w:t>
            </w:r>
            <w:r>
              <w:rPr>
                <w:rFonts w:cs="Cambria" w:hAnsi="Cambria" w:eastAsia="Cambria" w:ascii="Cambria"/>
                <w:b w:val="1"/>
                <w:i w:val="1"/>
                <w:sz w:val="20"/>
              </w:rPr>
              <w:t xml:space="preserve"> </w:t>
            </w:r>
          </w:p>
          <w:p>
            <w:pPr>
              <w:spacing w:before="0" w:after="12" w:line="259" w:lineRule="auto"/>
              <w:ind w:left="1" w:right="0" w:firstLine="0"/>
              <w:jc w:val="left"/>
            </w:pPr>
            <w:r>
              <w:rPr>
                <w:rFonts w:cs="Cambria" w:hAnsi="Cambria" w:eastAsia="Cambria" w:ascii="Cambria"/>
                <w:i w:val="1"/>
                <w:sz w:val="20"/>
              </w:rPr>
              <w:t xml:space="preserve">TBD</w:t>
            </w: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0" w:line="259" w:lineRule="auto"/>
              <w:ind w:left="1" w:right="0" w:firstLine="0"/>
              <w:jc w:val="left"/>
            </w:pPr>
            <w:r>
              <w:rPr>
                <w:rFonts w:cs="Cambria" w:hAnsi="Cambria" w:eastAsia="Cambria" w:ascii="Cambria"/>
                <w:b w:val="1"/>
                <w:i w:val="1"/>
                <w:sz w:val="20"/>
              </w:rPr>
              <w:t xml:space="preserve">Indicators:</w:t>
            </w:r>
            <w:r>
              <w:rPr>
                <w:rFonts w:cs="Cambria" w:hAnsi="Cambria" w:eastAsia="Cambria" w:ascii="Cambria"/>
                <w:b w:val="1"/>
                <w:i w:val="1"/>
                <w:sz w:val="20"/>
              </w:rPr>
              <w:t xml:space="preserve"> </w:t>
            </w:r>
          </w:p>
          <w:p>
            <w:pPr>
              <w:spacing w:before="0" w:after="21" w:line="271" w:lineRule="auto"/>
              <w:ind w:left="1" w:right="43" w:firstLine="0"/>
            </w:pPr>
            <w:r>
              <w:rPr>
                <w:sz w:val="18"/>
              </w:rPr>
              <w:t xml:space="preserve">- </w:t>
            </w:r>
            <w:r>
              <w:rPr>
                <w:sz w:val="18"/>
              </w:rPr>
              <w:t xml:space="preserve">Information/data on the status of mineral exploration and mining in Karamoja in place</w:t>
            </w:r>
            <w:r>
              <w:rPr>
                <w:sz w:val="18"/>
              </w:rPr>
              <w:t xml:space="preserve"> </w:t>
            </w:r>
          </w:p>
          <w:p>
            <w:pPr>
              <w:spacing w:before="0" w:after="0" w:line="259" w:lineRule="auto"/>
              <w:ind w:left="1" w:right="0" w:firstLine="0"/>
              <w:jc w:val="left"/>
            </w:pP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b w:val="1"/>
                <w:i w:val="1"/>
                <w:sz w:val="18"/>
              </w:rPr>
              <w:t xml:space="preserve">Annual Targets:</w:t>
            </w:r>
            <w:r>
              <w:rPr>
                <w:rFonts w:cs="Cambria" w:hAnsi="Cambria" w:eastAsia="Cambria" w:ascii="Cambria"/>
                <w:b w:val="1"/>
                <w:i w:val="1"/>
                <w:sz w:val="18"/>
              </w:rPr>
              <w:t xml:space="preserve"> </w:t>
            </w:r>
          </w:p>
          <w:p>
            <w:pPr>
              <w:spacing w:before="0" w:after="2" w:line="270" w:lineRule="auto"/>
              <w:ind w:left="1" w:right="44" w:firstLine="0"/>
            </w:pPr>
            <w:r>
              <w:rPr>
                <w:sz w:val="18"/>
              </w:rPr>
              <w:t xml:space="preserve">-</w:t>
            </w:r>
            <w:r>
              <w:rPr>
                <w:sz w:val="18"/>
              </w:rPr>
              <w:t xml:space="preserve">Research on the status of mineral exploration and mining in Karamoja and </w:t>
            </w:r>
          </w:p>
          <w:p>
            <w:pPr>
              <w:spacing w:before="0" w:after="0" w:line="259" w:lineRule="auto"/>
              <w:ind w:left="1" w:right="0" w:firstLine="0"/>
              <w:jc w:val="left"/>
            </w:pPr>
            <w:r>
              <w:rPr>
                <w:sz w:val="18"/>
              </w:rPr>
              <w:t xml:space="preserve">Acholi</w:t>
            </w:r>
            <w:r>
              <w:rPr>
                <w:sz w:val="18"/>
              </w:rPr>
              <w:t xml:space="preserve"> </w:t>
            </w:r>
          </w:p>
        </w:tc>
        <w:tc>
          <w:tcPr>
            <w:tcW w:w="2309" w:type="dxa"/>
            <w:tcBorders>
              <w:top w:val="single" w:sz="4" w:color="000000"/>
              <w:left w:val="single" w:sz="4" w:color="000000"/>
              <w:bottom w:val="single" w:sz="4" w:color="000000"/>
              <w:right w:val="single" w:sz="4" w:color="000000"/>
            </w:tcBorders>
            <w:vAlign w:val="top"/>
          </w:tcPr>
          <w:p>
            <w:pPr>
              <w:tabs>
                <w:tab w:val="center" w:pos="299"/>
                <w:tab w:val="center" w:pos="1199"/>
                <w:tab w:val="center" w:pos="1944"/>
              </w:tabs>
              <w:spacing w:before="0" w:after="20" w:line="259" w:lineRule="auto"/>
              <w:ind w:left="0" w:right="0" w:firstLine="0"/>
              <w:jc w:val="left"/>
            </w:pPr>
            <w:r>
              <w:rPr>
                <w:rFonts w:cs="Calibri" w:hAnsi="Calibri" w:eastAsia="Calibri" w:ascii="Calibri"/>
                <w:sz w:val="22"/>
              </w:rPr>
              <w:t xml:space="preserve">	</w:t>
            </w:r>
            <w:r>
              <w:rPr>
                <w:rFonts w:cs="Cambria" w:hAnsi="Cambria" w:eastAsia="Cambria" w:ascii="Cambria"/>
                <w:b w:val="1"/>
                <w:sz w:val="17"/>
              </w:rPr>
              <w:t xml:space="preserve">Activity 	result</w:t>
            </w:r>
            <w:r>
              <w:rPr>
                <w:rFonts w:cs="Cambria" w:hAnsi="Cambria" w:eastAsia="Cambria" w:ascii="Cambria"/>
                <w:b w:val="1"/>
                <w:sz w:val="17"/>
              </w:rPr>
              <w:t xml:space="preserve"> 	</w:t>
            </w:r>
            <w:r>
              <w:rPr>
                <w:rFonts w:cs="Cambria" w:hAnsi="Cambria" w:eastAsia="Cambria" w:ascii="Cambria"/>
                <w:b w:val="1"/>
                <w:sz w:val="17"/>
              </w:rPr>
              <w:t xml:space="preserve">3.1:</w:t>
            </w:r>
            <w:r>
              <w:rPr>
                <w:rFonts w:cs="Cambria" w:hAnsi="Cambria" w:eastAsia="Cambria" w:ascii="Cambria"/>
                <w:b w:val="1"/>
                <w:i w:val="1"/>
                <w:sz w:val="17"/>
              </w:rPr>
              <w:t xml:space="preserve"> </w:t>
            </w:r>
          </w:p>
          <w:p>
            <w:pPr>
              <w:spacing w:before="0" w:after="2" w:line="276" w:lineRule="auto"/>
              <w:ind w:left="0" w:right="53" w:firstLine="0"/>
            </w:pPr>
            <w:r>
              <w:rPr>
                <w:sz w:val="17"/>
              </w:rPr>
              <w:t xml:space="preserve">Research and assessment of the status of mineral exploration and mining in </w:t>
            </w:r>
          </w:p>
          <w:p>
            <w:pPr>
              <w:spacing w:before="0" w:after="16" w:line="259" w:lineRule="auto"/>
              <w:ind w:left="0" w:right="0" w:firstLine="0"/>
              <w:jc w:val="left"/>
            </w:pPr>
            <w:r>
              <w:rPr>
                <w:sz w:val="17"/>
              </w:rPr>
              <w:t xml:space="preserve">Acholi and Karamoja</w:t>
            </w:r>
            <w:r>
              <w:rPr>
                <w:sz w:val="17"/>
              </w:rPr>
              <w:t xml:space="preserve"> </w:t>
            </w:r>
          </w:p>
          <w:p>
            <w:pPr>
              <w:spacing w:before="0" w:after="16" w:line="259" w:lineRule="auto"/>
              <w:ind w:left="0" w:right="0" w:firstLine="0"/>
              <w:jc w:val="left"/>
            </w:pPr>
            <w:r>
              <w:rPr>
                <w:sz w:val="17"/>
              </w:rPr>
              <w:t xml:space="preserve"> </w:t>
            </w:r>
          </w:p>
          <w:p>
            <w:pPr>
              <w:spacing w:before="0" w:after="11" w:line="259" w:lineRule="auto"/>
              <w:ind w:left="0" w:right="0" w:firstLine="0"/>
              <w:jc w:val="left"/>
            </w:pPr>
            <w:r>
              <w:rPr>
                <w:rFonts w:cs="Cambria" w:hAnsi="Cambria" w:eastAsia="Cambria" w:ascii="Cambria"/>
                <w:b w:val="1"/>
                <w:sz w:val="17"/>
              </w:rPr>
              <w:t xml:space="preserve">Activity Actions</w:t>
            </w:r>
            <w:r>
              <w:rPr>
                <w:rFonts w:cs="Cambria" w:hAnsi="Cambria" w:eastAsia="Cambria" w:ascii="Cambria"/>
                <w:b w:val="1"/>
                <w:sz w:val="17"/>
              </w:rPr>
              <w:t xml:space="preserve">:</w:t>
            </w:r>
            <w:r>
              <w:rPr>
                <w:rFonts w:cs="Cambria" w:hAnsi="Cambria" w:eastAsia="Cambria" w:ascii="Cambria"/>
                <w:b w:val="1"/>
                <w:sz w:val="17"/>
              </w:rPr>
              <w:t xml:space="preserve"> </w:t>
            </w:r>
          </w:p>
          <w:p>
            <w:pPr>
              <w:spacing w:before="0" w:after="0" w:line="279" w:lineRule="auto"/>
              <w:ind w:left="0" w:right="0" w:firstLine="0"/>
            </w:pPr>
            <w:r>
              <w:rPr>
                <w:sz w:val="17"/>
              </w:rPr>
              <w:t xml:space="preserve">-</w:t>
            </w:r>
            <w:r>
              <w:rPr>
                <w:sz w:val="17"/>
              </w:rPr>
              <w:t xml:space="preserve">Identify researchers that are familiar with mining</w:t>
            </w:r>
            <w:r>
              <w:rPr>
                <w:sz w:val="17"/>
              </w:rPr>
              <w:t xml:space="preserve"> </w:t>
            </w:r>
          </w:p>
          <w:p>
            <w:pPr>
              <w:spacing w:before="0" w:after="16" w:line="259" w:lineRule="auto"/>
              <w:ind w:left="0" w:right="0" w:firstLine="0"/>
              <w:jc w:val="left"/>
            </w:pPr>
            <w:r>
              <w:rPr>
                <w:sz w:val="17"/>
              </w:rPr>
              <w:t xml:space="preserve"> </w:t>
            </w:r>
          </w:p>
          <w:p>
            <w:pPr>
              <w:spacing w:before="0" w:after="45" w:line="273" w:lineRule="auto"/>
              <w:ind w:left="0" w:right="0" w:firstLine="0"/>
            </w:pPr>
            <w:r>
              <w:rPr>
                <w:sz w:val="17"/>
              </w:rPr>
              <w:t xml:space="preserve">-</w:t>
            </w:r>
            <w:r>
              <w:rPr>
                <w:sz w:val="17"/>
              </w:rPr>
              <w:t xml:space="preserve">Research/assessment of sustainable mineral </w:t>
            </w:r>
          </w:p>
          <w:p>
            <w:pPr>
              <w:spacing w:before="0" w:after="0" w:line="259" w:lineRule="auto"/>
              <w:ind w:left="0" w:right="0" w:firstLine="0"/>
              <w:jc w:val="left"/>
            </w:pPr>
            <w:r>
              <w:rPr>
                <w:sz w:val="17"/>
              </w:rPr>
              <w:t xml:space="preserve">exploration and mining</w:t>
            </w:r>
            <w:r>
              <w:rPr>
                <w:rFonts w:cs="Cambria" w:hAnsi="Cambria" w:eastAsia="Cambria" w:ascii="Cambria"/>
                <w:b w:val="1"/>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tabs>
                <w:tab w:val="center" w:pos="225"/>
                <w:tab w:val="center" w:pos="1513"/>
              </w:tabs>
              <w:spacing w:before="0" w:after="16" w:line="259" w:lineRule="auto"/>
              <w:ind w:left="0" w:right="0" w:firstLine="0"/>
              <w:jc w:val="left"/>
            </w:pPr>
            <w:r>
              <w:rPr>
                <w:rFonts w:cs="Calibri" w:hAnsi="Calibri" w:eastAsia="Calibri" w:ascii="Calibri"/>
                <w:sz w:val="22"/>
              </w:rPr>
              <w:t xml:space="preserve">	</w:t>
            </w:r>
            <w:r>
              <w:rPr>
                <w:sz w:val="20"/>
              </w:rPr>
              <w:t xml:space="preserve">OPM, 	Line </w:t>
            </w:r>
          </w:p>
          <w:p>
            <w:pPr>
              <w:spacing w:before="0" w:after="0" w:line="272" w:lineRule="auto"/>
              <w:ind w:left="0" w:right="43" w:firstLine="0"/>
            </w:pPr>
            <w:r>
              <w:rPr>
                <w:sz w:val="20"/>
              </w:rPr>
              <w:t xml:space="preserve">Ministries, Local Authorities, UNDP, Specialized UN agencies.</w:t>
            </w:r>
            <w:r>
              <w:rPr>
                <w:sz w:val="20"/>
              </w:rPr>
              <w:t xml:space="preserve"> </w:t>
            </w:r>
          </w:p>
          <w:p>
            <w:pPr>
              <w:spacing w:before="0" w:after="26" w:line="259" w:lineRule="auto"/>
              <w:ind w:left="0" w:right="0" w:firstLine="0"/>
              <w:jc w:val="left"/>
            </w:pPr>
            <w:r>
              <w:rPr>
                <w:sz w:val="20"/>
              </w:rPr>
              <w:t xml:space="preserve">NGO/CSO</w:t>
            </w:r>
            <w:r>
              <w:rPr>
                <w:sz w:val="20"/>
              </w:rPr>
              <w:t xml:space="preserve"> </w:t>
            </w:r>
          </w:p>
          <w:p>
            <w:pPr>
              <w:spacing w:before="0" w:after="0" w:line="259" w:lineRule="auto"/>
              <w:ind w:left="0" w:right="0" w:firstLine="0"/>
              <w:jc w:val="left"/>
            </w:pPr>
            <w:r>
              <w:rPr>
                <w:sz w:val="20"/>
              </w:rPr>
              <w:t xml:space="preserve">Private sector</w:t>
            </w: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22"/>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5" w:line="271" w:lineRule="auto"/>
              <w:ind w:left="5" w:right="0" w:firstLine="0"/>
              <w:jc w:val="left"/>
            </w:pPr>
            <w:r>
              <w:rPr>
                <w:sz w:val="20"/>
              </w:rPr>
              <w:t xml:space="preserve">Consultancy fees, professional </w:t>
            </w:r>
          </w:p>
          <w:p>
            <w:pPr>
              <w:spacing w:before="0" w:after="26" w:line="259" w:lineRule="auto"/>
              <w:ind w:left="5" w:right="0" w:firstLine="0"/>
              <w:jc w:val="left"/>
            </w:pPr>
            <w:r>
              <w:rPr>
                <w:sz w:val="20"/>
              </w:rPr>
              <w:t xml:space="preserve">services</w:t>
            </w:r>
            <w:r>
              <w:rPr>
                <w:sz w:val="20"/>
              </w:rPr>
              <w:t xml:space="preserve"> </w:t>
            </w:r>
          </w:p>
          <w:p>
            <w:pPr>
              <w:spacing w:before="0" w:after="0" w:line="259" w:lineRule="auto"/>
              <w:ind w:left="5" w:right="0" w:firstLine="0"/>
              <w:jc w:val="left"/>
            </w:pPr>
            <w:r>
              <w:rPr>
                <w:sz w:val="22"/>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250,000</w:t>
            </w:r>
            <w:r>
              <w:rPr>
                <w:sz w:val="22"/>
              </w:rPr>
              <w:t xml:space="preserve"> </w:t>
            </w:r>
          </w:p>
        </w:tc>
      </w:tr>
      <w:tr>
        <w:trPr>
          <w:trHeight w:val="281" w:hRule="atLeast"/>
        </w:trPr>
        <w:tc>
          <w:tcPr>
            <w:tcW w:w="250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Subtotal </w:t>
            </w:r>
            <w:r>
              <w:rPr>
                <w:rFonts w:cs="Cambria" w:hAnsi="Cambria" w:eastAsia="Cambria" w:ascii="Cambria"/>
                <w:b w:val="1"/>
                <w:sz w:val="20"/>
              </w:rPr>
              <w:t xml:space="preserve">- </w:t>
            </w:r>
            <w:r>
              <w:rPr>
                <w:rFonts w:cs="Cambria" w:hAnsi="Cambria" w:eastAsia="Cambria" w:ascii="Cambria"/>
                <w:b w:val="1"/>
                <w:sz w:val="20"/>
              </w:rPr>
              <w:t xml:space="preserve">Output </w:t>
            </w:r>
            <w:r>
              <w:rPr>
                <w:rFonts w:cs="Cambria" w:hAnsi="Cambria" w:eastAsia="Cambria" w:ascii="Cambria"/>
                <w:b w:val="1"/>
                <w:sz w:val="20"/>
              </w:rPr>
              <w:t xml:space="preserve">3</w:t>
            </w:r>
            <w:r>
              <w:rPr>
                <w:rFonts w:cs="Cambria" w:hAnsi="Cambria" w:eastAsia="Cambria" w:ascii="Cambria"/>
                <w:b w:val="1"/>
                <w:sz w:val="20"/>
              </w:rPr>
              <w:t xml:space="preserve"> </w:t>
            </w:r>
          </w:p>
        </w:tc>
        <w:tc>
          <w:tcPr>
            <w:tcW w:w="9402" w:type="dxa"/>
            <w:gridSpan w:val="8"/>
            <w:tcBorders>
              <w:top w:val="single" w:sz="4" w:color="000000"/>
              <w:left w:val="single" w:sz="4" w:color="000000"/>
              <w:bottom w:val="single" w:sz="4" w:color="000000"/>
              <w:right w:val="single" w:sz="4" w:color="000000"/>
            </w:tcBorders>
            <w:shd w:val="clear" w:fill="dddddd"/>
            <w:vAlign w:val="top"/>
          </w:tcPr>
          <w:p>
            <w:pPr>
              <w:spacing w:before="0" w:after="0" w:line="259" w:lineRule="auto"/>
              <w:ind w:left="0" w:right="0" w:firstLine="0"/>
              <w:jc w:val="left"/>
            </w:pP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250,000</w:t>
            </w:r>
            <w:r>
              <w:rPr>
                <w:rFonts w:cs="Cambria" w:hAnsi="Cambria" w:eastAsia="Cambria" w:ascii="Cambria"/>
                <w:b w:val="1"/>
                <w:sz w:val="20"/>
              </w:rPr>
              <w:t xml:space="preserve"> </w:t>
            </w:r>
          </w:p>
        </w:tc>
      </w:tr>
      <w:tr>
        <w:trPr>
          <w:trHeight w:val="3956" w:hRule="atLeast"/>
        </w:trPr>
        <w:tc>
          <w:tcPr>
            <w:tcW w:w="2507" w:type="dxa"/>
            <w:tcBorders>
              <w:top w:val="single" w:sz="4" w:color="000000"/>
              <w:left w:val="single" w:sz="4" w:color="000000"/>
              <w:bottom w:val="single" w:sz="4" w:color="000000"/>
              <w:right w:val="single" w:sz="4" w:color="000000"/>
            </w:tcBorders>
            <w:vAlign w:val="top"/>
          </w:tcPr>
          <w:p>
            <w:pPr>
              <w:spacing w:before="0" w:after="0" w:line="271" w:lineRule="auto"/>
              <w:ind w:left="1" w:right="26" w:firstLine="0"/>
              <w:jc w:val="left"/>
            </w:pPr>
            <w:r>
              <w:rPr>
                <w:rFonts w:cs="Cambria" w:hAnsi="Cambria" w:eastAsia="Cambria" w:ascii="Cambria"/>
                <w:b w:val="1"/>
                <w:sz w:val="18"/>
              </w:rPr>
              <w:t xml:space="preserve">Output 4:</w:t>
            </w:r>
            <w:r>
              <w:rPr>
                <w:rFonts w:cs="Cambria" w:hAnsi="Cambria" w:eastAsia="Cambria" w:ascii="Cambria"/>
                <w:b w:val="1"/>
                <w:color w:val="1f497d"/>
                <w:sz w:val="18"/>
              </w:rPr>
              <w:t xml:space="preserve">  </w:t>
            </w:r>
            <w:r>
              <w:rPr>
                <w:sz w:val="19"/>
              </w:rPr>
              <w:t xml:space="preserve">Capacities of local authorities and civil society strengthened in civic engagement, coordination, and planning for economic recovery and peace consolidation</w:t>
            </w:r>
            <w:r>
              <w:rPr>
                <w:rFonts w:cs="Cambria" w:hAnsi="Cambria" w:eastAsia="Cambria" w:ascii="Cambria"/>
                <w:b w:val="1"/>
                <w:sz w:val="19"/>
              </w:rPr>
              <w:t xml:space="preserve"> </w:t>
            </w:r>
          </w:p>
          <w:p>
            <w:pPr>
              <w:spacing w:before="0" w:after="50" w:line="259" w:lineRule="auto"/>
              <w:ind w:left="1" w:right="0" w:firstLine="0"/>
              <w:jc w:val="left"/>
            </w:pPr>
            <w:r>
              <w:rPr>
                <w:rFonts w:cs="Cambria" w:hAnsi="Cambria" w:eastAsia="Cambria" w:ascii="Cambria"/>
                <w:i w:val="1"/>
                <w:sz w:val="17"/>
              </w:rPr>
              <w:t xml:space="preserve"> </w:t>
            </w:r>
          </w:p>
          <w:p>
            <w:pPr>
              <w:spacing w:before="0" w:after="0" w:line="259" w:lineRule="auto"/>
              <w:ind w:left="1" w:right="0" w:firstLine="0"/>
              <w:jc w:val="left"/>
            </w:pPr>
            <w:r>
              <w:rPr>
                <w:rFonts w:cs="Cambria" w:hAnsi="Cambria" w:eastAsia="Cambria" w:ascii="Cambria"/>
                <w:b w:val="1"/>
                <w:i w:val="1"/>
                <w:sz w:val="20"/>
              </w:rPr>
              <w:t xml:space="preserve">Baseline:</w:t>
            </w:r>
            <w:r>
              <w:rPr>
                <w:rFonts w:cs="Cambria" w:hAnsi="Cambria" w:eastAsia="Cambria" w:ascii="Cambria"/>
                <w:b w:val="1"/>
                <w:i w:val="1"/>
                <w:sz w:val="20"/>
              </w:rPr>
              <w:t xml:space="preserve"> </w:t>
            </w:r>
          </w:p>
          <w:p>
            <w:pPr>
              <w:spacing w:before="0" w:after="16" w:line="259" w:lineRule="auto"/>
              <w:ind w:left="1" w:right="0" w:firstLine="0"/>
              <w:jc w:val="left"/>
            </w:pPr>
            <w:r>
              <w:rPr>
                <w:rFonts w:cs="Cambria" w:hAnsi="Cambria" w:eastAsia="Cambria" w:ascii="Cambria"/>
                <w:i w:val="1"/>
                <w:sz w:val="17"/>
              </w:rPr>
              <w:t xml:space="preserve"> </w:t>
            </w:r>
          </w:p>
          <w:p>
            <w:pPr>
              <w:spacing w:before="0" w:after="22" w:line="259" w:lineRule="auto"/>
              <w:ind w:left="1" w:right="0" w:firstLine="0"/>
              <w:jc w:val="left"/>
            </w:pPr>
            <w:r>
              <w:rPr>
                <w:sz w:val="17"/>
              </w:rPr>
              <w:t xml:space="preserve">-</w:t>
            </w:r>
            <w:r>
              <w:rPr>
                <w:sz w:val="17"/>
              </w:rPr>
              <w:t xml:space="preserve">Ineffectual capacity of Local </w:t>
            </w:r>
          </w:p>
          <w:p>
            <w:pPr>
              <w:spacing w:before="0" w:after="1" w:line="277" w:lineRule="auto"/>
              <w:ind w:left="1" w:right="0" w:firstLine="0"/>
              <w:jc w:val="left"/>
            </w:pPr>
            <w:r>
              <w:rPr>
                <w:sz w:val="17"/>
              </w:rPr>
              <w:t xml:space="preserve">Governments 	to 	manage participatory planning;</w:t>
            </w:r>
            <w:r>
              <w:rPr>
                <w:sz w:val="17"/>
              </w:rPr>
              <w:t xml:space="preserve"> </w:t>
            </w:r>
          </w:p>
          <w:p>
            <w:pPr>
              <w:spacing w:before="0" w:after="0" w:line="259" w:lineRule="auto"/>
              <w:ind w:left="1" w:right="52" w:firstLine="0"/>
            </w:pPr>
            <w:r>
              <w:rPr>
                <w:sz w:val="17"/>
              </w:rPr>
              <w:t xml:space="preserve">-</w:t>
            </w:r>
            <w:r>
              <w:rPr>
                <w:sz w:val="17"/>
              </w:rPr>
              <w:t xml:space="preserve">Ineffective involvement of CBOs and NGOs with the local government </w:t>
            </w:r>
            <w:r>
              <w:rPr>
                <w:sz w:val="17"/>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36" w:line="270" w:lineRule="auto"/>
              <w:ind w:left="0" w:right="0" w:firstLine="0"/>
              <w:jc w:val="left"/>
            </w:pPr>
            <w:r>
              <w:rPr>
                <w:rFonts w:cs="Cambria" w:hAnsi="Cambria" w:eastAsia="Cambria" w:ascii="Cambria"/>
                <w:b w:val="1"/>
                <w:sz w:val="18"/>
              </w:rPr>
              <w:t xml:space="preserve">Activity result 4.1:</w:t>
            </w:r>
            <w:r>
              <w:rPr>
                <w:rFonts w:cs="Cambria" w:hAnsi="Cambria" w:eastAsia="Cambria" w:ascii="Cambria"/>
                <w:i w:val="1"/>
                <w:sz w:val="18"/>
              </w:rPr>
              <w:t xml:space="preserve"> </w:t>
            </w:r>
            <w:r>
              <w:rPr>
                <w:sz w:val="18"/>
              </w:rPr>
              <w:t xml:space="preserve">Improved delivery of basic services, including participatory planning systems</w:t>
            </w:r>
            <w:r>
              <w:rPr>
                <w:sz w:val="18"/>
              </w:rPr>
              <w:t xml:space="preserve"> </w:t>
            </w:r>
          </w:p>
          <w:p>
            <w:pPr>
              <w:spacing w:before="0" w:after="0" w:line="259" w:lineRule="auto"/>
              <w:ind w:left="0" w:right="0" w:firstLine="0"/>
              <w:jc w:val="left"/>
            </w:pPr>
            <w:r>
              <w:rPr>
                <w:sz w:val="22"/>
              </w:rPr>
              <w:t xml:space="preserve"> </w:t>
            </w:r>
          </w:p>
          <w:p>
            <w:pPr>
              <w:spacing w:before="0" w:after="2"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41" w:lineRule="auto"/>
              <w:ind w:left="0" w:right="0" w:firstLine="0"/>
              <w:jc w:val="left"/>
            </w:pPr>
            <w:r>
              <w:rPr>
                <w:sz w:val="17"/>
              </w:rPr>
              <w:t xml:space="preserve">-</w:t>
            </w:r>
            <w:r>
              <w:rPr>
                <w:sz w:val="17"/>
              </w:rPr>
              <w:t xml:space="preserve">Assessment of capacity needs of the lower local governments </w:t>
            </w:r>
            <w:r>
              <w:rPr>
                <w:sz w:val="17"/>
              </w:rPr>
              <w:t xml:space="preserve"> </w:t>
            </w:r>
          </w:p>
          <w:p>
            <w:pPr>
              <w:spacing w:before="0" w:after="2" w:line="241" w:lineRule="auto"/>
              <w:ind w:left="0" w:right="258" w:firstLine="0"/>
            </w:pPr>
            <w:r>
              <w:rPr>
                <w:sz w:val="17"/>
              </w:rPr>
              <w:t xml:space="preserve">-</w:t>
            </w:r>
            <w:r>
              <w:rPr>
                <w:sz w:val="17"/>
              </w:rPr>
              <w:t xml:space="preserve">Developing a capacity building plan for mower local governments</w:t>
            </w:r>
            <w:r>
              <w:rPr>
                <w:sz w:val="17"/>
              </w:rPr>
              <w:t xml:space="preserve"> -</w:t>
            </w:r>
            <w:r>
              <w:rPr>
                <w:sz w:val="17"/>
              </w:rPr>
              <w:t xml:space="preserve">Undertake capacity building of the lower local </w:t>
            </w:r>
          </w:p>
          <w:p>
            <w:pPr>
              <w:spacing w:before="0" w:after="0" w:line="259" w:lineRule="auto"/>
              <w:ind w:left="0" w:right="0" w:firstLine="0"/>
              <w:jc w:val="left"/>
            </w:pPr>
            <w:r>
              <w:rPr>
                <w:sz w:val="17"/>
              </w:rPr>
              <w:t xml:space="preserve">governments</w:t>
            </w:r>
            <w:r>
              <w:rPr>
                <w:sz w:val="17"/>
              </w:rPr>
              <w:t xml:space="preserve"> </w:t>
            </w:r>
          </w:p>
          <w:p>
            <w:pPr>
              <w:spacing w:before="0" w:after="0" w:line="259" w:lineRule="auto"/>
              <w:ind w:left="0" w:right="11" w:firstLine="0"/>
              <w:jc w:val="left"/>
            </w:pPr>
            <w:r>
              <w:rPr>
                <w:sz w:val="17"/>
              </w:rPr>
              <w:t xml:space="preserve">-</w:t>
            </w:r>
            <w:r>
              <w:rPr>
                <w:sz w:val="17"/>
              </w:rPr>
              <w:t xml:space="preserve">Review the capacity building</w:t>
            </w:r>
            <w:r>
              <w:rPr>
                <w:sz w:val="17"/>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5" w:line="267" w:lineRule="auto"/>
              <w:ind w:left="0" w:right="0" w:firstLine="0"/>
            </w:pPr>
            <w:r>
              <w:rPr>
                <w:sz w:val="18"/>
              </w:rPr>
              <w:t xml:space="preserve">OPM, District Local Governments, UNDP, </w:t>
            </w:r>
          </w:p>
          <w:p>
            <w:pPr>
              <w:spacing w:before="0" w:after="0" w:line="259" w:lineRule="auto"/>
              <w:ind w:left="0" w:right="0" w:firstLine="0"/>
              <w:jc w:val="left"/>
            </w:pPr>
            <w:r>
              <w:rPr>
                <w:sz w:val="18"/>
              </w:rPr>
              <w:t xml:space="preserve">CSOs,</w:t>
            </w:r>
            <w:r>
              <w:rPr>
                <w:sz w:val="18"/>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18"/>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7" w:line="259" w:lineRule="auto"/>
              <w:ind w:left="5" w:right="0" w:firstLine="0"/>
              <w:jc w:val="left"/>
            </w:pPr>
            <w:r>
              <w:rPr>
                <w:sz w:val="18"/>
              </w:rPr>
              <w:t xml:space="preserve">Consultancy </w:t>
            </w:r>
          </w:p>
          <w:p>
            <w:pPr>
              <w:spacing w:before="0" w:after="0" w:line="259" w:lineRule="auto"/>
              <w:ind w:left="5" w:right="0" w:firstLine="0"/>
              <w:jc w:val="left"/>
            </w:pPr>
            <w:r>
              <w:rPr>
                <w:sz w:val="18"/>
              </w:rPr>
              <w:t xml:space="preserve">fees, professional services, facilitation and meeting 	costs, travel, DSA</w:t>
            </w:r>
            <w:r>
              <w:rPr>
                <w:sz w:val="18"/>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18"/>
              </w:rPr>
              <w:t xml:space="preserve"> </w:t>
            </w:r>
          </w:p>
        </w:tc>
      </w:tr>
    </w:tbl>
    <w:p>
      <w:pPr>
        <w:spacing w:before="0" w:after="0" w:line="259" w:lineRule="auto"/>
        <w:ind w:left="-1440" w:right="14405" w:firstLine="0"/>
        <w:jc w:val="left"/>
      </w:pPr>
    </w:p>
    <w:tbl>
      <w:tblPr>
        <w:tblStyle w:val="TableGrid"/>
        <w:tblW w:w="13181" w:type="dxa"/>
        <w:tblInd w:w="-110" w:type="dxa"/>
        <w:tblCellMar>
          <w:top w:w="29" w:type="dxa"/>
          <w:left w:w="106" w:type="dxa"/>
          <w:bottom w:w="0" w:type="dxa"/>
          <w:right w:w="55" w:type="dxa"/>
        </w:tblCellMar>
      </w:tblPr>
      <w:tblGrid>
        <w:gridCol w:w="2510"/>
        <w:gridCol w:w="2309"/>
        <w:gridCol w:w="566"/>
        <w:gridCol w:w="566"/>
        <w:gridCol w:w="566"/>
        <w:gridCol w:w="571"/>
        <w:gridCol w:w="1910"/>
        <w:gridCol w:w="1459"/>
        <w:gridCol w:w="1454"/>
        <w:gridCol w:w="1267"/>
      </w:tblGrid>
      <w:tr>
        <w:trPr>
          <w:trHeight w:val="4147" w:hRule="atLeast"/>
        </w:trPr>
        <w:tc>
          <w:tcPr>
            <w:tcW w:w="2510" w:type="dxa"/>
            <w:vMerge w:val="restart"/>
            <w:tcBorders>
              <w:top w:val="single" w:sz="4" w:color="000000"/>
              <w:left w:val="single" w:sz="4" w:color="000000"/>
              <w:bottom w:val="single" w:sz="4" w:color="000000"/>
              <w:right w:val="single" w:sz="4" w:color="000000"/>
            </w:tcBorders>
            <w:vAlign w:val="top"/>
          </w:tcPr>
          <w:p>
            <w:pPr>
              <w:spacing w:before="0" w:after="0" w:line="285" w:lineRule="auto"/>
              <w:ind w:left="5" w:right="0" w:firstLine="0"/>
              <w:jc w:val="left"/>
            </w:pPr>
            <w:r>
              <w:rPr>
                <w:sz w:val="17"/>
              </w:rPr>
              <w:t xml:space="preserve">-</w:t>
            </w:r>
            <w:r>
              <w:rPr>
                <w:sz w:val="17"/>
              </w:rPr>
              <w:t xml:space="preserve">Ambiguity of roles of different stakeholders 	in 	the 	land governance system</w:t>
            </w:r>
            <w:r>
              <w:rPr>
                <w:sz w:val="17"/>
              </w:rPr>
              <w:t xml:space="preserve">; </w:t>
            </w:r>
          </w:p>
          <w:p>
            <w:pPr>
              <w:spacing w:before="0" w:after="16" w:line="259" w:lineRule="auto"/>
              <w:ind w:left="5" w:right="0" w:firstLine="0"/>
              <w:jc w:val="left"/>
            </w:pPr>
            <w:r>
              <w:rPr>
                <w:sz w:val="17"/>
              </w:rPr>
              <w:t xml:space="preserve"> </w:t>
            </w:r>
          </w:p>
          <w:p>
            <w:pPr>
              <w:spacing w:before="0" w:after="50" w:line="277" w:lineRule="auto"/>
              <w:ind w:left="5" w:right="56" w:firstLine="0"/>
            </w:pPr>
            <w:r>
              <w:rPr>
                <w:sz w:val="17"/>
              </w:rPr>
              <w:t xml:space="preserve">-</w:t>
            </w:r>
            <w:r>
              <w:rPr>
                <w:sz w:val="17"/>
              </w:rPr>
              <w:t xml:space="preserve">Unclear linkage between activities carried out at the local level and</w:t>
            </w:r>
            <w:r>
              <w:rPr>
                <w:sz w:val="17"/>
              </w:rPr>
              <w:t xml:space="preserve"> </w:t>
            </w:r>
            <w:r>
              <w:rPr>
                <w:sz w:val="17"/>
              </w:rPr>
              <w:t xml:space="preserve">the national level</w:t>
            </w:r>
            <w:r>
              <w:rPr>
                <w:sz w:val="17"/>
              </w:rPr>
              <w:t xml:space="preserve"> </w:t>
            </w:r>
          </w:p>
          <w:p>
            <w:pPr>
              <w:spacing w:before="0" w:after="1" w:line="259" w:lineRule="auto"/>
              <w:ind w:left="5" w:right="0" w:firstLine="0"/>
              <w:jc w:val="left"/>
            </w:pPr>
            <w:r>
              <w:rPr>
                <w:sz w:val="22"/>
              </w:rPr>
              <w:t xml:space="preserve"> </w:t>
            </w:r>
          </w:p>
          <w:p>
            <w:pPr>
              <w:spacing w:before="0" w:after="26" w:line="259" w:lineRule="auto"/>
              <w:ind w:left="5" w:right="0" w:firstLine="0"/>
              <w:jc w:val="left"/>
            </w:pPr>
            <w:r>
              <w:rPr>
                <w:rFonts w:cs="Cambria" w:hAnsi="Cambria" w:eastAsia="Cambria" w:ascii="Cambria"/>
                <w:b w:val="1"/>
                <w:i w:val="1"/>
                <w:sz w:val="20"/>
              </w:rPr>
              <w:t xml:space="preserve">Indicators:</w:t>
            </w:r>
            <w:r>
              <w:rPr>
                <w:rFonts w:cs="Cambria" w:hAnsi="Cambria" w:eastAsia="Cambria" w:ascii="Cambria"/>
                <w:b w:val="1"/>
                <w:i w:val="1"/>
                <w:sz w:val="20"/>
              </w:rPr>
              <w:t xml:space="preserve"> </w:t>
            </w:r>
          </w:p>
          <w:p>
            <w:pPr>
              <w:spacing w:before="0" w:after="0" w:line="259" w:lineRule="auto"/>
              <w:ind w:left="5" w:right="0" w:firstLine="0"/>
              <w:jc w:val="left"/>
            </w:pPr>
            <w:r>
              <w:rPr>
                <w:sz w:val="22"/>
              </w:rPr>
              <w:t xml:space="preserve"> </w:t>
            </w:r>
          </w:p>
          <w:p>
            <w:pPr>
              <w:spacing w:before="0" w:after="1" w:line="277" w:lineRule="auto"/>
              <w:ind w:left="5" w:right="53" w:firstLine="0"/>
            </w:pPr>
            <w:r>
              <w:rPr>
                <w:sz w:val="17"/>
              </w:rPr>
              <w:t xml:space="preserve">-</w:t>
            </w:r>
            <w:r>
              <w:rPr>
                <w:sz w:val="17"/>
              </w:rPr>
              <w:t xml:space="preserve">Number of target local governments that pass the LG annual assessment for minimum standards for service delivery;</w:t>
            </w:r>
            <w:r>
              <w:rPr>
                <w:sz w:val="17"/>
              </w:rPr>
              <w:t xml:space="preserve"> </w:t>
            </w:r>
          </w:p>
          <w:p>
            <w:pPr>
              <w:spacing w:before="0" w:after="2" w:line="277" w:lineRule="auto"/>
              <w:ind w:left="5" w:right="54" w:firstLine="0"/>
            </w:pPr>
            <w:r>
              <w:rPr>
                <w:sz w:val="17"/>
              </w:rPr>
              <w:t xml:space="preserve">-</w:t>
            </w:r>
            <w:r>
              <w:rPr>
                <w:sz w:val="17"/>
              </w:rPr>
              <w:t xml:space="preserve">Number of Infrastructure provided and training carried out for data collection and management;</w:t>
            </w:r>
            <w:r>
              <w:rPr>
                <w:sz w:val="17"/>
              </w:rPr>
              <w:t xml:space="preserve"> </w:t>
            </w:r>
          </w:p>
          <w:p>
            <w:pPr>
              <w:spacing w:before="0" w:after="2" w:line="276" w:lineRule="auto"/>
              <w:ind w:left="5" w:right="54" w:firstLine="0"/>
            </w:pPr>
            <w:r>
              <w:rPr>
                <w:sz w:val="17"/>
              </w:rPr>
              <w:t xml:space="preserve">-</w:t>
            </w:r>
            <w:r>
              <w:rPr>
                <w:sz w:val="17"/>
              </w:rPr>
              <w:t xml:space="preserve">Availability of data for development planning at local government level;</w:t>
            </w:r>
            <w:r>
              <w:rPr>
                <w:sz w:val="17"/>
              </w:rPr>
              <w:t xml:space="preserve"> </w:t>
            </w:r>
          </w:p>
          <w:p>
            <w:pPr>
              <w:spacing w:before="0" w:after="71" w:line="253" w:lineRule="auto"/>
              <w:ind w:left="5" w:right="56" w:firstLine="0"/>
            </w:pPr>
            <w:r>
              <w:rPr>
                <w:sz w:val="17"/>
              </w:rPr>
              <w:t xml:space="preserve">-</w:t>
            </w:r>
            <w:r>
              <w:rPr>
                <w:sz w:val="17"/>
              </w:rPr>
              <w:t xml:space="preserve">Quality development plans submitted by lower local</w:t>
            </w:r>
            <w:r>
              <w:rPr>
                <w:rFonts w:cs="Garamond" w:hAnsi="Garamond" w:eastAsia="Garamond" w:ascii="Garamond"/>
                <w:sz w:val="20"/>
              </w:rPr>
              <w:t xml:space="preserve"> </w:t>
            </w:r>
            <w:r>
              <w:rPr>
                <w:sz w:val="17"/>
              </w:rPr>
              <w:t xml:space="preserve">governments to the districts</w:t>
            </w:r>
            <w:r>
              <w:rPr>
                <w:rFonts w:cs="Garamond" w:hAnsi="Garamond" w:eastAsia="Garamond" w:ascii="Garamond"/>
                <w:sz w:val="20"/>
              </w:rPr>
              <w:t xml:space="preserve">.</w:t>
            </w:r>
            <w:r>
              <w:rPr>
                <w:rFonts w:cs="Garamond" w:hAnsi="Garamond" w:eastAsia="Garamond" w:ascii="Garamond"/>
                <w:sz w:val="20"/>
              </w:rPr>
              <w:t xml:space="preserve"> </w:t>
            </w:r>
          </w:p>
          <w:p>
            <w:pPr>
              <w:spacing w:before="0" w:after="0" w:line="259" w:lineRule="auto"/>
              <w:ind w:left="5" w:right="0" w:firstLine="0"/>
              <w:jc w:val="left"/>
            </w:pPr>
            <w:r>
              <w:rPr>
                <w:sz w:val="22"/>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49" w:line="277" w:lineRule="auto"/>
              <w:ind w:left="0" w:right="60" w:firstLine="0"/>
            </w:pPr>
            <w:r>
              <w:rPr>
                <w:rFonts w:cs="Cambria" w:hAnsi="Cambria" w:eastAsia="Cambria" w:ascii="Cambria"/>
                <w:b w:val="1"/>
                <w:sz w:val="17"/>
              </w:rPr>
              <w:t xml:space="preserve">Activity result</w:t>
            </w:r>
            <w:r>
              <w:rPr>
                <w:rFonts w:cs="Cambria" w:hAnsi="Cambria" w:eastAsia="Cambria" w:ascii="Cambria"/>
                <w:b w:val="1"/>
                <w:sz w:val="17"/>
              </w:rPr>
              <w:t xml:space="preserve"> </w:t>
            </w:r>
            <w:r>
              <w:rPr>
                <w:rFonts w:cs="Cambria" w:hAnsi="Cambria" w:eastAsia="Cambria" w:ascii="Cambria"/>
                <w:b w:val="1"/>
                <w:sz w:val="17"/>
              </w:rPr>
              <w:t xml:space="preserve">4.2: </w:t>
            </w:r>
            <w:r>
              <w:rPr>
                <w:sz w:val="17"/>
              </w:rPr>
              <w:t xml:space="preserve">Improved capacity of selected local governments to collect and manage data for development planning</w:t>
            </w:r>
            <w:r>
              <w:rPr>
                <w:sz w:val="17"/>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 </w:t>
            </w:r>
          </w:p>
          <w:p>
            <w:pPr>
              <w:spacing w:before="0" w:after="2" w:line="241" w:lineRule="auto"/>
              <w:ind w:left="0" w:right="0" w:firstLine="0"/>
              <w:jc w:val="left"/>
            </w:pPr>
            <w:r>
              <w:rPr>
                <w:sz w:val="17"/>
              </w:rPr>
              <w:t xml:space="preserve">-</w:t>
            </w:r>
            <w:r>
              <w:rPr>
                <w:sz w:val="17"/>
              </w:rPr>
              <w:t xml:space="preserve">Assess capacity of the Planning units in the respective local government</w:t>
            </w:r>
            <w:r>
              <w:rPr>
                <w:sz w:val="17"/>
              </w:rPr>
              <w:t xml:space="preserve"> -</w:t>
            </w:r>
            <w:r>
              <w:rPr>
                <w:sz w:val="17"/>
              </w:rPr>
              <w:t xml:space="preserve">Develop capacity building plan for the planning units</w:t>
            </w:r>
            <w:r>
              <w:rPr>
                <w:sz w:val="17"/>
              </w:rPr>
              <w:t xml:space="preserve"> -</w:t>
            </w:r>
            <w:r>
              <w:rPr>
                <w:sz w:val="17"/>
              </w:rPr>
              <w:t xml:space="preserve">Build technical capacity of planning units</w:t>
            </w:r>
            <w:r>
              <w:rPr>
                <w:sz w:val="17"/>
              </w:rPr>
              <w:t xml:space="preserve"> </w:t>
            </w:r>
          </w:p>
          <w:p>
            <w:pPr>
              <w:spacing w:before="0" w:after="4" w:line="241" w:lineRule="auto"/>
              <w:ind w:left="0" w:right="0" w:firstLine="0"/>
              <w:jc w:val="left"/>
            </w:pPr>
            <w:r>
              <w:rPr>
                <w:sz w:val="17"/>
              </w:rPr>
              <w:t xml:space="preserve">-</w:t>
            </w:r>
            <w:r>
              <w:rPr>
                <w:sz w:val="17"/>
              </w:rPr>
              <w:t xml:space="preserve">Procure and equip planning units with the necessary infrastructure</w:t>
            </w:r>
            <w:r>
              <w:rPr>
                <w:sz w:val="17"/>
              </w:rPr>
              <w:t xml:space="preserve"> </w:t>
            </w:r>
          </w:p>
          <w:p>
            <w:pPr>
              <w:tabs>
                <w:tab w:val="center" w:pos="295"/>
                <w:tab w:val="center" w:pos="1037"/>
                <w:tab w:val="center" w:pos="1787"/>
              </w:tabs>
              <w:spacing w:before="0" w:after="20" w:line="259" w:lineRule="auto"/>
              <w:ind w:left="0" w:right="0" w:firstLine="0"/>
              <w:jc w:val="left"/>
            </w:pPr>
            <w:r>
              <w:rPr>
                <w:rFonts w:cs="Calibri" w:hAnsi="Calibri" w:eastAsia="Calibri" w:ascii="Calibri"/>
                <w:sz w:val="22"/>
              </w:rPr>
              <w:t xml:space="preserve">	</w:t>
            </w:r>
            <w:r>
              <w:rPr>
                <w:sz w:val="17"/>
              </w:rPr>
              <w:t xml:space="preserve">-</w:t>
            </w:r>
            <w:r>
              <w:rPr>
                <w:sz w:val="17"/>
              </w:rPr>
              <w:t xml:space="preserve">Review 	the 	capacity </w:t>
            </w:r>
          </w:p>
          <w:p>
            <w:pPr>
              <w:spacing w:before="0" w:after="0" w:line="259" w:lineRule="auto"/>
              <w:ind w:left="0" w:right="0" w:firstLine="0"/>
              <w:jc w:val="left"/>
            </w:pPr>
            <w:r>
              <w:rPr>
                <w:sz w:val="17"/>
              </w:rPr>
              <w:t xml:space="preserve">building support</w:t>
            </w:r>
            <w:r>
              <w:rPr>
                <w:sz w:val="17"/>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22" w:line="273" w:lineRule="auto"/>
              <w:ind w:left="0" w:right="0" w:firstLine="0"/>
            </w:pPr>
            <w:r>
              <w:rPr>
                <w:sz w:val="18"/>
              </w:rPr>
              <w:t xml:space="preserve">OPM, District Local Governments, UNDP, </w:t>
            </w:r>
          </w:p>
          <w:p>
            <w:pPr>
              <w:spacing w:before="0" w:after="0" w:line="259" w:lineRule="auto"/>
              <w:ind w:left="0" w:right="0" w:firstLine="0"/>
              <w:jc w:val="left"/>
            </w:pPr>
            <w:r>
              <w:rPr>
                <w:sz w:val="18"/>
              </w:rPr>
              <w:t xml:space="preserve">CSOs</w:t>
            </w: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22"/>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18"/>
              </w:rPr>
              <w:t xml:space="preserve">Consultancy </w:t>
            </w:r>
          </w:p>
          <w:p>
            <w:pPr>
              <w:spacing w:before="0" w:after="0" w:line="259" w:lineRule="auto"/>
              <w:ind w:left="5" w:right="0" w:firstLine="0"/>
              <w:jc w:val="left"/>
            </w:pPr>
            <w:r>
              <w:rPr>
                <w:sz w:val="18"/>
              </w:rPr>
              <w:t xml:space="preserve">fees, professional services, facilitation and meeting 	costs, travel, DSA</w:t>
            </w:r>
            <w:r>
              <w:rPr>
                <w:sz w:val="22"/>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r>
      <w:tr>
        <w:trPr>
          <w:trHeight w:val="2395"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09" w:type="dxa"/>
            <w:tcBorders>
              <w:top w:val="single" w:sz="4" w:color="000000"/>
              <w:left w:val="single" w:sz="4" w:color="000000"/>
              <w:bottom w:val="single" w:sz="4" w:color="000000"/>
              <w:right w:val="single" w:sz="4" w:color="000000"/>
            </w:tcBorders>
            <w:vAlign w:val="top"/>
          </w:tcPr>
          <w:p>
            <w:pPr>
              <w:spacing w:before="0" w:after="2" w:line="259" w:lineRule="auto"/>
              <w:ind w:left="0" w:right="0" w:firstLine="0"/>
              <w:jc w:val="left"/>
            </w:pPr>
            <w:r>
              <w:rPr>
                <w:rFonts w:cs="Cambria" w:hAnsi="Cambria" w:eastAsia="Cambria" w:ascii="Cambria"/>
                <w:b w:val="1"/>
                <w:sz w:val="18"/>
              </w:rPr>
              <w:t xml:space="preserve">Activity Result 4.3:</w:t>
            </w:r>
            <w:r>
              <w:rPr>
                <w:sz w:val="17"/>
              </w:rPr>
              <w:t xml:space="preserve"> </w:t>
            </w:r>
          </w:p>
          <w:p>
            <w:pPr>
              <w:spacing w:before="0" w:after="50" w:line="276" w:lineRule="auto"/>
              <w:ind w:left="0" w:right="149" w:firstLine="0"/>
            </w:pPr>
            <w:r>
              <w:rPr>
                <w:sz w:val="17"/>
              </w:rPr>
              <w:t xml:space="preserve">Improved planning and budgeting at lower levels of government</w:t>
            </w:r>
            <w:r>
              <w:rPr>
                <w:sz w:val="17"/>
              </w:rPr>
              <w:t xml:space="preserve"> </w:t>
            </w:r>
          </w:p>
          <w:p>
            <w:pPr>
              <w:spacing w:before="0" w:after="0" w:line="259" w:lineRule="auto"/>
              <w:ind w:left="0" w:right="0" w:firstLine="0"/>
              <w:jc w:val="left"/>
            </w:pPr>
            <w:r>
              <w:rPr>
                <w:sz w:val="22"/>
              </w:rPr>
              <w:t xml:space="preserve"> </w:t>
            </w:r>
          </w:p>
          <w:p>
            <w:pPr>
              <w:spacing w:before="0" w:after="0"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 </w:t>
            </w:r>
          </w:p>
          <w:p>
            <w:pPr>
              <w:spacing w:before="0" w:after="0" w:line="279" w:lineRule="auto"/>
              <w:ind w:left="0" w:right="54" w:firstLine="0"/>
            </w:pPr>
            <w:r>
              <w:rPr>
                <w:sz w:val="17"/>
              </w:rPr>
              <w:t xml:space="preserve">- </w:t>
            </w:r>
            <w:r>
              <w:rPr>
                <w:sz w:val="17"/>
              </w:rPr>
              <w:t xml:space="preserve">Build capacity of PDCs, Sub county administrators, HUMCs and SMC in planning </w:t>
            </w:r>
          </w:p>
          <w:p>
            <w:pPr>
              <w:spacing w:before="0" w:after="0" w:line="259" w:lineRule="auto"/>
              <w:ind w:left="0" w:right="0" w:firstLine="0"/>
              <w:jc w:val="left"/>
            </w:pPr>
            <w:r>
              <w:rPr>
                <w:sz w:val="17"/>
              </w:rPr>
              <w:t xml:space="preserve">and budgeting</w:t>
            </w:r>
            <w:r>
              <w:rPr>
                <w:sz w:val="17"/>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18"/>
              </w:rPr>
              <w:t xml:space="preserve">X</w:t>
            </w:r>
            <w:r>
              <w:rPr>
                <w:sz w:val="18"/>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X</w:t>
            </w:r>
            <w:r>
              <w:rPr>
                <w:sz w:val="18"/>
              </w:rPr>
              <w:t xml:space="preserve"> </w:t>
            </w:r>
          </w:p>
        </w:tc>
        <w:tc>
          <w:tcPr>
            <w:tcW w:w="1910" w:type="dxa"/>
            <w:tcBorders>
              <w:top w:val="single" w:sz="4" w:color="000000"/>
              <w:left w:val="single" w:sz="4" w:color="000000"/>
              <w:bottom w:val="single" w:sz="4" w:color="000000"/>
              <w:right w:val="single" w:sz="4" w:color="000000"/>
            </w:tcBorders>
            <w:vAlign w:val="top"/>
          </w:tcPr>
          <w:p>
            <w:pPr>
              <w:spacing w:before="0" w:after="22" w:line="273" w:lineRule="auto"/>
              <w:ind w:left="0" w:right="0" w:firstLine="0"/>
            </w:pPr>
            <w:r>
              <w:rPr>
                <w:sz w:val="18"/>
              </w:rPr>
              <w:t xml:space="preserve">OPM, District Local Governments, UNDP, </w:t>
            </w:r>
          </w:p>
          <w:p>
            <w:pPr>
              <w:spacing w:before="0" w:after="0" w:line="259" w:lineRule="auto"/>
              <w:ind w:left="0" w:right="0" w:firstLine="0"/>
              <w:jc w:val="left"/>
            </w:pPr>
            <w:r>
              <w:rPr>
                <w:sz w:val="18"/>
              </w:rPr>
              <w:t xml:space="preserve">CSOs</w:t>
            </w:r>
            <w:r>
              <w:rPr>
                <w:sz w:val="22"/>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UNDP/BCPR</w:t>
            </w:r>
            <w:r>
              <w:rPr>
                <w:sz w:val="22"/>
              </w:rPr>
              <w:t xml:space="preserve"> </w:t>
            </w:r>
          </w:p>
        </w:tc>
        <w:tc>
          <w:tcPr>
            <w:tcW w:w="1454"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Consultancy fees, professional services, facilitation and meeting 	costs, travel, DSA</w:t>
            </w:r>
            <w:r>
              <w:rPr>
                <w:sz w:val="22"/>
              </w:rPr>
              <w:t xml:space="preserve"> </w:t>
            </w:r>
          </w:p>
        </w:tc>
        <w:tc>
          <w:tcPr>
            <w:tcW w:w="1267"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2"/>
              </w:rPr>
              <w:t xml:space="preserve"> </w:t>
            </w:r>
          </w:p>
        </w:tc>
      </w:tr>
    </w:tbl>
    <w:p>
      <w:pPr>
        <w:spacing w:before="0" w:after="0" w:line="259" w:lineRule="auto"/>
        <w:ind w:left="-1440" w:right="14405" w:firstLine="0"/>
        <w:jc w:val="left"/>
      </w:pPr>
    </w:p>
    <w:tbl>
      <w:tblPr>
        <w:tblStyle w:val="TableGrid"/>
        <w:tblW w:w="13177" w:type="dxa"/>
        <w:tblInd w:w="-107" w:type="dxa"/>
        <w:tblCellMar>
          <w:top w:w="31" w:type="dxa"/>
          <w:left w:w="0" w:type="dxa"/>
          <w:bottom w:w="0" w:type="dxa"/>
          <w:right w:w="35" w:type="dxa"/>
        </w:tblCellMar>
      </w:tblPr>
      <w:tblGrid>
        <w:gridCol w:w="2507"/>
        <w:gridCol w:w="2309"/>
        <w:gridCol w:w="566"/>
        <w:gridCol w:w="566"/>
        <w:gridCol w:w="566"/>
        <w:gridCol w:w="571"/>
        <w:gridCol w:w="1910"/>
        <w:gridCol w:w="1459"/>
        <w:gridCol w:w="1453"/>
        <w:gridCol w:w="1268"/>
      </w:tblGrid>
      <w:tr>
        <w:trPr>
          <w:trHeight w:val="4109" w:hRule="atLeast"/>
        </w:trPr>
        <w:tc>
          <w:tcPr>
            <w:tcW w:w="2507"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Annual Targets:</w:t>
            </w:r>
            <w:r>
              <w:rPr>
                <w:rFonts w:cs="Cambria" w:hAnsi="Cambria" w:eastAsia="Cambria" w:ascii="Cambria"/>
                <w:b w:val="1"/>
                <w:sz w:val="20"/>
              </w:rPr>
              <w:t xml:space="preserve"> </w:t>
            </w:r>
          </w:p>
          <w:p>
            <w:pPr>
              <w:spacing w:before="0" w:after="0" w:line="279" w:lineRule="auto"/>
              <w:ind w:left="1" w:right="0" w:firstLine="0"/>
            </w:pPr>
            <w:r>
              <w:rPr>
                <w:sz w:val="17"/>
              </w:rPr>
              <w:t xml:space="preserve">-</w:t>
            </w:r>
            <w:r>
              <w:rPr>
                <w:sz w:val="17"/>
              </w:rPr>
              <w:t xml:space="preserve">Draft guidelines for transparency processes </w:t>
            </w:r>
          </w:p>
          <w:p>
            <w:pPr>
              <w:spacing w:before="0" w:after="16" w:line="259" w:lineRule="auto"/>
              <w:ind w:left="1" w:right="0" w:firstLine="0"/>
              <w:jc w:val="left"/>
            </w:pPr>
            <w:r>
              <w:rPr>
                <w:sz w:val="17"/>
              </w:rPr>
              <w:t xml:space="preserve">developed</w:t>
            </w:r>
            <w:r>
              <w:rPr>
                <w:sz w:val="17"/>
              </w:rPr>
              <w:t xml:space="preserve"> </w:t>
            </w:r>
          </w:p>
          <w:p>
            <w:pPr>
              <w:spacing w:before="0" w:after="5" w:line="273" w:lineRule="auto"/>
              <w:ind w:left="1" w:right="0" w:firstLine="0"/>
              <w:jc w:val="left"/>
            </w:pPr>
            <w:r>
              <w:rPr>
                <w:sz w:val="17"/>
              </w:rPr>
              <w:t xml:space="preserve">-</w:t>
            </w:r>
            <w:r>
              <w:rPr>
                <w:sz w:val="17"/>
              </w:rPr>
              <w:t xml:space="preserve">Data collection and analysis done</w:t>
            </w:r>
            <w:r>
              <w:rPr>
                <w:sz w:val="17"/>
              </w:rPr>
              <w:t xml:space="preserve"> </w:t>
            </w:r>
          </w:p>
          <w:p>
            <w:pPr>
              <w:spacing w:before="0" w:after="0" w:line="279" w:lineRule="auto"/>
              <w:ind w:left="1" w:right="0" w:firstLine="0"/>
            </w:pPr>
            <w:r>
              <w:rPr>
                <w:sz w:val="17"/>
              </w:rPr>
              <w:t xml:space="preserve">-</w:t>
            </w:r>
            <w:r>
              <w:rPr>
                <w:sz w:val="17"/>
              </w:rPr>
              <w:t xml:space="preserve">Community sensitizations and outreach programmes </w:t>
            </w:r>
          </w:p>
          <w:p>
            <w:pPr>
              <w:spacing w:before="0" w:after="18" w:line="259" w:lineRule="auto"/>
              <w:ind w:left="1" w:right="0" w:firstLine="0"/>
              <w:jc w:val="left"/>
            </w:pPr>
            <w:r>
              <w:rPr>
                <w:sz w:val="17"/>
              </w:rPr>
              <w:t xml:space="preserve">conducted</w:t>
            </w:r>
            <w:r>
              <w:rPr>
                <w:sz w:val="17"/>
              </w:rPr>
              <w:t xml:space="preserve"> </w:t>
            </w:r>
          </w:p>
          <w:p>
            <w:pPr>
              <w:spacing w:before="0" w:after="0" w:line="283" w:lineRule="auto"/>
              <w:ind w:left="1" w:right="0" w:firstLine="0"/>
              <w:jc w:val="left"/>
            </w:pPr>
            <w:r>
              <w:rPr>
                <w:sz w:val="17"/>
              </w:rPr>
              <w:t xml:space="preserve">-</w:t>
            </w:r>
            <w:r>
              <w:rPr>
                <w:sz w:val="17"/>
              </w:rPr>
              <w:t xml:space="preserve">Support 	visits 	by 	national level authorities conducted</w:t>
            </w:r>
            <w:r>
              <w:rPr>
                <w:sz w:val="17"/>
              </w:rPr>
              <w:t xml:space="preserve"> </w:t>
            </w:r>
          </w:p>
          <w:p>
            <w:pPr>
              <w:spacing w:before="0" w:after="35" w:line="277" w:lineRule="auto"/>
              <w:ind w:left="1" w:right="49" w:firstLine="0"/>
            </w:pPr>
            <w:r>
              <w:rPr>
                <w:sz w:val="17"/>
              </w:rPr>
              <w:t xml:space="preserve">-</w:t>
            </w:r>
            <w:r>
              <w:rPr>
                <w:sz w:val="17"/>
              </w:rPr>
              <w:t xml:space="preserve">Increased interactions between national level and local level with draft mechanisms for dialogue initiated</w:t>
            </w:r>
            <w:r>
              <w:rPr>
                <w:sz w:val="17"/>
              </w:rPr>
              <w:t xml:space="preserve"> </w:t>
            </w:r>
          </w:p>
          <w:p>
            <w:pPr>
              <w:spacing w:before="0" w:after="0" w:line="259" w:lineRule="auto"/>
              <w:ind w:left="1" w:right="0" w:firstLine="0"/>
              <w:jc w:val="left"/>
            </w:pPr>
            <w:r>
              <w:rPr>
                <w:rFonts w:cs="Cambria" w:hAnsi="Cambria" w:eastAsia="Cambria" w:ascii="Cambria"/>
                <w:b w:val="1"/>
                <w:sz w:val="20"/>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2" w:line="270" w:lineRule="auto"/>
              <w:ind w:left="0" w:right="0" w:firstLine="0"/>
              <w:jc w:val="left"/>
            </w:pPr>
            <w:r>
              <w:rPr>
                <w:rFonts w:cs="Cambria" w:hAnsi="Cambria" w:eastAsia="Cambria" w:ascii="Cambria"/>
                <w:b w:val="1"/>
                <w:sz w:val="18"/>
              </w:rPr>
              <w:t xml:space="preserve">Activity Result 4.4:</w:t>
            </w:r>
            <w:r>
              <w:rPr>
                <w:rFonts w:cs="Cambria" w:hAnsi="Cambria" w:eastAsia="Cambria" w:ascii="Cambria"/>
                <w:b w:val="1"/>
                <w:sz w:val="18"/>
              </w:rPr>
              <w:t xml:space="preserve"> </w:t>
            </w:r>
            <w:r>
              <w:rPr>
                <w:sz w:val="18"/>
              </w:rPr>
              <w:t xml:space="preserve">Increased capacity of the districts to monitor the implementation of development projects</w:t>
            </w:r>
            <w:r>
              <w:rPr>
                <w:sz w:val="18"/>
              </w:rPr>
              <w:t xml:space="preserve">   </w:t>
            </w:r>
          </w:p>
          <w:p>
            <w:pPr>
              <w:spacing w:before="0" w:after="7" w:line="259" w:lineRule="auto"/>
              <w:ind w:left="0" w:right="0" w:firstLine="0"/>
              <w:jc w:val="left"/>
            </w:pPr>
            <w:r>
              <w:rPr>
                <w:sz w:val="18"/>
              </w:rPr>
              <w:t xml:space="preserve"> </w:t>
            </w:r>
          </w:p>
          <w:p>
            <w:pPr>
              <w:spacing w:before="0" w:after="2"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 </w:t>
            </w:r>
          </w:p>
          <w:p>
            <w:pPr>
              <w:spacing w:before="0" w:after="2" w:line="241" w:lineRule="auto"/>
              <w:ind w:left="0" w:right="0" w:firstLine="0"/>
              <w:jc w:val="left"/>
            </w:pPr>
            <w:r>
              <w:rPr>
                <w:sz w:val="17"/>
              </w:rPr>
              <w:t xml:space="preserve">-</w:t>
            </w:r>
            <w:r>
              <w:rPr>
                <w:sz w:val="17"/>
              </w:rPr>
              <w:t xml:space="preserve">Build technical capacity of districts in monitoring and evaluation</w:t>
            </w:r>
            <w:r>
              <w:rPr>
                <w:sz w:val="17"/>
              </w:rPr>
              <w:t xml:space="preserve"> </w:t>
            </w:r>
          </w:p>
          <w:p>
            <w:pPr>
              <w:spacing w:before="0" w:after="0" w:line="259" w:lineRule="auto"/>
              <w:ind w:left="0" w:right="0" w:firstLine="0"/>
              <w:jc w:val="left"/>
            </w:pPr>
            <w:r>
              <w:rPr>
                <w:sz w:val="17"/>
              </w:rPr>
              <w:t xml:space="preserve"> </w:t>
            </w:r>
          </w:p>
          <w:p>
            <w:pPr>
              <w:spacing w:before="0" w:after="39" w:line="277" w:lineRule="auto"/>
              <w:ind w:left="0" w:right="56" w:firstLine="0"/>
            </w:pPr>
            <w:r>
              <w:rPr>
                <w:sz w:val="17"/>
              </w:rPr>
              <w:t xml:space="preserve">-</w:t>
            </w:r>
            <w:r>
              <w:rPr>
                <w:sz w:val="17"/>
              </w:rPr>
              <w:t xml:space="preserve">Purchase and equip the districts with the necessary logistics and maintenance and operations to carry out monitoring and evaluation of interventions in the </w:t>
            </w:r>
          </w:p>
          <w:p>
            <w:pPr>
              <w:spacing w:before="0" w:after="0" w:line="259" w:lineRule="auto"/>
              <w:ind w:left="0" w:right="0" w:firstLine="0"/>
              <w:jc w:val="left"/>
            </w:pPr>
            <w:r>
              <w:rPr>
                <w:sz w:val="17"/>
              </w:rPr>
              <w:t xml:space="preserve">districts</w:t>
            </w: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2"/>
              </w:rPr>
              <w:t xml:space="preserve"> </w:t>
            </w:r>
          </w:p>
        </w:tc>
        <w:tc>
          <w:tcPr>
            <w:tcW w:w="571"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2"/>
              </w:rPr>
              <w:t xml:space="preserve"> </w:t>
            </w:r>
          </w:p>
        </w:tc>
        <w:tc>
          <w:tcPr>
            <w:tcW w:w="1910"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1459"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2"/>
              </w:rPr>
              <w:t xml:space="preserve"> </w:t>
            </w:r>
          </w:p>
        </w:tc>
        <w:tc>
          <w:tcPr>
            <w:tcW w:w="1453"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2"/>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 </w:t>
            </w:r>
          </w:p>
        </w:tc>
      </w:tr>
      <w:tr>
        <w:trPr>
          <w:trHeight w:val="380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09" w:type="dxa"/>
            <w:tcBorders>
              <w:top w:val="single" w:sz="4" w:color="000000"/>
              <w:left w:val="single" w:sz="4" w:color="000000"/>
              <w:bottom w:val="single" w:sz="4" w:color="000000"/>
              <w:right w:val="single" w:sz="4" w:color="000000"/>
            </w:tcBorders>
            <w:vAlign w:val="top"/>
          </w:tcPr>
          <w:p>
            <w:pPr>
              <w:spacing w:before="0" w:after="0" w:line="273" w:lineRule="auto"/>
              <w:ind w:left="0" w:right="0" w:firstLine="0"/>
              <w:jc w:val="left"/>
            </w:pPr>
            <w:r>
              <w:rPr>
                <w:rFonts w:cs="Cambria" w:hAnsi="Cambria" w:eastAsia="Cambria" w:ascii="Cambria"/>
                <w:b w:val="1"/>
                <w:sz w:val="18"/>
              </w:rPr>
              <w:t xml:space="preserve">Activity Result 4.</w:t>
            </w:r>
            <w:r>
              <w:rPr>
                <w:rFonts w:cs="Cambria" w:hAnsi="Cambria" w:eastAsia="Cambria" w:ascii="Cambria"/>
                <w:b w:val="1"/>
                <w:sz w:val="18"/>
              </w:rPr>
              <w:t xml:space="preserve">5:</w:t>
            </w:r>
            <w:r>
              <w:rPr>
                <w:rFonts w:cs="Cambria" w:hAnsi="Cambria" w:eastAsia="Cambria" w:ascii="Cambria"/>
                <w:b w:val="1"/>
                <w:sz w:val="18"/>
              </w:rPr>
              <w:t xml:space="preserve"> </w:t>
            </w:r>
            <w:r>
              <w:rPr>
                <w:sz w:val="18"/>
              </w:rPr>
              <w:t xml:space="preserve">Improved participation of </w:t>
            </w:r>
          </w:p>
          <w:p>
            <w:pPr>
              <w:spacing w:before="0" w:after="43" w:line="267" w:lineRule="auto"/>
              <w:ind w:left="0" w:right="0" w:firstLine="0"/>
            </w:pPr>
            <w:r>
              <w:rPr>
                <w:sz w:val="18"/>
              </w:rPr>
              <w:t xml:space="preserve">the beneficiaries in development planning</w:t>
            </w:r>
            <w:r>
              <w:rPr>
                <w:sz w:val="18"/>
              </w:rPr>
              <w:t xml:space="preserve"> </w:t>
            </w:r>
          </w:p>
          <w:p>
            <w:pPr>
              <w:spacing w:before="0" w:after="0" w:line="259" w:lineRule="auto"/>
              <w:ind w:left="0" w:right="0" w:firstLine="0"/>
              <w:jc w:val="left"/>
            </w:pPr>
            <w:r>
              <w:rPr>
                <w:sz w:val="22"/>
              </w:rPr>
              <w:t xml:space="preserve"> </w:t>
            </w:r>
          </w:p>
          <w:p>
            <w:pPr>
              <w:spacing w:before="0" w:after="2" w:line="259" w:lineRule="auto"/>
              <w:ind w:left="0" w:right="0" w:firstLine="0"/>
              <w:jc w:val="left"/>
            </w:pPr>
            <w:r>
              <w:rPr>
                <w:rFonts w:cs="Cambria" w:hAnsi="Cambria" w:eastAsia="Cambria" w:ascii="Cambria"/>
                <w:b w:val="1"/>
                <w:sz w:val="18"/>
              </w:rPr>
              <w:t xml:space="preserve">Activity Actions:</w:t>
            </w:r>
            <w:r>
              <w:rPr>
                <w:rFonts w:cs="Cambria" w:hAnsi="Cambria" w:eastAsia="Cambria" w:ascii="Cambria"/>
                <w:b w:val="1"/>
                <w:sz w:val="18"/>
              </w:rPr>
              <w:t xml:space="preserve"> </w:t>
            </w:r>
          </w:p>
          <w:p>
            <w:pPr>
              <w:spacing w:before="0" w:after="0" w:line="259" w:lineRule="auto"/>
              <w:ind w:left="0" w:right="0" w:firstLine="0"/>
              <w:jc w:val="left"/>
            </w:pPr>
            <w:r>
              <w:rPr>
                <w:sz w:val="17"/>
              </w:rPr>
              <w:t xml:space="preserve">-</w:t>
            </w:r>
            <w:r>
              <w:rPr>
                <w:sz w:val="17"/>
              </w:rPr>
              <w:t xml:space="preserve">Undertake citizen </w:t>
            </w:r>
          </w:p>
          <w:p>
            <w:pPr>
              <w:spacing w:before="0" w:after="0" w:line="259" w:lineRule="auto"/>
              <w:ind w:left="0" w:right="0" w:firstLine="0"/>
              <w:jc w:val="left"/>
            </w:pPr>
            <w:r>
              <w:rPr>
                <w:sz w:val="17"/>
              </w:rPr>
              <w:t xml:space="preserve">empowerment of the </w:t>
            </w:r>
          </w:p>
          <w:p>
            <w:pPr>
              <w:spacing w:before="0" w:after="0" w:line="244" w:lineRule="auto"/>
              <w:ind w:left="0" w:right="0" w:firstLine="0"/>
              <w:jc w:val="left"/>
            </w:pPr>
            <w:r>
              <w:rPr>
                <w:sz w:val="17"/>
              </w:rPr>
              <w:t xml:space="preserve">beneficiaries in the target communities</w:t>
            </w:r>
            <w:r>
              <w:rPr>
                <w:sz w:val="17"/>
              </w:rPr>
              <w:t xml:space="preserve"> </w:t>
            </w:r>
          </w:p>
          <w:p>
            <w:pPr>
              <w:spacing w:before="0" w:after="0" w:line="242" w:lineRule="auto"/>
              <w:ind w:left="0" w:right="0" w:firstLine="0"/>
              <w:jc w:val="left"/>
            </w:pPr>
            <w:r>
              <w:rPr>
                <w:sz w:val="17"/>
              </w:rPr>
              <w:t xml:space="preserve">-</w:t>
            </w:r>
            <w:r>
              <w:rPr>
                <w:sz w:val="17"/>
              </w:rPr>
              <w:t xml:space="preserve">Facilitate public dialogues between beneficiary communities and duty bearers</w:t>
            </w:r>
            <w:r>
              <w:rPr>
                <w:sz w:val="17"/>
              </w:rPr>
              <w:t xml:space="preserve"> </w:t>
            </w:r>
          </w:p>
          <w:p>
            <w:pPr>
              <w:spacing w:before="0" w:after="38" w:line="279" w:lineRule="auto"/>
              <w:ind w:left="0" w:right="0" w:firstLine="0"/>
            </w:pPr>
            <w:r>
              <w:rPr>
                <w:sz w:val="17"/>
              </w:rPr>
              <w:t xml:space="preserve">-</w:t>
            </w:r>
            <w:r>
              <w:rPr>
                <w:sz w:val="17"/>
              </w:rPr>
              <w:t xml:space="preserve">Review the implementation of citizens empowerment </w:t>
            </w:r>
          </w:p>
          <w:p>
            <w:pPr>
              <w:spacing w:before="0" w:after="0" w:line="259" w:lineRule="auto"/>
              <w:ind w:left="0" w:right="0" w:firstLine="0"/>
              <w:jc w:val="left"/>
            </w:pPr>
            <w:r>
              <w:rPr>
                <w:sz w:val="17"/>
              </w:rPr>
              <w:t xml:space="preserve">activities</w:t>
            </w: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2"/>
              </w:rPr>
              <w:t xml:space="preserve"> </w:t>
            </w:r>
          </w:p>
        </w:tc>
        <w:tc>
          <w:tcPr>
            <w:tcW w:w="566"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2"/>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2"/>
              </w:rPr>
              <w:t xml:space="preserve">X</w:t>
            </w:r>
            <w:r>
              <w:rPr>
                <w:sz w:val="22"/>
              </w:rPr>
              <w:t xml:space="preserve"> </w:t>
            </w:r>
          </w:p>
        </w:tc>
        <w:tc>
          <w:tcPr>
            <w:tcW w:w="1910" w:type="dxa"/>
            <w:tcBorders>
              <w:top w:val="single" w:sz="4" w:color="000000"/>
              <w:left w:val="single" w:sz="4" w:color="000000"/>
              <w:bottom w:val="single" w:sz="4" w:color="000000"/>
              <w:right w:val="single" w:sz="4" w:color="000000"/>
            </w:tcBorders>
            <w:vAlign w:val="top"/>
          </w:tcPr>
          <w:p>
            <w:pPr>
              <w:tabs>
                <w:tab w:val="center" w:pos="330"/>
                <w:tab w:val="center" w:pos="1577"/>
              </w:tabs>
              <w:spacing w:before="0" w:after="21" w:line="259" w:lineRule="auto"/>
              <w:ind w:left="0" w:right="0" w:firstLine="0"/>
              <w:jc w:val="left"/>
            </w:pPr>
            <w:r>
              <w:rPr>
                <w:rFonts w:cs="Calibri" w:hAnsi="Calibri" w:eastAsia="Calibri" w:ascii="Calibri"/>
                <w:sz w:val="22"/>
              </w:rPr>
              <w:t xml:space="preserve">	</w:t>
            </w:r>
            <w:r>
              <w:rPr>
                <w:sz w:val="20"/>
              </w:rPr>
              <w:t xml:space="preserve">OPM, 	Local </w:t>
            </w:r>
          </w:p>
          <w:p>
            <w:pPr>
              <w:spacing w:before="0" w:after="19" w:line="259" w:lineRule="auto"/>
              <w:ind w:left="0" w:right="0" w:firstLine="0"/>
              <w:jc w:val="left"/>
            </w:pPr>
            <w:r>
              <w:rPr>
                <w:sz w:val="20"/>
              </w:rPr>
              <w:t xml:space="preserve">Authorities, </w:t>
            </w:r>
          </w:p>
          <w:p>
            <w:pPr>
              <w:tabs>
                <w:tab w:val="center" w:pos="469"/>
                <w:tab w:val="center" w:pos="1407"/>
              </w:tabs>
              <w:spacing w:before="0" w:after="16" w:line="259" w:lineRule="auto"/>
              <w:ind w:left="0" w:right="0" w:firstLine="0"/>
              <w:jc w:val="left"/>
            </w:pPr>
            <w:r>
              <w:rPr>
                <w:rFonts w:cs="Calibri" w:hAnsi="Calibri" w:eastAsia="Calibri" w:ascii="Calibri"/>
                <w:sz w:val="22"/>
              </w:rPr>
              <w:t xml:space="preserve">	</w:t>
            </w:r>
            <w:r>
              <w:rPr>
                <w:sz w:val="20"/>
              </w:rPr>
              <w:t xml:space="preserve">Ministry 	of Local </w:t>
            </w:r>
          </w:p>
          <w:p>
            <w:pPr>
              <w:spacing w:before="0" w:after="12" w:line="259" w:lineRule="auto"/>
              <w:ind w:left="0" w:right="0" w:firstLine="0"/>
              <w:jc w:val="left"/>
            </w:pPr>
            <w:r>
              <w:rPr>
                <w:sz w:val="20"/>
              </w:rPr>
              <w:t xml:space="preserve">Government, </w:t>
            </w:r>
          </w:p>
          <w:p>
            <w:pPr>
              <w:spacing w:before="0" w:after="0" w:line="259" w:lineRule="auto"/>
              <w:ind w:left="0" w:right="0" w:firstLine="0"/>
              <w:jc w:val="left"/>
            </w:pPr>
            <w:r>
              <w:rPr>
                <w:sz w:val="20"/>
              </w:rPr>
              <w:t xml:space="preserve">UNDP, CSOs</w:t>
            </w:r>
            <w:r>
              <w:rPr>
                <w:sz w:val="20"/>
              </w:rPr>
              <w:t xml:space="preserve">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UNDP/BCPR with 	support from potential donors</w:t>
            </w:r>
            <w:r>
              <w:rPr>
                <w:sz w:val="20"/>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Consultancy </w:t>
            </w:r>
          </w:p>
          <w:p>
            <w:pPr>
              <w:spacing w:before="0" w:after="0" w:line="271" w:lineRule="auto"/>
              <w:ind w:left="5" w:right="0" w:firstLine="0"/>
              <w:jc w:val="left"/>
            </w:pPr>
            <w:r>
              <w:rPr>
                <w:sz w:val="20"/>
              </w:rPr>
              <w:t xml:space="preserve">fees, professional services, facilitation </w:t>
            </w:r>
          </w:p>
          <w:p>
            <w:pPr>
              <w:spacing w:before="0" w:after="5" w:line="271" w:lineRule="auto"/>
              <w:ind w:left="5" w:right="0" w:firstLine="0"/>
            </w:pPr>
            <w:r>
              <w:rPr>
                <w:sz w:val="20"/>
              </w:rPr>
              <w:t xml:space="preserve">and meeting costs, travel, </w:t>
            </w:r>
          </w:p>
          <w:p>
            <w:pPr>
              <w:spacing w:before="0" w:after="0" w:line="259" w:lineRule="auto"/>
              <w:ind w:left="5" w:right="0" w:firstLine="0"/>
              <w:jc w:val="left"/>
            </w:pPr>
            <w:r>
              <w:rPr>
                <w:sz w:val="20"/>
              </w:rPr>
              <w:t xml:space="preserve">DSA</w:t>
            </w: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2"/>
              </w:rPr>
              <w:t xml:space="preserve"> </w:t>
            </w:r>
          </w:p>
        </w:tc>
      </w:tr>
      <w:tr>
        <w:trPr>
          <w:trHeight w:val="281" w:hRule="atLeast"/>
        </w:trPr>
        <w:tc>
          <w:tcPr>
            <w:tcW w:w="250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Subtotal </w:t>
            </w:r>
            <w:r>
              <w:rPr>
                <w:rFonts w:cs="Cambria" w:hAnsi="Cambria" w:eastAsia="Cambria" w:ascii="Cambria"/>
                <w:b w:val="1"/>
                <w:sz w:val="20"/>
              </w:rPr>
              <w:t xml:space="preserve">- </w:t>
            </w:r>
            <w:r>
              <w:rPr>
                <w:rFonts w:cs="Cambria" w:hAnsi="Cambria" w:eastAsia="Cambria" w:ascii="Cambria"/>
                <w:b w:val="1"/>
                <w:sz w:val="20"/>
              </w:rPr>
              <w:t xml:space="preserve">Output </w:t>
            </w:r>
            <w:r>
              <w:rPr>
                <w:rFonts w:cs="Cambria" w:hAnsi="Cambria" w:eastAsia="Cambria" w:ascii="Cambria"/>
                <w:b w:val="1"/>
                <w:sz w:val="20"/>
              </w:rPr>
              <w:t xml:space="preserve">4</w:t>
            </w:r>
            <w:r>
              <w:rPr>
                <w:rFonts w:cs="Cambria" w:hAnsi="Cambria" w:eastAsia="Cambria" w:ascii="Cambria"/>
                <w:b w:val="1"/>
                <w:sz w:val="20"/>
              </w:rPr>
              <w:t xml:space="preserve"> </w:t>
            </w:r>
          </w:p>
        </w:tc>
        <w:tc>
          <w:tcPr>
            <w:tcW w:w="9402" w:type="dxa"/>
            <w:gridSpan w:val="8"/>
            <w:tcBorders>
              <w:top w:val="single" w:sz="4" w:color="000000"/>
              <w:left w:val="single" w:sz="4" w:color="000000"/>
              <w:bottom w:val="single" w:sz="4" w:color="000000"/>
              <w:right w:val="single" w:sz="4" w:color="000000"/>
            </w:tcBorders>
            <w:shd w:val="clear" w:fill="dddddd"/>
            <w:vAlign w:val="top"/>
          </w:tcPr>
          <w:p>
            <w:pPr>
              <w:spacing w:before="0" w:after="0" w:line="259" w:lineRule="auto"/>
              <w:ind w:left="0" w:right="0" w:firstLine="0"/>
              <w:jc w:val="left"/>
            </w:pP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400,000</w:t>
            </w:r>
            <w:r>
              <w:rPr>
                <w:rFonts w:cs="Cambria" w:hAnsi="Cambria" w:eastAsia="Cambria" w:ascii="Cambria"/>
                <w:b w:val="1"/>
                <w:sz w:val="20"/>
              </w:rPr>
              <w:t xml:space="preserve"> </w:t>
            </w:r>
          </w:p>
        </w:tc>
      </w:tr>
    </w:tbl>
    <w:tbl>
      <w:tblPr>
        <w:tblStyle w:val="TableGrid"/>
        <w:tblW w:w="13177" w:type="dxa"/>
        <w:tblInd w:w="-107" w:type="dxa"/>
        <w:tblCellMar>
          <w:top w:w="31" w:type="dxa"/>
          <w:left w:w="0" w:type="dxa"/>
          <w:bottom w:w="0" w:type="dxa"/>
          <w:right w:w="35" w:type="dxa"/>
        </w:tblCellMar>
      </w:tblPr>
      <w:tblGrid>
        <w:gridCol w:w="2507"/>
        <w:gridCol w:w="2309"/>
        <w:gridCol w:w="566"/>
        <w:gridCol w:w="566"/>
        <w:gridCol w:w="566"/>
        <w:gridCol w:w="571"/>
        <w:gridCol w:w="802"/>
        <w:gridCol w:w="1109"/>
        <w:gridCol w:w="1459"/>
        <w:gridCol w:w="1453"/>
        <w:gridCol w:w="1268"/>
      </w:tblGrid>
      <w:tr>
        <w:trPr>
          <w:trHeight w:val="4218" w:hRule="atLeast"/>
        </w:trPr>
        <w:tc>
          <w:tcPr>
            <w:tcW w:w="2507" w:type="dxa"/>
            <w:tcBorders>
              <w:top w:val="single" w:sz="4" w:color="000000"/>
              <w:left w:val="single" w:sz="4" w:color="000000"/>
              <w:bottom w:val="single" w:sz="4" w:color="000000"/>
              <w:right w:val="single" w:sz="4" w:color="000000"/>
            </w:tcBorders>
            <w:vAlign w:val="top"/>
          </w:tcPr>
          <w:p>
            <w:pPr>
              <w:spacing w:before="0" w:after="14" w:line="271" w:lineRule="auto"/>
              <w:ind w:left="107" w:right="0" w:firstLine="0"/>
            </w:pPr>
            <w:r>
              <w:rPr>
                <w:sz w:val="20"/>
              </w:rPr>
              <w:t xml:space="preserve">Project Management, </w:t>
            </w:r>
            <w:r>
              <w:rPr>
                <w:color w:val="404040"/>
                <w:sz w:val="20"/>
              </w:rPr>
              <w:t xml:space="preserve">Oversight and overall </w:t>
            </w:r>
          </w:p>
          <w:p>
            <w:pPr>
              <w:spacing w:before="0" w:after="0" w:line="259" w:lineRule="auto"/>
              <w:ind w:left="107" w:right="0" w:firstLine="0"/>
              <w:jc w:val="left"/>
            </w:pPr>
            <w:r>
              <w:rPr>
                <w:color w:val="404040"/>
                <w:sz w:val="20"/>
              </w:rPr>
              <w:t xml:space="preserve">coordination</w:t>
            </w:r>
            <w:r>
              <w:rPr>
                <w:sz w:val="22"/>
              </w:rPr>
              <w:t xml:space="preserve"> </w:t>
            </w:r>
          </w:p>
        </w:tc>
        <w:tc>
          <w:tcPr>
            <w:tcW w:w="2309" w:type="dxa"/>
            <w:tcBorders>
              <w:top w:val="single" w:sz="4" w:color="000000"/>
              <w:left w:val="single" w:sz="4" w:color="000000"/>
              <w:bottom w:val="single" w:sz="4" w:color="000000"/>
              <w:right w:val="single" w:sz="4" w:color="000000"/>
            </w:tcBorders>
            <w:vAlign w:val="top"/>
          </w:tcPr>
          <w:p>
            <w:pPr>
              <w:spacing w:before="0" w:after="1" w:line="277" w:lineRule="auto"/>
              <w:ind w:left="106" w:right="81" w:firstLine="0"/>
            </w:pPr>
            <w:r>
              <w:rPr>
                <w:rFonts w:cs="Cambria" w:hAnsi="Cambria" w:eastAsia="Cambria" w:ascii="Cambria"/>
                <w:b w:val="1"/>
                <w:sz w:val="17"/>
              </w:rPr>
              <w:t xml:space="preserve">Activity Result:</w:t>
            </w:r>
            <w:r>
              <w:rPr>
                <w:sz w:val="17"/>
              </w:rPr>
              <w:t xml:space="preserve"> </w:t>
            </w:r>
            <w:r>
              <w:rPr>
                <w:sz w:val="17"/>
              </w:rPr>
              <w:t xml:space="preserve">Oversight  provided and coordination done to ensure timely programme implementation</w:t>
            </w:r>
            <w:r>
              <w:rPr>
                <w:sz w:val="17"/>
              </w:rPr>
              <w:t xml:space="preserve">:</w:t>
            </w:r>
            <w:r>
              <w:rPr>
                <w:sz w:val="17"/>
              </w:rPr>
              <w:t xml:space="preserve"> </w:t>
            </w:r>
          </w:p>
          <w:p>
            <w:pPr>
              <w:spacing w:before="0" w:after="26" w:line="259" w:lineRule="auto"/>
              <w:ind w:left="106" w:right="0" w:firstLine="0"/>
              <w:jc w:val="left"/>
            </w:pPr>
            <w:r>
              <w:rPr>
                <w:sz w:val="17"/>
              </w:rPr>
              <w:t xml:space="preserve"> </w:t>
            </w:r>
          </w:p>
          <w:p>
            <w:pPr>
              <w:spacing w:before="0" w:after="0" w:line="259" w:lineRule="auto"/>
              <w:ind w:left="106" w:right="0" w:firstLine="0"/>
              <w:jc w:val="left"/>
            </w:pPr>
            <w:r>
              <w:rPr>
                <w:rFonts w:cs="Cambria" w:hAnsi="Cambria" w:eastAsia="Cambria" w:ascii="Cambria"/>
                <w:b w:val="1"/>
                <w:sz w:val="18"/>
              </w:rPr>
              <w:t xml:space="preserve">Planned Actions:</w:t>
            </w:r>
            <w:r>
              <w:rPr>
                <w:rFonts w:cs="Cambria" w:hAnsi="Cambria" w:eastAsia="Cambria" w:ascii="Cambria"/>
                <w:b w:val="1"/>
                <w:sz w:val="18"/>
              </w:rPr>
              <w:t xml:space="preserve"> </w:t>
            </w:r>
          </w:p>
          <w:p>
            <w:pPr>
              <w:spacing w:before="0" w:after="20" w:line="259" w:lineRule="auto"/>
              <w:ind w:left="106" w:right="0" w:firstLine="0"/>
              <w:jc w:val="left"/>
            </w:pPr>
            <w:r>
              <w:rPr>
                <w:sz w:val="16"/>
              </w:rPr>
              <w:t xml:space="preserve">Recruitment of Project staff</w:t>
            </w:r>
            <w:r>
              <w:rPr>
                <w:sz w:val="16"/>
              </w:rPr>
              <w:t xml:space="preserve"> </w:t>
            </w:r>
          </w:p>
          <w:p>
            <w:pPr>
              <w:spacing w:before="0" w:after="0" w:line="281" w:lineRule="auto"/>
              <w:ind w:left="106" w:right="0" w:firstLine="0"/>
              <w:jc w:val="left"/>
            </w:pPr>
            <w:r>
              <w:rPr>
                <w:sz w:val="16"/>
              </w:rPr>
              <w:t xml:space="preserve">-</w:t>
            </w:r>
            <w:r>
              <w:rPr>
                <w:sz w:val="16"/>
              </w:rPr>
              <w:t xml:space="preserve">Procurement 	of 	project assets </w:t>
            </w:r>
            <w:r>
              <w:rPr>
                <w:sz w:val="16"/>
              </w:rPr>
              <w:t xml:space="preserve"> </w:t>
            </w:r>
          </w:p>
          <w:p>
            <w:pPr>
              <w:spacing w:before="0" w:after="0" w:line="277" w:lineRule="auto"/>
              <w:ind w:left="106" w:right="78" w:firstLine="0"/>
            </w:pPr>
            <w:r>
              <w:rPr>
                <w:sz w:val="16"/>
              </w:rPr>
              <w:t xml:space="preserve">-</w:t>
            </w:r>
            <w:r>
              <w:rPr>
                <w:sz w:val="16"/>
              </w:rPr>
              <w:t xml:space="preserve">Identify, select, assess and deliver capacity development interventions for </w:t>
            </w:r>
          </w:p>
          <w:p>
            <w:pPr>
              <w:spacing w:before="0" w:after="20" w:line="259" w:lineRule="auto"/>
              <w:ind w:left="106" w:right="0" w:firstLine="0"/>
              <w:jc w:val="left"/>
            </w:pPr>
            <w:r>
              <w:rPr>
                <w:sz w:val="16"/>
              </w:rPr>
              <w:t xml:space="preserve">implementing partners</w:t>
            </w:r>
            <w:r>
              <w:rPr>
                <w:sz w:val="16"/>
              </w:rPr>
              <w:t xml:space="preserve"> </w:t>
            </w:r>
          </w:p>
          <w:p>
            <w:pPr>
              <w:tabs>
                <w:tab w:val="center" w:pos="442"/>
                <w:tab w:val="right" w:pos="2273"/>
              </w:tabs>
              <w:spacing w:before="0" w:after="17" w:line="259" w:lineRule="auto"/>
              <w:ind w:left="0" w:right="0" w:firstLine="0"/>
              <w:jc w:val="left"/>
            </w:pPr>
            <w:r>
              <w:rPr>
                <w:rFonts w:cs="Calibri" w:hAnsi="Calibri" w:eastAsia="Calibri" w:ascii="Calibri"/>
                <w:sz w:val="22"/>
              </w:rPr>
              <w:t xml:space="preserve">	</w:t>
            </w:r>
            <w:r>
              <w:rPr>
                <w:sz w:val="16"/>
              </w:rPr>
              <w:t xml:space="preserve">-</w:t>
            </w:r>
            <w:r>
              <w:rPr>
                <w:sz w:val="16"/>
              </w:rPr>
              <w:t xml:space="preserve">Establish 	project </w:t>
            </w:r>
          </w:p>
          <w:p>
            <w:pPr>
              <w:spacing w:before="0" w:after="20" w:line="259" w:lineRule="auto"/>
              <w:ind w:left="106" w:right="0" w:firstLine="0"/>
              <w:jc w:val="left"/>
            </w:pPr>
            <w:r>
              <w:rPr>
                <w:sz w:val="16"/>
              </w:rPr>
              <w:t xml:space="preserve">management arrangements</w:t>
            </w:r>
            <w:r>
              <w:rPr>
                <w:sz w:val="16"/>
              </w:rPr>
              <w:t xml:space="preserve"> </w:t>
            </w:r>
          </w:p>
          <w:p>
            <w:pPr>
              <w:spacing w:before="0" w:after="0" w:line="259" w:lineRule="auto"/>
              <w:ind w:left="106" w:right="0" w:firstLine="0"/>
              <w:jc w:val="left"/>
            </w:pPr>
            <w:r>
              <w:rPr>
                <w:sz w:val="16"/>
              </w:rPr>
              <w:t xml:space="preserve">-</w:t>
            </w:r>
            <w:r>
              <w:rPr>
                <w:sz w:val="16"/>
              </w:rPr>
              <w:t xml:space="preserve">Monitor 	programme implementation and provide oversight functions</w:t>
            </w: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2"/>
              </w:rPr>
              <w:t xml:space="preserve">X</w:t>
            </w: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2"/>
              </w:rPr>
              <w:t xml:space="preserve">X</w:t>
            </w:r>
            <w:r>
              <w:rPr>
                <w:sz w:val="22"/>
              </w:rPr>
              <w:t xml:space="preserve"> </w:t>
            </w:r>
          </w:p>
        </w:tc>
        <w:tc>
          <w:tcPr>
            <w:tcW w:w="566" w:type="dxa"/>
            <w:tcBorders>
              <w:top w:val="single" w:sz="4" w:color="000000"/>
              <w:left w:val="single" w:sz="4" w:color="000000"/>
              <w:bottom w:val="single" w:sz="4" w:color="000000"/>
              <w:right w:val="single" w:sz="4" w:color="000000"/>
            </w:tcBorders>
            <w:vAlign w:val="top"/>
          </w:tcPr>
          <w:p>
            <w:pPr>
              <w:spacing w:before="0" w:after="0" w:line="259" w:lineRule="auto"/>
              <w:ind w:left="110" w:right="0" w:firstLine="0"/>
              <w:jc w:val="left"/>
            </w:pPr>
            <w:r>
              <w:rPr>
                <w:sz w:val="22"/>
              </w:rPr>
              <w:t xml:space="preserve">X</w:t>
            </w:r>
            <w:r>
              <w:rPr>
                <w:sz w:val="22"/>
              </w:rPr>
              <w:t xml:space="preserve"> </w:t>
            </w:r>
          </w:p>
        </w:tc>
        <w:tc>
          <w:tcPr>
            <w:tcW w:w="571" w:type="dxa"/>
            <w:tcBorders>
              <w:top w:val="single" w:sz="4" w:color="000000"/>
              <w:left w:val="single" w:sz="4" w:color="000000"/>
              <w:bottom w:val="single" w:sz="4" w:color="000000"/>
              <w:right w:val="single" w:sz="4" w:color="000000"/>
            </w:tcBorders>
            <w:vAlign w:val="top"/>
          </w:tcPr>
          <w:p>
            <w:pPr>
              <w:spacing w:before="0" w:after="0" w:line="259" w:lineRule="auto"/>
              <w:ind w:left="110" w:right="0" w:firstLine="0"/>
              <w:jc w:val="left"/>
            </w:pPr>
            <w:r>
              <w:rPr>
                <w:sz w:val="22"/>
              </w:rPr>
              <w:t xml:space="preserve">X</w:t>
            </w:r>
            <w:r>
              <w:rPr>
                <w:sz w:val="22"/>
              </w:rPr>
              <w:t xml:space="preserve"> </w:t>
            </w:r>
          </w:p>
        </w:tc>
        <w:tc>
          <w:tcPr>
            <w:tcW w:w="802" w:type="dxa"/>
            <w:tcBorders>
              <w:top w:val="single" w:sz="4" w:color="000000"/>
              <w:left w:val="single" w:sz="4" w:color="000000"/>
              <w:bottom w:val="single" w:sz="4" w:color="000000"/>
              <w:right w:val="nil"/>
            </w:tcBorders>
            <w:vAlign w:val="top"/>
          </w:tcPr>
          <w:p>
            <w:pPr>
              <w:spacing w:before="0" w:after="12" w:line="259" w:lineRule="auto"/>
              <w:ind w:left="106" w:right="0" w:firstLine="0"/>
              <w:jc w:val="left"/>
            </w:pPr>
            <w:r>
              <w:rPr>
                <w:sz w:val="20"/>
              </w:rPr>
              <w:t xml:space="preserve">UNDP, </w:t>
            </w:r>
          </w:p>
          <w:p>
            <w:pPr>
              <w:spacing w:before="0" w:after="25" w:line="259" w:lineRule="auto"/>
              <w:ind w:left="106" w:right="0" w:firstLine="0"/>
              <w:jc w:val="left"/>
            </w:pPr>
            <w:r>
              <w:rPr>
                <w:sz w:val="20"/>
              </w:rPr>
              <w:t xml:space="preserve">Local </w:t>
            </w:r>
          </w:p>
          <w:p>
            <w:pPr>
              <w:spacing w:before="0" w:after="0" w:line="259" w:lineRule="auto"/>
              <w:ind w:left="106" w:right="0" w:firstLine="0"/>
              <w:jc w:val="left"/>
            </w:pPr>
            <w:r>
              <w:rPr>
                <w:sz w:val="20"/>
              </w:rPr>
              <w:t xml:space="preserve">OPM</w:t>
            </w:r>
            <w:r>
              <w:rPr>
                <w:sz w:val="22"/>
              </w:rPr>
              <w:t xml:space="preserve"> </w:t>
            </w:r>
          </w:p>
        </w:tc>
        <w:tc>
          <w:tcPr>
            <w:tcW w:w="1109" w:type="dxa"/>
            <w:tcBorders>
              <w:top w:val="single" w:sz="4" w:color="000000"/>
              <w:left w:val="nil"/>
              <w:bottom w:val="single" w:sz="4" w:color="000000"/>
              <w:right w:val="single" w:sz="4" w:color="000000"/>
            </w:tcBorders>
            <w:vAlign w:val="top"/>
          </w:tcPr>
          <w:p>
            <w:pPr>
              <w:spacing w:before="0" w:after="0" w:line="259" w:lineRule="auto"/>
              <w:ind w:left="0" w:right="0" w:firstLine="369"/>
              <w:jc w:val="left"/>
            </w:pPr>
            <w:r>
              <w:rPr>
                <w:sz w:val="20"/>
              </w:rPr>
              <w:t xml:space="preserve">District Authorities, </w:t>
            </w:r>
          </w:p>
        </w:tc>
        <w:tc>
          <w:tcPr>
            <w:tcW w:w="1459" w:type="dxa"/>
            <w:tcBorders>
              <w:top w:val="single" w:sz="4" w:color="000000"/>
              <w:left w:val="single" w:sz="4" w:color="000000"/>
              <w:bottom w:val="single" w:sz="4" w:color="000000"/>
              <w:right w:val="single" w:sz="4" w:color="000000"/>
            </w:tcBorders>
            <w:vAlign w:val="top"/>
          </w:tcPr>
          <w:p>
            <w:pPr>
              <w:spacing w:before="0" w:after="0" w:line="259" w:lineRule="auto"/>
              <w:ind w:left="110" w:right="0" w:firstLine="0"/>
              <w:jc w:val="left"/>
            </w:pPr>
            <w:r>
              <w:rPr>
                <w:sz w:val="20"/>
              </w:rPr>
              <w:t xml:space="preserve">UNDP/BCPR </w:t>
            </w:r>
            <w:r>
              <w:rPr>
                <w:sz w:val="20"/>
              </w:rPr>
              <w:t xml:space="preserve"> </w:t>
            </w:r>
          </w:p>
        </w:tc>
        <w:tc>
          <w:tcPr>
            <w:tcW w:w="1453" w:type="dxa"/>
            <w:tcBorders>
              <w:top w:val="single" w:sz="4" w:color="000000"/>
              <w:left w:val="single" w:sz="4" w:color="000000"/>
              <w:bottom w:val="single" w:sz="4" w:color="000000"/>
              <w:right w:val="single" w:sz="4" w:color="000000"/>
            </w:tcBorders>
            <w:vAlign w:val="top"/>
          </w:tcPr>
          <w:p>
            <w:pPr>
              <w:spacing w:before="0" w:after="0" w:line="259" w:lineRule="auto"/>
              <w:ind w:left="108" w:right="68" w:firstLine="0"/>
            </w:pPr>
            <w:r>
              <w:rPr>
                <w:sz w:val="20"/>
              </w:rPr>
              <w:t xml:space="preserve">Project staff costs, travel, DSA, supplier costs, consultancy fees </w:t>
            </w:r>
            <w:r>
              <w:rPr>
                <w:sz w:val="20"/>
              </w:rPr>
              <w:t xml:space="preserve"> </w:t>
            </w: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2"/>
              </w:rPr>
              <w:t xml:space="preserve">400,000</w:t>
            </w:r>
            <w:r>
              <w:rPr>
                <w:sz w:val="22"/>
              </w:rPr>
              <w:t xml:space="preserve"> </w:t>
            </w:r>
          </w:p>
        </w:tc>
      </w:tr>
      <w:tr>
        <w:trPr>
          <w:trHeight w:val="280" w:hRule="atLeast"/>
        </w:trPr>
        <w:tc>
          <w:tcPr>
            <w:tcW w:w="4816" w:type="dxa"/>
            <w:gridSpan w:val="2"/>
            <w:tcBorders>
              <w:top w:val="single" w:sz="4" w:color="000000"/>
              <w:left w:val="single" w:sz="4" w:color="000000"/>
              <w:bottom w:val="single" w:sz="4" w:color="000000"/>
              <w:right w:val="nil"/>
            </w:tcBorders>
            <w:shd w:val="clear" w:fill="d9d9d9"/>
            <w:vAlign w:val="top"/>
          </w:tcPr>
          <w:p>
            <w:pPr>
              <w:spacing w:before="0" w:after="0" w:line="259" w:lineRule="auto"/>
              <w:ind w:left="107" w:right="0" w:firstLine="0"/>
              <w:jc w:val="left"/>
            </w:pPr>
            <w:r>
              <w:rPr>
                <w:rFonts w:cs="Cambria" w:hAnsi="Cambria" w:eastAsia="Cambria" w:ascii="Cambria"/>
                <w:b w:val="1"/>
                <w:sz w:val="20"/>
              </w:rPr>
              <w:t xml:space="preserve">Subtotal </w:t>
            </w:r>
            <w:r>
              <w:rPr>
                <w:rFonts w:cs="Cambria" w:hAnsi="Cambria" w:eastAsia="Cambria" w:ascii="Cambria"/>
                <w:b w:val="1"/>
                <w:sz w:val="20"/>
              </w:rPr>
              <w:t xml:space="preserve">- </w:t>
            </w:r>
            <w:r>
              <w:rPr>
                <w:rFonts w:cs="Cambria" w:hAnsi="Cambria" w:eastAsia="Cambria" w:ascii="Cambria"/>
                <w:b w:val="1"/>
                <w:sz w:val="20"/>
              </w:rPr>
              <w:t xml:space="preserve">Project Management </w:t>
            </w:r>
            <w:r>
              <w:rPr>
                <w:sz w:val="20"/>
              </w:rPr>
              <w:t xml:space="preserve"> </w:t>
            </w:r>
          </w:p>
        </w:tc>
        <w:tc>
          <w:tcPr>
            <w:tcW w:w="566"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566"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566"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571"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802"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1109"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1459"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1453" w:type="dxa"/>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268"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rFonts w:cs="Cambria" w:hAnsi="Cambria" w:eastAsia="Cambria" w:ascii="Cambria"/>
                <w:b w:val="1"/>
                <w:sz w:val="20"/>
              </w:rPr>
              <w:t xml:space="preserve">400,000</w:t>
            </w:r>
            <w:r>
              <w:rPr>
                <w:rFonts w:cs="Cambria" w:hAnsi="Cambria" w:eastAsia="Cambria" w:ascii="Cambria"/>
                <w:b w:val="1"/>
                <w:sz w:val="20"/>
              </w:rPr>
              <w:t xml:space="preserve"> </w:t>
            </w:r>
          </w:p>
        </w:tc>
      </w:tr>
      <w:tr>
        <w:trPr>
          <w:trHeight w:val="306" w:hRule="atLeast"/>
        </w:trPr>
        <w:tc>
          <w:tcPr>
            <w:tcW w:w="2507"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07" w:right="0" w:firstLine="0"/>
              <w:jc w:val="left"/>
            </w:pPr>
            <w:r>
              <w:rPr>
                <w:rFonts w:cs="Cambria" w:hAnsi="Cambria" w:eastAsia="Cambria" w:ascii="Cambria"/>
                <w:b w:val="1"/>
                <w:sz w:val="22"/>
              </w:rPr>
              <w:t xml:space="preserve">OVERAL TOTAL</w:t>
            </w:r>
            <w:r>
              <w:rPr>
                <w:rFonts w:cs="Cambria" w:hAnsi="Cambria" w:eastAsia="Cambria" w:ascii="Cambria"/>
                <w:b w:val="1"/>
                <w:sz w:val="22"/>
              </w:rPr>
              <w:t xml:space="preserve"> </w:t>
            </w:r>
          </w:p>
        </w:tc>
        <w:tc>
          <w:tcPr>
            <w:tcW w:w="2309" w:type="dxa"/>
            <w:tcBorders>
              <w:top w:val="single" w:sz="4" w:color="000000"/>
              <w:left w:val="single" w:sz="4" w:color="000000"/>
              <w:bottom w:val="single" w:sz="4" w:color="000000"/>
              <w:right w:val="nil"/>
            </w:tcBorders>
            <w:vAlign w:val="top"/>
          </w:tcPr>
          <w:p>
            <w:pPr>
              <w:spacing w:before="0" w:after="0" w:line="259" w:lineRule="auto"/>
              <w:ind w:left="106" w:right="0" w:firstLine="0"/>
              <w:jc w:val="left"/>
            </w:pPr>
            <w:r>
              <w:rPr>
                <w:sz w:val="22"/>
              </w:rPr>
              <w:t xml:space="preserve"> </w:t>
            </w:r>
          </w:p>
        </w:tc>
        <w:tc>
          <w:tcPr>
            <w:tcW w:w="566" w:type="dxa"/>
            <w:tcBorders>
              <w:top w:val="single" w:sz="4" w:color="000000"/>
              <w:left w:val="nil"/>
              <w:bottom w:val="single" w:sz="4" w:color="000000"/>
              <w:right w:val="nil"/>
            </w:tcBorders>
            <w:vAlign w:val="top"/>
          </w:tcPr>
          <w:p>
            <w:pPr>
              <w:spacing w:before="0" w:after="0" w:line="259" w:lineRule="auto"/>
              <w:ind w:left="106" w:right="0" w:firstLine="0"/>
              <w:jc w:val="left"/>
            </w:pPr>
            <w:r>
              <w:rPr>
                <w:sz w:val="22"/>
              </w:rPr>
              <w:t xml:space="preserve"> </w:t>
            </w:r>
          </w:p>
        </w:tc>
        <w:tc>
          <w:tcPr>
            <w:tcW w:w="566" w:type="dxa"/>
            <w:tcBorders>
              <w:top w:val="single" w:sz="4" w:color="000000"/>
              <w:left w:val="nil"/>
              <w:bottom w:val="single" w:sz="4" w:color="000000"/>
              <w:right w:val="nil"/>
            </w:tcBorders>
            <w:vAlign w:val="top"/>
          </w:tcPr>
          <w:p>
            <w:pPr>
              <w:spacing w:before="0" w:after="0" w:line="259" w:lineRule="auto"/>
              <w:ind w:left="106" w:right="0" w:firstLine="0"/>
              <w:jc w:val="left"/>
            </w:pPr>
            <w:r>
              <w:rPr>
                <w:sz w:val="22"/>
              </w:rPr>
              <w:t xml:space="preserve"> </w:t>
            </w:r>
          </w:p>
        </w:tc>
        <w:tc>
          <w:tcPr>
            <w:tcW w:w="566" w:type="dxa"/>
            <w:tcBorders>
              <w:top w:val="single" w:sz="4" w:color="000000"/>
              <w:left w:val="nil"/>
              <w:bottom w:val="single" w:sz="4" w:color="000000"/>
              <w:right w:val="nil"/>
            </w:tcBorders>
            <w:vAlign w:val="top"/>
          </w:tcPr>
          <w:p>
            <w:pPr>
              <w:spacing w:before="0" w:after="0" w:line="259" w:lineRule="auto"/>
              <w:ind w:left="110" w:right="0" w:firstLine="0"/>
              <w:jc w:val="left"/>
            </w:pPr>
            <w:r>
              <w:rPr>
                <w:sz w:val="22"/>
              </w:rPr>
              <w:t xml:space="preserve"> </w:t>
            </w:r>
          </w:p>
        </w:tc>
        <w:tc>
          <w:tcPr>
            <w:tcW w:w="571" w:type="dxa"/>
            <w:tcBorders>
              <w:top w:val="single" w:sz="4" w:color="000000"/>
              <w:left w:val="nil"/>
              <w:bottom w:val="single" w:sz="4" w:color="000000"/>
              <w:right w:val="nil"/>
            </w:tcBorders>
            <w:vAlign w:val="top"/>
          </w:tcPr>
          <w:p>
            <w:pPr>
              <w:spacing w:before="0" w:after="0" w:line="259" w:lineRule="auto"/>
              <w:ind w:left="110" w:right="0" w:firstLine="0"/>
              <w:jc w:val="left"/>
            </w:pPr>
            <w:r>
              <w:rPr>
                <w:sz w:val="22"/>
              </w:rPr>
              <w:t xml:space="preserve"> </w:t>
            </w:r>
          </w:p>
        </w:tc>
        <w:tc>
          <w:tcPr>
            <w:tcW w:w="802" w:type="dxa"/>
            <w:tcBorders>
              <w:top w:val="single" w:sz="4" w:color="000000"/>
              <w:left w:val="nil"/>
              <w:bottom w:val="single" w:sz="4" w:color="000000"/>
              <w:right w:val="nil"/>
            </w:tcBorders>
            <w:vAlign w:val="top"/>
          </w:tcPr>
          <w:p>
            <w:pPr>
              <w:spacing w:before="0" w:after="0" w:line="259" w:lineRule="auto"/>
              <w:ind w:left="106" w:right="0" w:firstLine="0"/>
              <w:jc w:val="left"/>
            </w:pPr>
            <w:r>
              <w:rPr>
                <w:sz w:val="22"/>
              </w:rPr>
              <w:t xml:space="preserve"> </w:t>
            </w:r>
          </w:p>
        </w:tc>
        <w:tc>
          <w:tcPr>
            <w:tcW w:w="1109"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1459" w:type="dxa"/>
            <w:tcBorders>
              <w:top w:val="single" w:sz="4" w:color="000000"/>
              <w:left w:val="nil"/>
              <w:bottom w:val="single" w:sz="4" w:color="000000"/>
              <w:right w:val="single" w:sz="4" w:color="000000"/>
            </w:tcBorders>
            <w:vAlign w:val="top"/>
          </w:tcPr>
          <w:p>
            <w:pPr>
              <w:spacing w:before="0" w:after="0" w:line="259" w:lineRule="auto"/>
              <w:ind w:left="110" w:right="0" w:firstLine="0"/>
              <w:jc w:val="left"/>
            </w:pPr>
            <w:r>
              <w:rPr>
                <w:sz w:val="22"/>
              </w:rPr>
              <w:t xml:space="preserve"> </w:t>
            </w:r>
          </w:p>
        </w:tc>
        <w:tc>
          <w:tcPr>
            <w:tcW w:w="1453"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08" w:right="0" w:firstLine="0"/>
              <w:jc w:val="left"/>
            </w:pPr>
            <w:r>
              <w:rPr>
                <w:sz w:val="22"/>
              </w:rPr>
              <w:t xml:space="preserve"> </w:t>
            </w:r>
          </w:p>
        </w:tc>
        <w:tc>
          <w:tcPr>
            <w:tcW w:w="126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106" w:right="0" w:firstLine="0"/>
            </w:pPr>
            <w:r>
              <w:rPr>
                <w:rFonts w:cs="Cambria" w:hAnsi="Cambria" w:eastAsia="Cambria" w:ascii="Cambria"/>
                <w:b w:val="1"/>
                <w:sz w:val="22"/>
              </w:rPr>
              <w:t xml:space="preserve">2,100,000</w:t>
            </w:r>
            <w:r>
              <w:rPr>
                <w:rFonts w:cs="Cambria" w:hAnsi="Cambria" w:eastAsia="Cambria" w:ascii="Cambria"/>
                <w:b w:val="1"/>
                <w:sz w:val="22"/>
              </w:rPr>
              <w:t xml:space="preserve"> </w:t>
            </w:r>
          </w:p>
        </w:tc>
      </w:tr>
    </w:tbl>
    <w:p>
      <w:pPr>
        <w:spacing w:before="0" w:after="11"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1"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11" w:line="259" w:lineRule="auto"/>
        <w:ind w:left="0" w:right="0" w:firstLine="0"/>
      </w:pPr>
      <w:r>
        <w:rPr>
          <w:rFonts w:cs="Cambria" w:hAnsi="Cambria" w:eastAsia="Cambria" w:ascii="Cambria"/>
          <w:b w:val="1"/>
          <w:sz w:val="22"/>
        </w:rPr>
        <w:t xml:space="preserve"> </w:t>
      </w:r>
    </w:p>
    <w:p>
      <w:pPr>
        <w:spacing w:before="0" w:after="16" w:line="259" w:lineRule="auto"/>
        <w:ind w:left="0" w:right="0" w:firstLine="0"/>
      </w:pPr>
      <w:r>
        <w:rPr>
          <w:rFonts w:cs="Cambria" w:hAnsi="Cambria" w:eastAsia="Cambria" w:ascii="Cambria"/>
          <w:b w:val="1"/>
          <w:sz w:val="22"/>
        </w:rPr>
        <w:t xml:space="preserve"> </w:t>
      </w:r>
    </w:p>
    <w:p>
      <w:pPr>
        <w:spacing w:before="0" w:after="0" w:line="259" w:lineRule="auto"/>
        <w:ind w:left="0" w:right="0" w:firstLine="0"/>
      </w:pPr>
      <w:r>
        <w:rPr>
          <w:rFonts w:cs="Cambria" w:hAnsi="Cambria" w:eastAsia="Cambria" w:ascii="Cambria"/>
          <w:b w:val="1"/>
          <w:sz w:val="22"/>
        </w:rPr>
        <w:t xml:space="preserve"> </w:t>
      </w:r>
    </w:p>
    <w:p>
      <w:pPr>
        <w:pStyle w:val="heading1"/>
        <w:tabs>
          <w:tab w:val="center" w:pos="2591"/>
        </w:tabs>
        <w:spacing w:before="0" w:after="125" w:line="259" w:lineRule="auto"/>
        <w:ind w:left="-15" w:firstLine="0"/>
      </w:pPr>
      <w:bookmarkStart w:id="179051" w:name="_Toc179051"/>
      <w:r>
        <w:rPr>
          <w:rFonts w:cs="Calibri" w:hAnsi="Calibri" w:eastAsia="Calibri" w:ascii="Calibri"/>
          <w:sz w:val="22"/>
        </w:rPr>
        <w:drawing>
          <wp:anchor simplePos="0" relativeHeight="0" locked="0" layoutInCell="1" allowOverlap="1" behindDoc="0">
            <wp:simplePos x="0" y="0"/>
            <wp:positionH relativeFrom="page">
              <wp:posOffset>896112</wp:posOffset>
            </wp:positionH>
            <wp:positionV relativeFrom="page">
              <wp:posOffset>914400</wp:posOffset>
            </wp:positionV>
            <wp:extent cx="8266176" cy="6096"/>
            <wp:wrapTopAndBottom/>
            <wp:docPr id="153216" name="Group 153216"/>
            <wp:cNvGraphicFramePr/>
            <a:graphic>
              <a:graphicData uri="http://schemas.microsoft.com/office/word/2010/wordprocessingGroup">
                <wpg:wgp>
                  <wpg:cNvGrpSpPr/>
                  <wpg:grpSpPr>
                    <a:xfrm>
                      <a:off x="0" y="0"/>
                      <a:ext cx="8266176" cy="6096"/>
                      <a:chOff x="0" y="0"/>
                      <a:chExt cx="8266176" cy="6096"/>
                    </a:xfrm>
                  </wpg:grpSpPr>
                  <wps:wsp>
                    <wps:cNvPr id="180735" name="Shape 180735"/>
                    <wps:cNvSpPr/>
                    <wps:spPr>
                      <a:xfrm>
                        <a:off x="0" y="0"/>
                        <a:ext cx="8266176" cy="9144"/>
                      </a:xfrm>
                      <a:custGeom>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rFonts w:cs="Arial" w:hAnsi="Arial" w:eastAsia="Arial" w:ascii="Arial"/>
        </w:rPr>
        <w:t xml:space="preserve">3.</w:t>
      </w:r>
      <w:r>
        <w:rPr>
          <w:rFonts w:cs="Arial" w:hAnsi="Arial" w:eastAsia="Arial" w:ascii="Arial"/>
        </w:rPr>
        <w:t xml:space="preserve"> 	</w:t>
      </w:r>
      <w:r>
        <w:rPr>
          <w:rFonts w:cs="Arial" w:hAnsi="Arial" w:eastAsia="Arial" w:ascii="Arial"/>
        </w:rPr>
        <w:t xml:space="preserve">Annual Work Plan </w:t>
      </w:r>
      <w:r>
        <w:rPr>
          <w:rFonts w:cs="Arial" w:hAnsi="Arial" w:eastAsia="Arial" w:ascii="Arial"/>
        </w:rPr>
        <w:t xml:space="preserve">- </w:t>
      </w:r>
      <w:r>
        <w:rPr>
          <w:rFonts w:cs="Arial" w:hAnsi="Arial" w:eastAsia="Arial" w:ascii="Arial"/>
        </w:rPr>
        <w:t xml:space="preserve">2014</w:t>
      </w:r>
      <w:r>
        <w:rPr>
          <w:rFonts w:cs="Arial" w:hAnsi="Arial" w:eastAsia="Arial" w:ascii="Arial"/>
        </w:rPr>
        <w:t xml:space="preserve"> </w:t>
      </w:r>
      <w:bookmarkEnd w:id="179051"/>
    </w:p>
    <w:p>
      <w:pPr>
        <w:spacing w:before="0" w:after="0" w:line="259" w:lineRule="auto"/>
        <w:ind w:left="0" w:right="0" w:firstLine="0"/>
        <w:jc w:val="left"/>
      </w:pPr>
      <w:r>
        <w:rPr>
          <w:sz w:val="22"/>
        </w:rPr>
        <w:t xml:space="preserve"> </w:t>
      </w:r>
    </w:p>
    <w:tbl>
      <w:tblPr>
        <w:tblStyle w:val="TableGrid"/>
        <w:tblW w:w="12979" w:type="dxa"/>
        <w:tblInd w:w="-110" w:type="dxa"/>
        <w:tblCellMar>
          <w:top w:w="35" w:type="dxa"/>
          <w:left w:w="19" w:type="dxa"/>
          <w:bottom w:w="0" w:type="dxa"/>
          <w:right w:w="18" w:type="dxa"/>
        </w:tblCellMar>
      </w:tblPr>
      <w:tblGrid>
        <w:gridCol w:w="2179"/>
        <w:gridCol w:w="2448"/>
        <w:gridCol w:w="341"/>
        <w:gridCol w:w="341"/>
        <w:gridCol w:w="336"/>
        <w:gridCol w:w="341"/>
        <w:gridCol w:w="2266"/>
        <w:gridCol w:w="1402"/>
        <w:gridCol w:w="1709"/>
        <w:gridCol w:w="1618"/>
      </w:tblGrid>
      <w:tr>
        <w:trPr>
          <w:trHeight w:val="269" w:hRule="atLeast"/>
        </w:trPr>
        <w:tc>
          <w:tcPr>
            <w:tcW w:w="2179" w:type="dxa"/>
            <w:vMerge w:val="restart"/>
            <w:tcBorders>
              <w:top w:val="single" w:sz="4" w:color="000000"/>
              <w:left w:val="single" w:sz="4" w:color="000000"/>
              <w:bottom w:val="single" w:sz="4" w:color="000000"/>
              <w:right w:val="single" w:sz="4" w:color="000000"/>
            </w:tcBorders>
            <w:vAlign w:val="top"/>
          </w:tcPr>
          <w:p>
            <w:pPr>
              <w:spacing w:before="0" w:after="16" w:line="259" w:lineRule="auto"/>
              <w:ind w:left="91" w:right="0" w:firstLine="0"/>
              <w:jc w:val="left"/>
            </w:pPr>
            <w:r>
              <w:rPr>
                <w:rFonts w:cs="Cambria" w:hAnsi="Cambria" w:eastAsia="Cambria" w:ascii="Cambria"/>
                <w:b w:val="1"/>
                <w:sz w:val="22"/>
              </w:rPr>
              <w:t xml:space="preserve">EXPECTED </w:t>
            </w:r>
          </w:p>
          <w:p>
            <w:pPr>
              <w:spacing w:before="0" w:after="0" w:line="259" w:lineRule="auto"/>
              <w:ind w:left="91" w:right="0" w:firstLine="0"/>
              <w:jc w:val="left"/>
            </w:pPr>
            <w:r>
              <w:rPr>
                <w:rFonts w:cs="Cambria" w:hAnsi="Cambria" w:eastAsia="Cambria" w:ascii="Cambria"/>
                <w:b w:val="1"/>
                <w:sz w:val="22"/>
              </w:rPr>
              <w:t xml:space="preserve">OUTPUT</w:t>
            </w:r>
            <w:r>
              <w:rPr>
                <w:rFonts w:cs="Cambria" w:hAnsi="Cambria" w:eastAsia="Cambria" w:ascii="Cambria"/>
                <w:b w:val="1"/>
                <w:sz w:val="22"/>
              </w:rPr>
              <w:t xml:space="preserve"> </w:t>
            </w:r>
          </w:p>
          <w:p>
            <w:pPr>
              <w:spacing w:before="0" w:after="0" w:line="259" w:lineRule="auto"/>
              <w:ind w:left="91" w:right="0" w:firstLine="0"/>
              <w:jc w:val="left"/>
            </w:pPr>
            <w:r>
              <w:rPr>
                <w:rFonts w:cs="Cambria" w:hAnsi="Cambria" w:eastAsia="Cambria" w:ascii="Cambria"/>
                <w:i w:val="1"/>
                <w:sz w:val="18"/>
              </w:rPr>
              <w:t xml:space="preserve">And baseline, associated indicators and annual targets</w:t>
            </w:r>
            <w:r>
              <w:rPr>
                <w:rFonts w:cs="Cambria" w:hAnsi="Cambria" w:eastAsia="Cambria" w:ascii="Cambria"/>
                <w:b w:val="1"/>
                <w:sz w:val="22"/>
              </w:rPr>
              <w:t xml:space="preserve"> </w:t>
            </w:r>
          </w:p>
        </w:tc>
        <w:tc>
          <w:tcPr>
            <w:tcW w:w="2448"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91" w:right="0" w:firstLine="0"/>
            </w:pPr>
            <w:r>
              <w:rPr>
                <w:rFonts w:cs="Cambria" w:hAnsi="Cambria" w:eastAsia="Cambria" w:ascii="Cambria"/>
                <w:b w:val="1"/>
                <w:sz w:val="22"/>
              </w:rPr>
              <w:t xml:space="preserve">PLANNED ACTIVITIES</w:t>
            </w:r>
            <w:r>
              <w:rPr>
                <w:rFonts w:cs="Cambria" w:hAnsi="Cambria" w:eastAsia="Cambria" w:ascii="Cambria"/>
                <w:b w:val="1"/>
                <w:sz w:val="22"/>
              </w:rPr>
              <w:t xml:space="preserve"> </w:t>
            </w:r>
          </w:p>
          <w:p>
            <w:pPr>
              <w:spacing w:before="0" w:after="0" w:line="259" w:lineRule="auto"/>
              <w:ind w:left="91" w:right="51" w:firstLine="0"/>
              <w:jc w:val="left"/>
            </w:pPr>
            <w:r>
              <w:rPr>
                <w:rFonts w:cs="Cambria" w:hAnsi="Cambria" w:eastAsia="Cambria" w:ascii="Cambria"/>
                <w:i w:val="1"/>
                <w:sz w:val="16"/>
              </w:rPr>
              <w:t xml:space="preserve">List activity results and associated actions</w:t>
            </w:r>
            <w:r>
              <w:rPr>
                <w:rFonts w:cs="Cambria" w:hAnsi="Cambria" w:eastAsia="Cambria" w:ascii="Cambria"/>
                <w:b w:val="1"/>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rFonts w:cs="Cambria" w:hAnsi="Cambria" w:eastAsia="Cambria" w:ascii="Cambria"/>
                <w:b w:val="1"/>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rFonts w:cs="Cambria" w:hAnsi="Cambria" w:eastAsia="Cambria" w:ascii="Cambria"/>
                <w:b w:val="1"/>
                <w:sz w:val="22"/>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rFonts w:cs="Cambria" w:hAnsi="Cambria" w:eastAsia="Cambria" w:ascii="Cambria"/>
                <w:b w:val="1"/>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91" w:right="0" w:firstLine="0"/>
              <w:jc w:val="left"/>
            </w:pPr>
            <w:r>
              <w:rPr>
                <w:rFonts w:cs="Cambria" w:hAnsi="Cambria" w:eastAsia="Cambria" w:ascii="Cambria"/>
                <w:b w:val="1"/>
                <w:sz w:val="22"/>
              </w:rPr>
              <w:t xml:space="preserve"> </w:t>
            </w:r>
          </w:p>
        </w:tc>
        <w:tc>
          <w:tcPr>
            <w:tcW w:w="2266"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91" w:right="0" w:firstLine="0"/>
              <w:jc w:val="left"/>
            </w:pPr>
            <w:r>
              <w:rPr>
                <w:rFonts w:cs="Cambria" w:hAnsi="Cambria" w:eastAsia="Cambria" w:ascii="Cambria"/>
                <w:b w:val="1"/>
                <w:sz w:val="22"/>
              </w:rPr>
              <w:t xml:space="preserve">RESPONSIBLE PARTY</w:t>
            </w:r>
            <w:r>
              <w:rPr>
                <w:rFonts w:cs="Cambria" w:hAnsi="Cambria" w:eastAsia="Cambria" w:ascii="Cambria"/>
                <w:b w:val="1"/>
                <w:sz w:val="22"/>
              </w:rPr>
              <w:t xml:space="preserve"> </w:t>
            </w:r>
          </w:p>
        </w:tc>
        <w:tc>
          <w:tcPr>
            <w:tcW w:w="1402" w:type="dxa"/>
            <w:tcBorders>
              <w:top w:val="single" w:sz="4" w:color="000000"/>
              <w:left w:val="single" w:sz="4" w:color="000000"/>
              <w:bottom w:val="single" w:sz="4" w:color="000000"/>
              <w:right w:val="nil"/>
            </w:tcBorders>
            <w:vAlign w:val="top"/>
          </w:tcPr>
          <w:p>
            <w:pPr>
              <w:bidi w:val="0"/>
              <w:spacing w:before="0" w:after="160" w:line="259" w:lineRule="auto"/>
              <w:ind w:left="0" w:right="0" w:firstLine="0"/>
              <w:jc w:val="left"/>
            </w:pPr>
          </w:p>
        </w:tc>
        <w:tc>
          <w:tcPr>
            <w:tcW w:w="3326" w:type="dxa"/>
            <w:gridSpan w:val="2"/>
            <w:tcBorders>
              <w:top w:val="single" w:sz="4" w:color="000000"/>
              <w:left w:val="nil"/>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2"/>
              </w:rPr>
              <w:t xml:space="preserve">PLANNED BUDGET</w:t>
            </w:r>
            <w:r>
              <w:rPr>
                <w:rFonts w:cs="Cambria" w:hAnsi="Cambria" w:eastAsia="Cambria" w:ascii="Cambria"/>
                <w:b w:val="1"/>
                <w:sz w:val="20"/>
              </w:rPr>
              <w:t xml:space="preserve"> </w:t>
            </w:r>
          </w:p>
        </w:tc>
      </w:tr>
      <w:tr>
        <w:trPr>
          <w:trHeight w:val="965"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pPr>
            <w:r>
              <w:rPr>
                <w:rFonts w:cs="Times New Roman" w:hAnsi="Times New Roman" w:eastAsia="Times New Roman" w:ascii="Times New Roman"/>
                <w:sz w:val="20"/>
              </w:rPr>
              <w:t xml:space="preserve">Q</w:t>
            </w:r>
          </w:p>
          <w:p>
            <w:pPr>
              <w:spacing w:before="0" w:after="0" w:line="259" w:lineRule="auto"/>
              <w:ind w:left="86" w:right="0" w:firstLine="0"/>
              <w:jc w:val="left"/>
            </w:pPr>
            <w:r>
              <w:rPr>
                <w:rFonts w:cs="Times New Roman" w:hAnsi="Times New Roman" w:eastAsia="Times New Roman" w:ascii="Times New Roman"/>
                <w:sz w:val="20"/>
              </w:rPr>
              <w:t xml:space="preserve">1</w:t>
            </w:r>
            <w:r>
              <w:rPr>
                <w:rFonts w:cs="Times New Roman" w:hAnsi="Times New Roman" w:eastAsia="Times New Roman" w:ascii="Times New Roman"/>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pPr>
            <w:r>
              <w:rPr>
                <w:rFonts w:cs="Times New Roman" w:hAnsi="Times New Roman" w:eastAsia="Times New Roman" w:ascii="Times New Roman"/>
                <w:sz w:val="20"/>
              </w:rPr>
              <w:t xml:space="preserve">Q</w:t>
            </w:r>
          </w:p>
          <w:p>
            <w:pPr>
              <w:spacing w:before="0" w:after="0" w:line="259" w:lineRule="auto"/>
              <w:ind w:left="86" w:right="0" w:firstLine="0"/>
              <w:jc w:val="left"/>
            </w:pPr>
            <w:r>
              <w:rPr>
                <w:rFonts w:cs="Times New Roman" w:hAnsi="Times New Roman" w:eastAsia="Times New Roman" w:ascii="Times New Roman"/>
                <w:sz w:val="20"/>
              </w:rPr>
              <w:t xml:space="preserve">2</w:t>
            </w:r>
            <w:r>
              <w:rPr>
                <w:rFonts w:cs="Times New Roman" w:hAnsi="Times New Roman" w:eastAsia="Times New Roman" w:ascii="Times New Roman"/>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pPr>
            <w:r>
              <w:rPr>
                <w:rFonts w:cs="Times New Roman" w:hAnsi="Times New Roman" w:eastAsia="Times New Roman" w:ascii="Times New Roman"/>
                <w:sz w:val="20"/>
              </w:rPr>
              <w:t xml:space="preserve">Q</w:t>
            </w:r>
          </w:p>
          <w:p>
            <w:pPr>
              <w:spacing w:before="0" w:after="0" w:line="259" w:lineRule="auto"/>
              <w:ind w:left="86" w:right="0" w:firstLine="0"/>
              <w:jc w:val="left"/>
            </w:pPr>
            <w:r>
              <w:rPr>
                <w:rFonts w:cs="Times New Roman" w:hAnsi="Times New Roman" w:eastAsia="Times New Roman" w:ascii="Times New Roman"/>
                <w:sz w:val="20"/>
              </w:rPr>
              <w:t xml:space="preserve">3</w:t>
            </w:r>
            <w:r>
              <w:rPr>
                <w:rFonts w:cs="Times New Roman" w:hAnsi="Times New Roman" w:eastAsia="Times New Roman" w:ascii="Times New Roman"/>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91" w:right="0" w:firstLine="0"/>
            </w:pPr>
            <w:r>
              <w:rPr>
                <w:rFonts w:cs="Times New Roman" w:hAnsi="Times New Roman" w:eastAsia="Times New Roman" w:ascii="Times New Roman"/>
                <w:sz w:val="20"/>
              </w:rPr>
              <w:t xml:space="preserve">Q</w:t>
            </w:r>
          </w:p>
          <w:p>
            <w:pPr>
              <w:spacing w:before="0" w:after="0" w:line="259" w:lineRule="auto"/>
              <w:ind w:left="91" w:right="0" w:firstLine="0"/>
              <w:jc w:val="left"/>
            </w:pPr>
            <w:r>
              <w:rPr>
                <w:rFonts w:cs="Times New Roman" w:hAnsi="Times New Roman" w:eastAsia="Times New Roman" w:ascii="Times New Roman"/>
                <w:sz w:val="20"/>
              </w:rPr>
              <w:t xml:space="preserve">4</w:t>
            </w:r>
            <w:r>
              <w:rPr>
                <w:rFonts w:cs="Times New Roman" w:hAnsi="Times New Roman" w:eastAsia="Times New Roman" w:ascii="Times New Roman"/>
                <w:sz w:val="20"/>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spacing w:before="0" w:after="0" w:line="259" w:lineRule="auto"/>
              <w:ind w:left="91" w:right="0" w:firstLine="0"/>
              <w:jc w:val="left"/>
            </w:pPr>
            <w:r>
              <w:rPr>
                <w:sz w:val="16"/>
              </w:rPr>
              <w:t xml:space="preserve">Funding Source</w:t>
            </w:r>
            <w:r>
              <w:rPr>
                <w:sz w:val="16"/>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16"/>
              </w:rPr>
              <w:t xml:space="preserve">Budget Description</w:t>
            </w:r>
            <w:r>
              <w:rPr>
                <w:sz w:val="16"/>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16"/>
              </w:rPr>
              <w:t xml:space="preserve">Amount</w:t>
            </w:r>
            <w:r>
              <w:rPr>
                <w:sz w:val="16"/>
              </w:rPr>
              <w:t xml:space="preserve"> </w:t>
            </w:r>
          </w:p>
        </w:tc>
      </w:tr>
      <w:tr>
        <w:trPr>
          <w:trHeight w:val="6590" w:hRule="atLeast"/>
        </w:trPr>
        <w:tc>
          <w:tcPr>
            <w:tcW w:w="2179" w:type="dxa"/>
            <w:tcBorders>
              <w:top w:val="single" w:sz="4" w:color="000000"/>
              <w:left w:val="single" w:sz="4" w:color="000000"/>
              <w:bottom w:val="single" w:sz="4" w:color="000000"/>
              <w:right w:val="single" w:sz="4" w:color="000000"/>
            </w:tcBorders>
            <w:vAlign w:val="top"/>
          </w:tcPr>
          <w:p>
            <w:pPr>
              <w:spacing w:before="0" w:after="0" w:line="276" w:lineRule="auto"/>
              <w:ind w:left="91" w:right="0" w:firstLine="0"/>
              <w:jc w:val="left"/>
            </w:pPr>
            <w:r>
              <w:rPr>
                <w:rFonts w:cs="Cambria" w:hAnsi="Cambria" w:eastAsia="Cambria" w:ascii="Cambria"/>
                <w:b w:val="1"/>
                <w:sz w:val="20"/>
              </w:rPr>
              <w:t xml:space="preserve">Output 1:</w:t>
            </w:r>
            <w:r>
              <w:rPr>
                <w:sz w:val="20"/>
              </w:rPr>
              <w:t xml:space="preserve"> </w:t>
            </w:r>
            <w:r>
              <w:rPr>
                <w:sz w:val="20"/>
              </w:rPr>
              <w:t xml:space="preserve">Community</w:t>
            </w:r>
            <w:r>
              <w:rPr>
                <w:rFonts w:cs="Cambria" w:hAnsi="Cambria" w:eastAsia="Cambria" w:ascii="Cambria"/>
                <w:b w:val="1"/>
                <w:sz w:val="20"/>
              </w:rPr>
              <w:t xml:space="preserve"> </w:t>
            </w:r>
            <w:r>
              <w:rPr>
                <w:sz w:val="20"/>
              </w:rPr>
              <w:t xml:space="preserve">justice, 	security and social 	cohesion increased for peaceful resolution of disputes, in particular as related to land and women’s issues.</w:t>
            </w:r>
            <w:r>
              <w:rPr>
                <w:sz w:val="20"/>
              </w:rPr>
              <w:t xml:space="preserve"> </w:t>
            </w:r>
          </w:p>
          <w:p>
            <w:pPr>
              <w:spacing w:before="0" w:after="0" w:line="259" w:lineRule="auto"/>
              <w:ind w:left="91" w:right="0" w:firstLine="0"/>
              <w:jc w:val="left"/>
            </w:pPr>
            <w:r>
              <w:rPr>
                <w:sz w:val="20"/>
              </w:rPr>
              <w:t xml:space="preserve"> </w:t>
            </w:r>
          </w:p>
          <w:p>
            <w:pPr>
              <w:spacing w:before="0" w:after="0" w:line="259" w:lineRule="auto"/>
              <w:ind w:left="91" w:right="0" w:firstLine="0"/>
              <w:jc w:val="left"/>
            </w:pPr>
            <w:r>
              <w:rPr>
                <w:rFonts w:cs="Cambria" w:hAnsi="Cambria" w:eastAsia="Cambria" w:ascii="Cambria"/>
                <w:b w:val="1"/>
                <w:i w:val="1"/>
                <w:sz w:val="18"/>
              </w:rPr>
              <w:t xml:space="preserve">Baselines</w:t>
            </w:r>
            <w:r>
              <w:rPr>
                <w:rFonts w:cs="Cambria" w:hAnsi="Cambria" w:eastAsia="Cambria" w:ascii="Cambria"/>
                <w:b w:val="1"/>
                <w:i w:val="1"/>
                <w:sz w:val="18"/>
              </w:rPr>
              <w:t xml:space="preserve">:</w:t>
            </w:r>
            <w:r>
              <w:rPr>
                <w:rFonts w:cs="Cambria" w:hAnsi="Cambria" w:eastAsia="Cambria" w:ascii="Cambria"/>
                <w:b w:val="1"/>
                <w:i w:val="1"/>
                <w:sz w:val="18"/>
              </w:rPr>
              <w:t xml:space="preserve"> </w:t>
            </w:r>
          </w:p>
          <w:p>
            <w:pPr>
              <w:spacing w:before="0" w:after="25" w:line="273" w:lineRule="auto"/>
              <w:ind w:left="91" w:right="0" w:firstLine="0"/>
              <w:jc w:val="left"/>
            </w:pPr>
            <w:r>
              <w:rPr>
                <w:sz w:val="16"/>
              </w:rPr>
              <w:t xml:space="preserve">-</w:t>
            </w:r>
            <w:r>
              <w:rPr>
                <w:sz w:val="16"/>
              </w:rPr>
              <w:t xml:space="preserve">Mid</w:t>
            </w:r>
            <w:r>
              <w:rPr>
                <w:sz w:val="16"/>
              </w:rPr>
              <w:t xml:space="preserve">-</w:t>
            </w:r>
            <w:r>
              <w:rPr>
                <w:sz w:val="16"/>
              </w:rPr>
              <w:t xml:space="preserve">Term Review PRDP I including data on disputes: 69% of counties raising land conflicts as problem; 58% violence against women and children; 20% increase in crime. </w:t>
            </w:r>
            <w:r>
              <w:rPr>
                <w:sz w:val="16"/>
                <w:vertAlign w:val="superscript"/>
              </w:rPr>
              <w:footnoteReference w:id="63"/>
            </w:r>
            <w:r>
              <w:rPr>
                <w:sz w:val="16"/>
              </w:rPr>
              <w:t xml:space="preserve"> </w:t>
            </w:r>
          </w:p>
          <w:p>
            <w:pPr>
              <w:spacing w:before="0" w:after="14" w:line="259" w:lineRule="auto"/>
              <w:ind w:left="91" w:right="0" w:firstLine="0"/>
              <w:jc w:val="left"/>
            </w:pPr>
            <w:r>
              <w:rPr>
                <w:sz w:val="16"/>
              </w:rPr>
              <w:t xml:space="preserve"> </w:t>
            </w:r>
          </w:p>
          <w:p>
            <w:pPr>
              <w:spacing w:before="0" w:after="0" w:line="277" w:lineRule="auto"/>
              <w:ind w:left="91" w:right="2" w:firstLine="0"/>
              <w:jc w:val="left"/>
            </w:pPr>
            <w:r>
              <w:rPr>
                <w:sz w:val="16"/>
              </w:rPr>
              <w:t xml:space="preserve">-</w:t>
            </w:r>
            <w:r>
              <w:rPr>
                <w:sz w:val="16"/>
              </w:rPr>
              <w:t xml:space="preserve">Burke and Egaru, on behalf of the UN Peacebuilding Programme in Acholi, </w:t>
            </w:r>
            <w:r>
              <w:rPr>
                <w:rFonts w:cs="Cambria" w:hAnsi="Cambria" w:eastAsia="Cambria" w:ascii="Cambria"/>
                <w:i w:val="1"/>
                <w:sz w:val="16"/>
              </w:rPr>
              <w:t xml:space="preserve">identification of good practices in land conflict resolution in Acholi Land, </w:t>
            </w:r>
            <w:r>
              <w:rPr>
                <w:sz w:val="16"/>
              </w:rPr>
              <w:t xml:space="preserve">November 2011.</w:t>
            </w:r>
            <w:r>
              <w:rPr>
                <w:sz w:val="16"/>
              </w:rPr>
              <w:t xml:space="preserve"> </w:t>
            </w:r>
          </w:p>
          <w:p>
            <w:pPr>
              <w:spacing w:before="0" w:after="14" w:line="259" w:lineRule="auto"/>
              <w:ind w:left="91" w:right="0" w:firstLine="0"/>
              <w:jc w:val="left"/>
            </w:pPr>
            <w:r>
              <w:rPr>
                <w:sz w:val="16"/>
              </w:rPr>
              <w:t xml:space="preserve"> </w:t>
            </w:r>
          </w:p>
          <w:p>
            <w:pPr>
              <w:spacing w:before="0" w:after="0" w:line="259" w:lineRule="auto"/>
              <w:ind w:left="91" w:right="0" w:firstLine="0"/>
              <w:jc w:val="left"/>
            </w:pPr>
            <w:r>
              <w:rPr>
                <w:sz w:val="16"/>
              </w:rPr>
              <w:t xml:space="preserve"> </w:t>
            </w:r>
          </w:p>
        </w:tc>
        <w:tc>
          <w:tcPr>
            <w:tcW w:w="2448" w:type="dxa"/>
            <w:tcBorders>
              <w:top w:val="single" w:sz="4" w:color="000000"/>
              <w:left w:val="single" w:sz="4" w:color="000000"/>
              <w:bottom w:val="single" w:sz="4" w:color="000000"/>
              <w:right w:val="single" w:sz="4" w:color="000000"/>
            </w:tcBorders>
            <w:vAlign w:val="top"/>
          </w:tcPr>
          <w:p>
            <w:pPr>
              <w:spacing w:before="0" w:after="0" w:line="272" w:lineRule="auto"/>
              <w:ind w:left="91"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1.1:</w:t>
            </w:r>
            <w:r>
              <w:rPr>
                <w:sz w:val="20"/>
              </w:rPr>
              <w:t xml:space="preserve"> </w:t>
            </w:r>
            <w:r>
              <w:rPr>
                <w:sz w:val="20"/>
              </w:rPr>
              <w:t xml:space="preserve">Community security services and public confidence increased, in particular for women</w:t>
            </w:r>
            <w:r>
              <w:rPr>
                <w:sz w:val="20"/>
              </w:rPr>
              <w:t xml:space="preserve"> </w:t>
            </w:r>
          </w:p>
          <w:p>
            <w:pPr>
              <w:spacing w:before="0" w:after="12" w:line="259" w:lineRule="auto"/>
              <w:ind w:left="91" w:right="0" w:firstLine="0"/>
              <w:jc w:val="left"/>
            </w:pPr>
            <w:r>
              <w:rPr>
                <w:sz w:val="20"/>
              </w:rPr>
              <w:t xml:space="preserve"> </w:t>
            </w:r>
          </w:p>
          <w:p>
            <w:pPr>
              <w:spacing w:before="0" w:after="2" w:line="259" w:lineRule="auto"/>
              <w:ind w:left="91"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5" w:line="234" w:lineRule="auto"/>
              <w:ind w:left="91" w:right="137" w:firstLine="0"/>
            </w:pPr>
            <w:r>
              <w:rPr>
                <w:sz w:val="19"/>
              </w:rPr>
              <w:t xml:space="preserve">-</w:t>
            </w:r>
            <w:r>
              <w:rPr>
                <w:sz w:val="19"/>
              </w:rPr>
              <w:t xml:space="preserve">Capacity assessment of the police in the respective target districts</w:t>
            </w:r>
            <w:r>
              <w:rPr>
                <w:sz w:val="19"/>
              </w:rPr>
              <w:t xml:space="preserve"> </w:t>
            </w:r>
          </w:p>
          <w:p>
            <w:pPr>
              <w:spacing w:before="0" w:after="0" w:line="259" w:lineRule="auto"/>
              <w:ind w:left="91" w:right="0" w:firstLine="0"/>
              <w:jc w:val="left"/>
            </w:pPr>
            <w:r>
              <w:rPr>
                <w:sz w:val="19"/>
              </w:rPr>
              <w:t xml:space="preserve"> </w:t>
            </w:r>
          </w:p>
          <w:p>
            <w:pPr>
              <w:spacing w:before="0" w:after="2" w:line="236" w:lineRule="auto"/>
              <w:ind w:left="91" w:right="137" w:firstLine="0"/>
            </w:pPr>
            <w:r>
              <w:rPr>
                <w:sz w:val="19"/>
              </w:rPr>
              <w:t xml:space="preserve">-</w:t>
            </w:r>
            <w:r>
              <w:rPr>
                <w:sz w:val="19"/>
              </w:rPr>
              <w:t xml:space="preserve">Developing capacity building plan for the police in the target districts</w:t>
            </w:r>
            <w:r>
              <w:rPr>
                <w:sz w:val="19"/>
              </w:rPr>
              <w:t xml:space="preserve"> </w:t>
            </w:r>
          </w:p>
          <w:p>
            <w:pPr>
              <w:spacing w:before="0" w:after="0" w:line="259" w:lineRule="auto"/>
              <w:ind w:left="91" w:right="0" w:firstLine="0"/>
              <w:jc w:val="left"/>
            </w:pPr>
            <w:r>
              <w:rPr>
                <w:sz w:val="19"/>
              </w:rPr>
              <w:t xml:space="preserve"> </w:t>
            </w:r>
          </w:p>
          <w:p>
            <w:pPr>
              <w:spacing w:before="0" w:after="0" w:line="236" w:lineRule="auto"/>
              <w:ind w:left="91" w:right="0" w:firstLine="0"/>
              <w:jc w:val="left"/>
            </w:pPr>
            <w:r>
              <w:rPr>
                <w:sz w:val="19"/>
              </w:rPr>
              <w:t xml:space="preserve">-</w:t>
            </w:r>
            <w:r>
              <w:rPr>
                <w:sz w:val="19"/>
              </w:rPr>
              <w:t xml:space="preserve">Undertaking technical capacity building for the police from the target </w:t>
            </w:r>
          </w:p>
          <w:p>
            <w:pPr>
              <w:spacing w:before="0" w:after="0" w:line="259" w:lineRule="auto"/>
              <w:ind w:left="91" w:right="0" w:firstLine="0"/>
              <w:jc w:val="left"/>
            </w:pPr>
            <w:r>
              <w:rPr>
                <w:sz w:val="19"/>
              </w:rPr>
              <w:t xml:space="preserve">districts</w:t>
            </w:r>
            <w:r>
              <w:rPr>
                <w:sz w:val="19"/>
              </w:rPr>
              <w:t xml:space="preserve"> </w:t>
            </w:r>
          </w:p>
          <w:p>
            <w:pPr>
              <w:spacing w:before="0" w:after="0" w:line="259" w:lineRule="auto"/>
              <w:ind w:left="91" w:right="0" w:firstLine="0"/>
              <w:jc w:val="left"/>
            </w:pPr>
            <w:r>
              <w:rPr>
                <w:sz w:val="19"/>
              </w:rPr>
              <w:t xml:space="preserve"> </w:t>
            </w:r>
          </w:p>
          <w:p>
            <w:pPr>
              <w:spacing w:before="0" w:after="0" w:line="236" w:lineRule="auto"/>
              <w:ind w:left="91" w:right="0" w:firstLine="0"/>
              <w:jc w:val="left"/>
            </w:pPr>
            <w:r>
              <w:rPr>
                <w:sz w:val="19"/>
              </w:rPr>
              <w:t xml:space="preserve">-</w:t>
            </w:r>
            <w:r>
              <w:rPr>
                <w:sz w:val="19"/>
              </w:rPr>
              <w:t xml:space="preserve">Procurement of logistics for the police in the target districts</w:t>
            </w:r>
            <w:r>
              <w:rPr>
                <w:sz w:val="19"/>
              </w:rPr>
              <w:t xml:space="preserve"> </w:t>
            </w:r>
          </w:p>
          <w:p>
            <w:pPr>
              <w:spacing w:before="0" w:after="0" w:line="259" w:lineRule="auto"/>
              <w:ind w:left="91" w:right="0" w:firstLine="0"/>
              <w:jc w:val="left"/>
            </w:pPr>
            <w:r>
              <w:rPr>
                <w:sz w:val="19"/>
              </w:rPr>
              <w:t xml:space="preserve"> </w:t>
            </w:r>
          </w:p>
          <w:p>
            <w:pPr>
              <w:spacing w:before="0" w:after="0" w:line="259" w:lineRule="auto"/>
              <w:ind w:left="91" w:right="0" w:firstLine="0"/>
              <w:jc w:val="left"/>
            </w:pPr>
            <w:r>
              <w:rPr>
                <w:sz w:val="19"/>
              </w:rPr>
              <w:t xml:space="preserve">-</w:t>
            </w:r>
            <w:r>
              <w:rPr>
                <w:sz w:val="19"/>
              </w:rPr>
              <w:t xml:space="preserve">Review of partnership </w:t>
            </w:r>
          </w:p>
          <w:p>
            <w:pPr>
              <w:spacing w:before="0" w:after="0" w:line="259" w:lineRule="auto"/>
              <w:ind w:left="91" w:right="0" w:firstLine="0"/>
              <w:jc w:val="left"/>
            </w:pPr>
            <w:r>
              <w:rPr>
                <w:sz w:val="19"/>
              </w:rPr>
              <w:t xml:space="preserve">between the police and</w:t>
            </w:r>
            <w:r>
              <w:rPr>
                <w:sz w:val="20"/>
              </w:rPr>
              <w:t xml:space="preserve"> </w:t>
            </w:r>
          </w:p>
          <w:p>
            <w:pPr>
              <w:spacing w:before="0" w:after="0" w:line="259" w:lineRule="auto"/>
              <w:ind w:left="91" w:right="0" w:firstLine="0"/>
              <w:jc w:val="left"/>
            </w:pPr>
            <w:r>
              <w:rPr>
                <w:sz w:val="19"/>
              </w:rPr>
              <w:t xml:space="preserve">UNDP</w:t>
            </w:r>
            <w:r>
              <w:rPr>
                <w:sz w:val="19"/>
              </w:rPr>
              <w:t xml:space="preserve"> </w:t>
            </w:r>
          </w:p>
          <w:p>
            <w:pPr>
              <w:spacing w:before="0" w:after="0" w:line="259" w:lineRule="auto"/>
              <w:ind w:left="91"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20"/>
              </w:rPr>
              <w:t xml:space="preserve">X</w:t>
            </w:r>
            <w:r>
              <w:rPr>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20"/>
              </w:rPr>
              <w:t xml:space="preserve">X</w:t>
            </w:r>
            <w:r>
              <w:rPr>
                <w:sz w:val="22"/>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20"/>
              </w:rPr>
              <w:t xml:space="preserve">X</w:t>
            </w:r>
            <w:r>
              <w:rPr>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91"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0" w:line="273" w:lineRule="auto"/>
              <w:ind w:left="91" w:right="85" w:firstLine="0"/>
            </w:pPr>
            <w:r>
              <w:rPr>
                <w:sz w:val="20"/>
              </w:rPr>
              <w:t xml:space="preserve">JLOS local and national institutions, CSOs, Ministry of Justice,  </w:t>
            </w:r>
          </w:p>
          <w:p>
            <w:pPr>
              <w:spacing w:before="0" w:after="0" w:line="259" w:lineRule="auto"/>
              <w:ind w:left="91" w:right="0" w:firstLine="0"/>
              <w:jc w:val="left"/>
            </w:pPr>
            <w:r>
              <w:rPr>
                <w:sz w:val="20"/>
              </w:rPr>
              <w:t xml:space="preserve">UNDP</w:t>
            </w: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16" w:line="259" w:lineRule="auto"/>
              <w:ind w:left="91" w:right="0" w:firstLine="0"/>
              <w:jc w:val="left"/>
            </w:pPr>
            <w:r>
              <w:rPr>
                <w:sz w:val="20"/>
              </w:rPr>
              <w:t xml:space="preserve">UNDP/BCPR </w:t>
            </w:r>
          </w:p>
          <w:p>
            <w:pPr>
              <w:spacing w:before="0" w:after="0" w:line="259" w:lineRule="auto"/>
              <w:ind w:left="91" w:right="0" w:firstLine="0"/>
              <w:jc w:val="left"/>
            </w:pPr>
            <w:r>
              <w:rPr>
                <w:sz w:val="20"/>
              </w:rPr>
              <w:t xml:space="preserve">and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75" w:lineRule="auto"/>
              <w:ind w:left="86" w:right="0" w:firstLine="0"/>
              <w:jc w:val="left"/>
            </w:pPr>
            <w:r>
              <w:rPr>
                <w:sz w:val="20"/>
              </w:rPr>
              <w:t xml:space="preserve">Consultancy fees,</w:t>
            </w:r>
            <w:r>
              <w:rPr>
                <w:sz w:val="20"/>
              </w:rPr>
              <w:t xml:space="preserve"> </w:t>
            </w:r>
            <w:r>
              <w:rPr>
                <w:sz w:val="20"/>
              </w:rPr>
              <w:t xml:space="preserve">professional services, training fees, 	supplier </w:t>
            </w:r>
          </w:p>
          <w:p>
            <w:pPr>
              <w:spacing w:before="0" w:after="0" w:line="259" w:lineRule="auto"/>
              <w:ind w:left="86" w:right="0" w:firstLine="0"/>
              <w:jc w:val="left"/>
            </w:pPr>
            <w:r>
              <w:rPr>
                <w:sz w:val="20"/>
              </w:rPr>
              <w:t xml:space="preserve">costs</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sz w:val="20"/>
              </w:rPr>
              <w:t xml:space="preserve"> </w:t>
            </w:r>
          </w:p>
        </w:tc>
      </w:tr>
    </w:tbl>
    <w:p>
      <w:pPr>
        <w:spacing w:before="0" w:after="0" w:line="259" w:lineRule="auto"/>
        <w:ind w:left="-1440" w:right="97" w:firstLine="0"/>
        <w:jc w:val="left"/>
      </w:pPr>
    </w:p>
    <w:tbl>
      <w:tblPr>
        <w:tblStyle w:val="TableGrid"/>
        <w:tblW w:w="12979" w:type="dxa"/>
        <w:tblInd w:w="-110" w:type="dxa"/>
        <w:tblCellMar>
          <w:top w:w="31" w:type="dxa"/>
          <w:left w:w="106" w:type="dxa"/>
          <w:bottom w:w="0" w:type="dxa"/>
          <w:right w:w="61" w:type="dxa"/>
        </w:tblCellMar>
      </w:tblPr>
      <w:tblGrid>
        <w:gridCol w:w="2179"/>
        <w:gridCol w:w="2448"/>
        <w:gridCol w:w="341"/>
        <w:gridCol w:w="341"/>
        <w:gridCol w:w="336"/>
        <w:gridCol w:w="341"/>
        <w:gridCol w:w="2266"/>
        <w:gridCol w:w="1402"/>
        <w:gridCol w:w="1709"/>
        <w:gridCol w:w="1618"/>
      </w:tblGrid>
      <w:tr>
        <w:trPr>
          <w:trHeight w:val="9202" w:hRule="atLeast"/>
        </w:trPr>
        <w:tc>
          <w:tcPr>
            <w:tcW w:w="2179"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i w:val="1"/>
                <w:sz w:val="18"/>
              </w:rPr>
              <w:t xml:space="preserve">Indicators:</w:t>
            </w:r>
            <w:r>
              <w:rPr>
                <w:rFonts w:cs="Cambria" w:hAnsi="Cambria" w:eastAsia="Cambria" w:ascii="Cambria"/>
                <w:b w:val="1"/>
                <w:i w:val="1"/>
                <w:sz w:val="18"/>
              </w:rPr>
              <w:t xml:space="preserve"> </w:t>
            </w:r>
          </w:p>
          <w:p>
            <w:pPr>
              <w:spacing w:before="0" w:after="8" w:line="259" w:lineRule="auto"/>
              <w:ind w:left="5" w:right="0" w:firstLine="0"/>
              <w:jc w:val="left"/>
            </w:pPr>
            <w:r>
              <w:rPr>
                <w:rFonts w:cs="Cambria" w:hAnsi="Cambria" w:eastAsia="Cambria" w:ascii="Cambria"/>
                <w:i w:val="1"/>
                <w:sz w:val="18"/>
              </w:rPr>
              <w:t xml:space="preserve"> </w:t>
            </w:r>
          </w:p>
          <w:p>
            <w:pPr>
              <w:spacing w:before="0" w:after="2" w:line="270" w:lineRule="auto"/>
              <w:ind w:left="5" w:right="0" w:firstLine="0"/>
              <w:jc w:val="left"/>
            </w:pPr>
            <w:r>
              <w:rPr>
                <w:sz w:val="16"/>
              </w:rPr>
              <w:t xml:space="preserve">-</w:t>
            </w:r>
            <w:r>
              <w:rPr>
                <w:sz w:val="18"/>
              </w:rPr>
              <w:t xml:space="preserve">% reduction in Crime statistics disaggregated by category </w:t>
            </w:r>
          </w:p>
          <w:p>
            <w:pPr>
              <w:spacing w:before="0" w:after="0" w:line="271" w:lineRule="auto"/>
              <w:ind w:left="5" w:right="0" w:firstLine="0"/>
              <w:jc w:val="left"/>
            </w:pPr>
            <w:r>
              <w:rPr>
                <w:sz w:val="18"/>
              </w:rPr>
              <w:t xml:space="preserve">(violence/crime related to women’s issues (broken down by category </w:t>
            </w:r>
            <w:r>
              <w:rPr>
                <w:sz w:val="18"/>
              </w:rPr>
              <w:t xml:space="preserve">– </w:t>
            </w:r>
          </w:p>
          <w:p>
            <w:pPr>
              <w:spacing w:before="0" w:after="2" w:line="270" w:lineRule="auto"/>
              <w:ind w:left="5" w:right="92" w:firstLine="0"/>
            </w:pPr>
            <w:r>
              <w:rPr>
                <w:sz w:val="18"/>
              </w:rPr>
              <w:t xml:space="preserve">domestic/sexual assault etc.) land; cattle rustling; mining; </w:t>
            </w:r>
            <w:r>
              <w:rPr>
                <w:sz w:val="18"/>
              </w:rPr>
              <w:t xml:space="preserve"> </w:t>
            </w:r>
          </w:p>
          <w:p>
            <w:pPr>
              <w:spacing w:before="0" w:after="2" w:line="270" w:lineRule="auto"/>
              <w:ind w:left="5" w:right="202" w:firstLine="0"/>
            </w:pPr>
            <w:r>
              <w:rPr>
                <w:sz w:val="18"/>
              </w:rPr>
              <w:t xml:space="preserve">-</w:t>
            </w:r>
            <w:r>
              <w:rPr>
                <w:sz w:val="18"/>
              </w:rPr>
              <w:t xml:space="preserve">Number of cases taken up and resolved by the LCCs disaggregated by category (i.e.</w:t>
            </w:r>
            <w:r>
              <w:rPr>
                <w:sz w:val="18"/>
              </w:rPr>
              <w:t xml:space="preserve">  </w:t>
            </w:r>
            <w:r>
              <w:rPr>
                <w:sz w:val="18"/>
              </w:rPr>
              <w:t xml:space="preserve">Land</w:t>
            </w:r>
            <w:r>
              <w:rPr>
                <w:sz w:val="18"/>
              </w:rPr>
              <w:t xml:space="preserve">, </w:t>
            </w:r>
            <w:r>
              <w:rPr>
                <w:sz w:val="18"/>
              </w:rPr>
              <w:t xml:space="preserve">sexual assault etc).</w:t>
            </w:r>
            <w:r>
              <w:rPr>
                <w:sz w:val="18"/>
              </w:rPr>
              <w:t xml:space="preserve"> </w:t>
            </w:r>
          </w:p>
          <w:p>
            <w:pPr>
              <w:spacing w:before="0" w:after="22" w:line="269" w:lineRule="auto"/>
              <w:ind w:left="5" w:right="38" w:firstLine="0"/>
            </w:pPr>
            <w:r>
              <w:rPr>
                <w:sz w:val="18"/>
              </w:rPr>
              <w:t xml:space="preserve">-</w:t>
            </w:r>
            <w:r>
              <w:rPr>
                <w:sz w:val="18"/>
              </w:rPr>
              <w:t xml:space="preserve">Numbers of prisoners with legal representation from prison</w:t>
            </w:r>
            <w:r>
              <w:rPr>
                <w:sz w:val="18"/>
              </w:rPr>
              <w:t xml:space="preserve"> </w:t>
            </w:r>
            <w:r>
              <w:rPr>
                <w:sz w:val="18"/>
              </w:rPr>
              <w:t xml:space="preserve">services in target areas</w:t>
            </w:r>
            <w:r>
              <w:rPr>
                <w:rFonts w:cs="Cambria" w:hAnsi="Cambria" w:eastAsia="Cambria" w:ascii="Cambria"/>
                <w:i w:val="1"/>
                <w:sz w:val="18"/>
              </w:rPr>
              <w:t xml:space="preserve">  </w:t>
            </w:r>
          </w:p>
          <w:p>
            <w:pPr>
              <w:spacing w:before="0" w:after="2" w:line="259" w:lineRule="auto"/>
              <w:ind w:left="5" w:right="0" w:firstLine="0"/>
              <w:jc w:val="left"/>
            </w:pPr>
            <w:r>
              <w:rPr>
                <w:sz w:val="20"/>
              </w:rPr>
              <w:t xml:space="preserve"> </w:t>
            </w:r>
          </w:p>
          <w:p>
            <w:pPr>
              <w:spacing w:before="0" w:after="46" w:line="259" w:lineRule="auto"/>
              <w:ind w:left="5" w:right="0" w:firstLine="0"/>
              <w:jc w:val="left"/>
            </w:pPr>
            <w:r>
              <w:rPr>
                <w:rFonts w:cs="Cambria" w:hAnsi="Cambria" w:eastAsia="Cambria" w:ascii="Cambria"/>
                <w:b w:val="1"/>
                <w:sz w:val="18"/>
              </w:rPr>
              <w:t xml:space="preserve">Annual Targets</w:t>
            </w:r>
            <w:r>
              <w:rPr>
                <w:rFonts w:cs="Cambria" w:hAnsi="Cambria" w:eastAsia="Cambria" w:ascii="Cambria"/>
                <w:b w:val="1"/>
                <w:sz w:val="18"/>
              </w:rPr>
              <w:t xml:space="preserve"> (2013)</w:t>
            </w:r>
            <w:r>
              <w:rPr>
                <w:rFonts w:cs="Cambria" w:hAnsi="Cambria" w:eastAsia="Cambria" w:ascii="Cambria"/>
                <w:b w:val="1"/>
                <w:sz w:val="18"/>
              </w:rPr>
              <w:t xml:space="preserve">:</w:t>
            </w:r>
            <w:r>
              <w:rPr>
                <w:rFonts w:cs="Cambria" w:hAnsi="Cambria" w:eastAsia="Cambria" w:ascii="Cambria"/>
                <w:b w:val="1"/>
                <w:sz w:val="18"/>
              </w:rPr>
              <w:t xml:space="preserve"> </w:t>
            </w:r>
          </w:p>
          <w:p>
            <w:pPr>
              <w:spacing w:before="0" w:after="0" w:line="270" w:lineRule="auto"/>
              <w:ind w:left="5" w:right="34" w:firstLine="0"/>
              <w:jc w:val="left"/>
            </w:pPr>
            <w:r>
              <w:rPr>
                <w:sz w:val="18"/>
              </w:rPr>
              <w:t xml:space="preserve">-</w:t>
            </w:r>
            <w:r>
              <w:rPr>
                <w:sz w:val="18"/>
              </w:rPr>
              <w:t xml:space="preserve">Capacity development plans implemented.</w:t>
            </w:r>
            <w:r>
              <w:rPr>
                <w:sz w:val="18"/>
              </w:rPr>
              <w:t xml:space="preserve"> -</w:t>
            </w:r>
            <w:r>
              <w:rPr>
                <w:sz w:val="18"/>
              </w:rPr>
              <w:t xml:space="preserve">10% increase in police presence in target areas. </w:t>
            </w:r>
            <w:r>
              <w:rPr>
                <w:sz w:val="18"/>
              </w:rPr>
              <w:t xml:space="preserve"> -</w:t>
            </w:r>
            <w:r>
              <w:rPr>
                <w:sz w:val="18"/>
              </w:rPr>
              <w:t xml:space="preserve">10% decrease in case back log in LCCs. </w:t>
            </w:r>
            <w:r>
              <w:rPr>
                <w:sz w:val="18"/>
              </w:rPr>
              <w:t xml:space="preserve"> </w:t>
            </w:r>
          </w:p>
          <w:p>
            <w:pPr>
              <w:spacing w:before="0" w:after="0" w:line="273" w:lineRule="auto"/>
              <w:ind w:left="5" w:right="0" w:firstLine="0"/>
              <w:jc w:val="left"/>
            </w:pPr>
            <w:r>
              <w:rPr>
                <w:sz w:val="18"/>
              </w:rPr>
              <w:t xml:space="preserve">-</w:t>
            </w:r>
            <w:r>
              <w:rPr>
                <w:sz w:val="18"/>
              </w:rPr>
              <w:t xml:space="preserve">Trainings undertaken in identified areas.</w:t>
            </w:r>
            <w:r>
              <w:rPr>
                <w:sz w:val="18"/>
              </w:rPr>
              <w:t xml:space="preserve"> </w:t>
            </w:r>
          </w:p>
          <w:p>
            <w:pPr>
              <w:spacing w:before="0" w:after="0" w:line="273" w:lineRule="auto"/>
              <w:ind w:left="5" w:right="0" w:firstLine="0"/>
            </w:pPr>
            <w:r>
              <w:rPr>
                <w:sz w:val="18"/>
              </w:rPr>
              <w:t xml:space="preserve">-</w:t>
            </w:r>
            <w:r>
              <w:rPr>
                <w:sz w:val="18"/>
              </w:rPr>
              <w:t xml:space="preserve">Infrastructure provided and in place. </w:t>
            </w:r>
            <w:r>
              <w:rPr>
                <w:sz w:val="18"/>
              </w:rPr>
              <w:t xml:space="preserve"> </w:t>
            </w:r>
          </w:p>
          <w:p>
            <w:pPr>
              <w:spacing w:before="0" w:after="0" w:line="259" w:lineRule="auto"/>
              <w:ind w:left="5" w:right="0" w:firstLine="0"/>
              <w:jc w:val="left"/>
            </w:pPr>
            <w:r>
              <w:rPr>
                <w:sz w:val="18"/>
              </w:rPr>
              <w:t xml:space="preserve">-</w:t>
            </w:r>
            <w:r>
              <w:rPr>
                <w:sz w:val="18"/>
              </w:rPr>
              <w:t xml:space="preserve">2 additional facilitated dialogues held and action points implemented. </w:t>
            </w:r>
            <w:r>
              <w:rPr>
                <w:sz w:val="18"/>
              </w:rPr>
              <w:t xml:space="preserve"> -</w:t>
            </w:r>
            <w:r>
              <w:rPr>
                <w:sz w:val="18"/>
              </w:rPr>
              <w:t xml:space="preserve">Record keeping </w:t>
            </w:r>
          </w:p>
        </w:tc>
        <w:tc>
          <w:tcPr>
            <w:tcW w:w="2448" w:type="dxa"/>
            <w:tcBorders>
              <w:top w:val="single" w:sz="4" w:color="000000"/>
              <w:left w:val="single" w:sz="4" w:color="000000"/>
              <w:bottom w:val="single" w:sz="4" w:color="000000"/>
              <w:right w:val="single" w:sz="4" w:color="000000"/>
            </w:tcBorders>
            <w:vAlign w:val="top"/>
          </w:tcPr>
          <w:p>
            <w:pPr>
              <w:spacing w:before="0" w:after="0" w:line="272" w:lineRule="auto"/>
              <w:ind w:left="5" w:right="40" w:firstLine="0"/>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1.2: </w:t>
            </w:r>
            <w:r>
              <w:rPr>
                <w:sz w:val="20"/>
              </w:rPr>
              <w:t xml:space="preserve">Capacity</w:t>
            </w:r>
            <w:r>
              <w:rPr>
                <w:sz w:val="20"/>
              </w:rPr>
              <w:t xml:space="preserve"> </w:t>
            </w:r>
            <w:r>
              <w:rPr>
                <w:sz w:val="20"/>
              </w:rPr>
              <w:t xml:space="preserve">of office for human rights coordination at local government level</w:t>
            </w:r>
            <w:r>
              <w:rPr>
                <w:sz w:val="20"/>
              </w:rPr>
              <w:t xml:space="preserve"> </w:t>
            </w:r>
          </w:p>
          <w:p>
            <w:pPr>
              <w:spacing w:before="0" w:after="12" w:line="259" w:lineRule="auto"/>
              <w:ind w:left="5" w:right="0" w:firstLine="0"/>
              <w:jc w:val="left"/>
            </w:pPr>
            <w:r>
              <w:rPr>
                <w:sz w:val="20"/>
              </w:rPr>
              <w:t xml:space="preserve">strengthened</w:t>
            </w:r>
            <w:r>
              <w:rPr>
                <w:sz w:val="20"/>
              </w:rPr>
              <w:t xml:space="preserve"> </w:t>
            </w:r>
          </w:p>
          <w:p>
            <w:pPr>
              <w:spacing w:before="0" w:after="12" w:line="259" w:lineRule="auto"/>
              <w:ind w:left="5" w:right="0" w:firstLine="0"/>
              <w:jc w:val="left"/>
            </w:pPr>
            <w:r>
              <w:rPr>
                <w:sz w:val="20"/>
              </w:rPr>
              <w:t xml:space="preserve"> </w:t>
            </w:r>
          </w:p>
          <w:p>
            <w:pPr>
              <w:spacing w:before="0" w:after="7" w:line="259" w:lineRule="auto"/>
              <w:ind w:left="5"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37" w:lineRule="auto"/>
              <w:ind w:left="5" w:right="0" w:firstLine="0"/>
            </w:pPr>
            <w:r>
              <w:rPr>
                <w:sz w:val="20"/>
              </w:rPr>
              <w:t xml:space="preserve">Needs assessment of the human rights </w:t>
            </w:r>
          </w:p>
          <w:p>
            <w:pPr>
              <w:spacing w:before="0" w:after="0" w:line="237" w:lineRule="auto"/>
              <w:ind w:left="5" w:right="0" w:firstLine="0"/>
              <w:jc w:val="left"/>
            </w:pPr>
            <w:r>
              <w:rPr>
                <w:sz w:val="20"/>
              </w:rPr>
              <w:t xml:space="preserve">coordination office in the target districts</w:t>
            </w:r>
            <w:r>
              <w:rPr>
                <w:sz w:val="20"/>
              </w:rPr>
              <w:t xml:space="preserve"> </w:t>
            </w:r>
          </w:p>
          <w:p>
            <w:pPr>
              <w:spacing w:before="0" w:after="0" w:line="259" w:lineRule="auto"/>
              <w:ind w:left="5" w:right="0" w:firstLine="0"/>
              <w:jc w:val="left"/>
            </w:pPr>
            <w:r>
              <w:rPr>
                <w:sz w:val="20"/>
              </w:rPr>
              <w:t xml:space="preserve"> </w:t>
            </w:r>
          </w:p>
          <w:p>
            <w:pPr>
              <w:spacing w:before="0" w:after="2" w:line="235" w:lineRule="auto"/>
              <w:ind w:left="5" w:right="536" w:firstLine="0"/>
            </w:pPr>
            <w:r>
              <w:rPr>
                <w:sz w:val="20"/>
              </w:rPr>
              <w:t xml:space="preserve">Developing capacity building plan for the human rights </w:t>
            </w:r>
          </w:p>
          <w:p>
            <w:pPr>
              <w:spacing w:before="0" w:after="0" w:line="237" w:lineRule="auto"/>
              <w:ind w:left="5" w:right="0" w:firstLine="0"/>
              <w:jc w:val="left"/>
            </w:pPr>
            <w:r>
              <w:rPr>
                <w:sz w:val="20"/>
              </w:rPr>
              <w:t xml:space="preserve">coordination offices in the target districts</w:t>
            </w:r>
            <w:r>
              <w:rPr>
                <w:sz w:val="20"/>
              </w:rPr>
              <w:t xml:space="preserve"> </w:t>
            </w:r>
          </w:p>
          <w:p>
            <w:pPr>
              <w:spacing w:before="0" w:after="0" w:line="259" w:lineRule="auto"/>
              <w:ind w:left="5" w:right="0" w:firstLine="0"/>
              <w:jc w:val="left"/>
            </w:pPr>
            <w:r>
              <w:rPr>
                <w:sz w:val="20"/>
              </w:rPr>
              <w:t xml:space="preserve"> </w:t>
            </w:r>
          </w:p>
          <w:p>
            <w:pPr>
              <w:spacing w:before="0" w:after="1" w:line="236" w:lineRule="auto"/>
              <w:ind w:left="5" w:right="0" w:firstLine="0"/>
              <w:jc w:val="left"/>
            </w:pPr>
            <w:r>
              <w:rPr>
                <w:sz w:val="20"/>
              </w:rPr>
              <w:t xml:space="preserve">Undertake technical logistics capacity building for the human rights coordination offices from the target districts</w:t>
            </w:r>
            <w:r>
              <w:rPr>
                <w:sz w:val="20"/>
              </w:rPr>
              <w:t xml:space="preserve"> </w:t>
            </w:r>
          </w:p>
          <w:p>
            <w:pPr>
              <w:spacing w:before="0" w:after="0" w:line="259" w:lineRule="auto"/>
              <w:ind w:left="5" w:right="0" w:firstLine="0"/>
              <w:jc w:val="left"/>
            </w:pPr>
            <w:r>
              <w:rPr>
                <w:sz w:val="20"/>
              </w:rPr>
              <w:t xml:space="preserve"> </w:t>
            </w:r>
          </w:p>
          <w:p>
            <w:pPr>
              <w:spacing w:before="0" w:after="2" w:line="235" w:lineRule="auto"/>
              <w:ind w:left="5" w:right="0" w:firstLine="0"/>
              <w:jc w:val="left"/>
            </w:pPr>
            <w:r>
              <w:rPr>
                <w:sz w:val="20"/>
              </w:rPr>
              <w:t xml:space="preserve">Procurement of logistics for</w:t>
            </w:r>
            <w:r>
              <w:rPr>
                <w:sz w:val="20"/>
              </w:rPr>
              <w:t xml:space="preserve"> </w:t>
            </w:r>
            <w:r>
              <w:rPr>
                <w:sz w:val="20"/>
              </w:rPr>
              <w:t xml:space="preserve">the human rights coordination offices in the target districts</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374" w:firstLine="0"/>
            </w:pPr>
            <w:r>
              <w:rPr>
                <w:sz w:val="20"/>
              </w:rPr>
              <w:t xml:space="preserve">Review of partnership between the human rights coordination </w:t>
            </w:r>
          </w:p>
          <w:p>
            <w:pPr>
              <w:spacing w:before="0" w:after="0" w:line="259" w:lineRule="auto"/>
              <w:ind w:left="5" w:right="0" w:firstLine="0"/>
              <w:jc w:val="left"/>
            </w:pPr>
            <w:r>
              <w:rPr>
                <w:sz w:val="20"/>
              </w:rPr>
              <w:t xml:space="preserve">offices and UNDP</w:t>
            </w: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2"/>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2"/>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X</w:t>
            </w:r>
            <w:r>
              <w:rPr>
                <w:sz w:val="22"/>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0" w:line="271" w:lineRule="auto"/>
              <w:ind w:left="5" w:right="0" w:firstLine="0"/>
            </w:pPr>
            <w:r>
              <w:rPr>
                <w:sz w:val="20"/>
              </w:rPr>
              <w:t xml:space="preserve">JLOS local and national institutions, CSOs, </w:t>
            </w:r>
          </w:p>
          <w:p>
            <w:pPr>
              <w:spacing w:before="0" w:after="0" w:line="259" w:lineRule="auto"/>
              <w:ind w:left="5" w:right="0" w:firstLine="0"/>
              <w:jc w:val="left"/>
            </w:pPr>
            <w:r>
              <w:rPr>
                <w:sz w:val="20"/>
              </w:rPr>
              <w:t xml:space="preserve">MGLSD,  UNDP</w:t>
            </w: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79" w:lineRule="auto"/>
              <w:ind w:left="0" w:right="0" w:firstLine="0"/>
              <w:jc w:val="left"/>
            </w:pPr>
            <w:r>
              <w:rPr>
                <w:sz w:val="20"/>
              </w:rPr>
              <w:t xml:space="preserve">Consultancy fees, professional services, 	grants for 	legal </w:t>
            </w:r>
          </w:p>
          <w:p>
            <w:pPr>
              <w:spacing w:before="0" w:after="0" w:line="259" w:lineRule="auto"/>
              <w:ind w:left="0" w:right="0" w:firstLine="0"/>
              <w:jc w:val="left"/>
            </w:pPr>
            <w:r>
              <w:rPr>
                <w:sz w:val="20"/>
              </w:rPr>
              <w:t xml:space="preserve">aid/assistance</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r>
    </w:tbl>
    <w:p>
      <w:pPr>
        <w:spacing w:before="0" w:after="0" w:line="259" w:lineRule="auto"/>
        <w:ind w:left="-1440" w:right="97" w:firstLine="0"/>
        <w:jc w:val="left"/>
      </w:pPr>
    </w:p>
    <w:tbl>
      <w:tblPr>
        <w:tblStyle w:val="TableGrid"/>
        <w:tblW w:w="12979" w:type="dxa"/>
        <w:tblInd w:w="-110" w:type="dxa"/>
        <w:tblCellMar>
          <w:top w:w="31" w:type="dxa"/>
          <w:left w:w="106" w:type="dxa"/>
          <w:bottom w:w="0" w:type="dxa"/>
          <w:right w:w="60" w:type="dxa"/>
        </w:tblCellMar>
      </w:tblPr>
      <w:tblGrid>
        <w:gridCol w:w="2179"/>
        <w:gridCol w:w="2448"/>
        <w:gridCol w:w="341"/>
        <w:gridCol w:w="341"/>
        <w:gridCol w:w="336"/>
        <w:gridCol w:w="341"/>
        <w:gridCol w:w="2266"/>
        <w:gridCol w:w="1402"/>
        <w:gridCol w:w="1709"/>
        <w:gridCol w:w="1618"/>
      </w:tblGrid>
      <w:tr>
        <w:trPr>
          <w:trHeight w:val="9341" w:hRule="atLeast"/>
        </w:trPr>
        <w:tc>
          <w:tcPr>
            <w:tcW w:w="2179" w:type="dxa"/>
            <w:tcBorders>
              <w:top w:val="single" w:sz="4" w:color="000000"/>
              <w:left w:val="single" w:sz="4" w:color="000000"/>
              <w:bottom w:val="single" w:sz="4" w:color="000000"/>
              <w:right w:val="single" w:sz="4" w:color="000000"/>
            </w:tcBorders>
            <w:vAlign w:val="top"/>
          </w:tcPr>
          <w:p>
            <w:pPr>
              <w:spacing w:before="0" w:after="0" w:line="273" w:lineRule="auto"/>
              <w:ind w:left="5" w:right="0" w:firstLine="0"/>
              <w:jc w:val="left"/>
            </w:pPr>
            <w:r>
              <w:rPr>
                <w:sz w:val="18"/>
              </w:rPr>
              <w:t xml:space="preserve">established and functional. </w:t>
            </w:r>
            <w:r>
              <w:rPr>
                <w:sz w:val="18"/>
              </w:rPr>
              <w:t xml:space="preserve"> </w:t>
            </w:r>
          </w:p>
          <w:p>
            <w:pPr>
              <w:spacing w:before="0" w:after="0" w:line="277" w:lineRule="auto"/>
              <w:ind w:left="5" w:right="0" w:firstLine="0"/>
              <w:jc w:val="left"/>
            </w:pPr>
            <w:r>
              <w:rPr>
                <w:sz w:val="18"/>
              </w:rPr>
              <w:t xml:space="preserve">-</w:t>
            </w:r>
            <w:r>
              <w:rPr>
                <w:sz w:val="18"/>
              </w:rPr>
              <w:t xml:space="preserve">Annual data collection conducted 	and communicated 	to national level to feed into national 	level 	policy making processes.</w:t>
            </w:r>
            <w:r>
              <w:rPr>
                <w:sz w:val="18"/>
              </w:rPr>
              <w:t xml:space="preserve"> -</w:t>
            </w:r>
            <w:r>
              <w:rPr>
                <w:sz w:val="18"/>
              </w:rPr>
              <w:t xml:space="preserve">Continued </w:t>
            </w:r>
          </w:p>
          <w:p>
            <w:pPr>
              <w:spacing w:before="0" w:after="2" w:line="270" w:lineRule="auto"/>
              <w:ind w:left="5" w:right="0" w:firstLine="0"/>
              <w:jc w:val="left"/>
            </w:pPr>
            <w:r>
              <w:rPr>
                <w:sz w:val="18"/>
              </w:rPr>
              <w:t xml:space="preserve">implementation, review and revision of capacity plans.</w:t>
            </w:r>
            <w:r>
              <w:rPr>
                <w:sz w:val="18"/>
              </w:rPr>
              <w:t xml:space="preserve"> </w:t>
            </w:r>
          </w:p>
          <w:p>
            <w:pPr>
              <w:spacing w:before="0" w:after="0" w:line="270" w:lineRule="auto"/>
              <w:ind w:left="5" w:right="24" w:firstLine="0"/>
              <w:jc w:val="left"/>
            </w:pPr>
            <w:r>
              <w:rPr>
                <w:sz w:val="18"/>
              </w:rPr>
              <w:t xml:space="preserve">-</w:t>
            </w:r>
            <w:r>
              <w:rPr>
                <w:sz w:val="18"/>
              </w:rPr>
              <w:t xml:space="preserve">10% increase in legal aid / assistance in target areas. </w:t>
            </w:r>
            <w:r>
              <w:rPr>
                <w:sz w:val="18"/>
              </w:rPr>
              <w:t xml:space="preserve"> </w:t>
            </w:r>
          </w:p>
          <w:p>
            <w:pPr>
              <w:spacing w:before="0" w:after="2" w:line="270" w:lineRule="auto"/>
              <w:ind w:left="5" w:right="49" w:firstLine="0"/>
              <w:jc w:val="left"/>
            </w:pPr>
            <w:r>
              <w:rPr>
                <w:sz w:val="18"/>
              </w:rPr>
              <w:t xml:space="preserve">-</w:t>
            </w:r>
            <w:r>
              <w:rPr>
                <w:sz w:val="18"/>
              </w:rPr>
              <w:t xml:space="preserve">10% increase in police presence in target areas. </w:t>
            </w:r>
            <w:r>
              <w:rPr>
                <w:sz w:val="18"/>
              </w:rPr>
              <w:t xml:space="preserve"> -</w:t>
            </w:r>
            <w:r>
              <w:rPr>
                <w:sz w:val="18"/>
              </w:rPr>
              <w:t xml:space="preserve">10% decrease in case backlog in LCCs. </w:t>
            </w:r>
            <w:r>
              <w:rPr>
                <w:sz w:val="18"/>
              </w:rPr>
              <w:t xml:space="preserve"> -</w:t>
            </w:r>
            <w:r>
              <w:rPr>
                <w:sz w:val="18"/>
              </w:rPr>
              <w:t xml:space="preserve">2 additional facilitated dialogues held and action points implemented</w:t>
            </w:r>
            <w:r>
              <w:rPr>
                <w:sz w:val="18"/>
              </w:rPr>
              <w:t xml:space="preserve"> -</w:t>
            </w:r>
            <w:r>
              <w:rPr>
                <w:sz w:val="18"/>
              </w:rPr>
              <w:t xml:space="preserve">Implementation of recommendations from research initiated. </w:t>
            </w:r>
            <w:r>
              <w:rPr>
                <w:sz w:val="18"/>
              </w:rPr>
              <w:t xml:space="preserve"> </w:t>
            </w:r>
          </w:p>
          <w:p>
            <w:pPr>
              <w:spacing w:before="0" w:after="2" w:line="273" w:lineRule="auto"/>
              <w:ind w:left="5" w:right="0" w:firstLine="0"/>
            </w:pPr>
            <w:r>
              <w:rPr>
                <w:sz w:val="18"/>
              </w:rPr>
              <w:t xml:space="preserve">-</w:t>
            </w:r>
            <w:r>
              <w:rPr>
                <w:sz w:val="18"/>
              </w:rPr>
              <w:t xml:space="preserve">At least 3 additional joint trainings provided. </w:t>
            </w:r>
            <w:r>
              <w:rPr>
                <w:sz w:val="18"/>
              </w:rPr>
              <w:t xml:space="preserve"> </w:t>
            </w:r>
          </w:p>
          <w:p>
            <w:pPr>
              <w:tabs>
                <w:tab w:val="center" w:pos="190"/>
                <w:tab w:val="center" w:pos="899"/>
                <w:tab w:val="center" w:pos="1699"/>
              </w:tabs>
              <w:spacing w:before="0" w:after="16" w:line="259" w:lineRule="auto"/>
              <w:ind w:left="0" w:right="0" w:firstLine="0"/>
              <w:jc w:val="left"/>
            </w:pPr>
            <w:r>
              <w:rPr>
                <w:rFonts w:cs="Calibri" w:hAnsi="Calibri" w:eastAsia="Calibri" w:ascii="Calibri"/>
                <w:sz w:val="22"/>
              </w:rPr>
              <w:t xml:space="preserve">	</w:t>
            </w:r>
            <w:r>
              <w:rPr>
                <w:sz w:val="18"/>
              </w:rPr>
              <w:t xml:space="preserve">-</w:t>
            </w:r>
            <w:r>
              <w:rPr>
                <w:sz w:val="18"/>
              </w:rPr>
              <w:t xml:space="preserve">End 	of 	project </w:t>
            </w:r>
          </w:p>
          <w:p>
            <w:pPr>
              <w:spacing w:before="0" w:after="26" w:line="259" w:lineRule="auto"/>
              <w:ind w:left="5" w:right="0" w:firstLine="0"/>
              <w:jc w:val="left"/>
            </w:pPr>
            <w:r>
              <w:rPr>
                <w:sz w:val="18"/>
              </w:rPr>
              <w:t xml:space="preserve">evaluation done</w:t>
            </w:r>
            <w:r>
              <w:rPr>
                <w:sz w:val="18"/>
              </w:rPr>
              <w:t xml:space="preserve"> </w:t>
            </w:r>
          </w:p>
          <w:p>
            <w:pPr>
              <w:spacing w:before="0" w:after="0" w:line="259" w:lineRule="auto"/>
              <w:ind w:left="5" w:right="0" w:firstLine="0"/>
              <w:jc w:val="left"/>
            </w:pPr>
            <w:r>
              <w:rPr>
                <w:sz w:val="20"/>
              </w:rPr>
              <w:t xml:space="preserve"> </w:t>
            </w:r>
          </w:p>
        </w:tc>
        <w:tc>
          <w:tcPr>
            <w:tcW w:w="2448" w:type="dxa"/>
            <w:tcBorders>
              <w:top w:val="single" w:sz="4" w:color="000000"/>
              <w:left w:val="single" w:sz="4" w:color="000000"/>
              <w:bottom w:val="single" w:sz="4" w:color="000000"/>
              <w:right w:val="single" w:sz="4" w:color="000000"/>
            </w:tcBorders>
            <w:vAlign w:val="top"/>
          </w:tcPr>
          <w:p>
            <w:pPr>
              <w:spacing w:before="0" w:after="0" w:line="276" w:lineRule="auto"/>
              <w:ind w:left="5" w:right="0" w:firstLine="0"/>
              <w:jc w:val="left"/>
            </w:pPr>
            <w:r>
              <w:rPr>
                <w:rFonts w:cs="Cambria" w:hAnsi="Cambria" w:eastAsia="Cambria" w:ascii="Cambria"/>
                <w:b w:val="1"/>
                <w:sz w:val="20"/>
              </w:rPr>
              <w:t xml:space="preserve">Activity result:</w:t>
            </w:r>
            <w:r>
              <w:rPr>
                <w:sz w:val="20"/>
              </w:rPr>
              <w:t xml:space="preserve"> </w:t>
            </w:r>
            <w:r>
              <w:rPr>
                <w:sz w:val="20"/>
              </w:rPr>
              <w:t xml:space="preserve">LCCs and traditional 	justice institutions strengthened for increased prevention and 	resolution 	of disputes, in particular as related to land</w:t>
            </w: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2" w:line="235" w:lineRule="auto"/>
              <w:ind w:left="5" w:right="3" w:firstLine="0"/>
              <w:jc w:val="left"/>
            </w:pPr>
            <w:r>
              <w:rPr>
                <w:sz w:val="20"/>
              </w:rPr>
              <w:t xml:space="preserve">Needs assessment of the of the LCCs and traditional institutions in the target districts</w:t>
            </w:r>
            <w:r>
              <w:rPr>
                <w:sz w:val="20"/>
              </w:rPr>
              <w:t xml:space="preserve"> </w:t>
            </w:r>
          </w:p>
          <w:p>
            <w:pPr>
              <w:spacing w:before="0" w:after="0" w:line="259" w:lineRule="auto"/>
              <w:ind w:left="5" w:right="0" w:firstLine="0"/>
              <w:jc w:val="left"/>
            </w:pPr>
            <w:r>
              <w:rPr>
                <w:sz w:val="20"/>
              </w:rPr>
              <w:t xml:space="preserve"> </w:t>
            </w:r>
          </w:p>
          <w:p>
            <w:pPr>
              <w:spacing w:before="0" w:after="1" w:line="236" w:lineRule="auto"/>
              <w:ind w:left="5" w:right="0" w:firstLine="0"/>
              <w:jc w:val="left"/>
            </w:pPr>
            <w:r>
              <w:rPr>
                <w:sz w:val="20"/>
              </w:rPr>
              <w:t xml:space="preserve">Developing capacity building plan for the LCCs and traditional institutions in the target districts</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0" w:firstLine="0"/>
              <w:jc w:val="left"/>
            </w:pPr>
            <w:r>
              <w:rPr>
                <w:sz w:val="20"/>
              </w:rPr>
              <w:t xml:space="preserve">Undertake capacity building for the LCCs and traditional institutions </w:t>
            </w:r>
          </w:p>
          <w:p>
            <w:pPr>
              <w:spacing w:before="0" w:after="0" w:line="259" w:lineRule="auto"/>
              <w:ind w:left="5" w:right="0" w:firstLine="0"/>
              <w:jc w:val="left"/>
            </w:pPr>
            <w:r>
              <w:rPr>
                <w:sz w:val="20"/>
              </w:rPr>
              <w:t xml:space="preserve">from the target districts</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38" w:firstLine="0"/>
              <w:jc w:val="left"/>
            </w:pPr>
            <w:r>
              <w:rPr>
                <w:sz w:val="20"/>
              </w:rPr>
              <w:t xml:space="preserve">Identify and train paralegals to mentor LCCs and traditional </w:t>
            </w:r>
          </w:p>
          <w:p>
            <w:pPr>
              <w:spacing w:before="0" w:after="0" w:line="259" w:lineRule="auto"/>
              <w:ind w:left="5" w:right="0" w:firstLine="0"/>
              <w:jc w:val="left"/>
            </w:pPr>
            <w:r>
              <w:rPr>
                <w:sz w:val="20"/>
              </w:rPr>
              <w:t xml:space="preserve">institutions</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0" w:firstLine="0"/>
              <w:jc w:val="left"/>
            </w:pPr>
            <w:r>
              <w:rPr>
                <w:sz w:val="20"/>
              </w:rPr>
              <w:t xml:space="preserve">Procurement of logistics for the LCCs and traditional institutions in the target districts</w:t>
            </w:r>
            <w:r>
              <w:rPr>
                <w:sz w:val="20"/>
              </w:rPr>
              <w:t xml:space="preserve"> </w:t>
            </w:r>
          </w:p>
          <w:p>
            <w:pPr>
              <w:spacing w:before="0" w:after="0" w:line="259" w:lineRule="auto"/>
              <w:ind w:left="5" w:right="0" w:firstLine="0"/>
              <w:jc w:val="left"/>
            </w:pPr>
            <w:r>
              <w:rPr>
                <w:sz w:val="20"/>
              </w:rPr>
              <w:t xml:space="preserve"> </w:t>
            </w:r>
          </w:p>
          <w:p>
            <w:pPr>
              <w:spacing w:before="0" w:after="0" w:line="271" w:lineRule="auto"/>
              <w:ind w:left="5" w:right="0" w:firstLine="0"/>
            </w:pPr>
            <w:r>
              <w:rPr>
                <w:sz w:val="20"/>
              </w:rPr>
              <w:t xml:space="preserve">Review of partnership between the LCCs and </w:t>
            </w:r>
          </w:p>
          <w:p>
            <w:pPr>
              <w:spacing w:before="0" w:after="0" w:line="259" w:lineRule="auto"/>
              <w:ind w:left="5" w:right="0" w:firstLine="0"/>
              <w:jc w:val="left"/>
            </w:pPr>
            <w:r>
              <w:rPr>
                <w:sz w:val="20"/>
              </w:rPr>
              <w:t xml:space="preserve">traditional institutions, a</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0" w:line="271" w:lineRule="auto"/>
              <w:ind w:left="5" w:right="0" w:firstLine="0"/>
            </w:pPr>
            <w:r>
              <w:rPr>
                <w:sz w:val="20"/>
              </w:rPr>
              <w:t xml:space="preserve">JLOS local and national institutions, CSOs, </w:t>
            </w:r>
          </w:p>
          <w:p>
            <w:pPr>
              <w:spacing w:before="0" w:after="0" w:line="259" w:lineRule="auto"/>
              <w:ind w:left="5" w:right="0" w:firstLine="0"/>
              <w:jc w:val="left"/>
            </w:pPr>
            <w:r>
              <w:rPr>
                <w:sz w:val="20"/>
              </w:rPr>
              <w:t xml:space="preserve">UNDP</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12"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center"/>
          </w:tcPr>
          <w:p>
            <w:pPr>
              <w:spacing w:before="0" w:after="0" w:line="271" w:lineRule="auto"/>
              <w:ind w:left="0" w:right="0" w:firstLine="0"/>
              <w:jc w:val="left"/>
            </w:pPr>
            <w:r>
              <w:rPr>
                <w:sz w:val="20"/>
              </w:rPr>
              <w:t xml:space="preserve">Consultancy fees, professional </w:t>
            </w:r>
          </w:p>
          <w:p>
            <w:pPr>
              <w:spacing w:before="0" w:after="0" w:line="279" w:lineRule="auto"/>
              <w:ind w:left="0" w:right="0" w:firstLine="0"/>
            </w:pPr>
            <w:r>
              <w:rPr>
                <w:sz w:val="20"/>
              </w:rPr>
              <w:t xml:space="preserve">services, grants for 	legal </w:t>
            </w:r>
          </w:p>
          <w:p>
            <w:pPr>
              <w:spacing w:before="0" w:after="0" w:line="259" w:lineRule="auto"/>
              <w:ind w:left="0" w:right="0" w:firstLine="0"/>
              <w:jc w:val="left"/>
            </w:pPr>
            <w:r>
              <w:rPr>
                <w:sz w:val="20"/>
              </w:rPr>
              <w:t xml:space="preserve">aid/assistance</w:t>
            </w:r>
            <w:r>
              <w:rPr>
                <w:sz w:val="20"/>
              </w:rPr>
              <w:t xml:space="preserve"> </w:t>
            </w:r>
          </w:p>
        </w:tc>
        <w:tc>
          <w:tcPr>
            <w:tcW w:w="1618"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0"/>
              </w:rPr>
              <w:t xml:space="preserve"> </w:t>
            </w:r>
          </w:p>
        </w:tc>
      </w:tr>
    </w:tbl>
    <w:p>
      <w:pPr>
        <w:spacing w:before="0" w:after="0" w:line="259" w:lineRule="auto"/>
        <w:ind w:left="-1440" w:right="97" w:firstLine="0"/>
        <w:jc w:val="left"/>
      </w:pPr>
    </w:p>
    <w:tbl>
      <w:tblPr>
        <w:tblStyle w:val="TableGrid"/>
        <w:tblW w:w="12976" w:type="dxa"/>
        <w:tblInd w:w="-107" w:type="dxa"/>
        <w:tblCellMar>
          <w:top w:w="34" w:type="dxa"/>
          <w:left w:w="106" w:type="dxa"/>
          <w:bottom w:w="0" w:type="dxa"/>
          <w:right w:w="61" w:type="dxa"/>
        </w:tblCellMar>
      </w:tblPr>
      <w:tblGrid>
        <w:gridCol w:w="2176"/>
        <w:gridCol w:w="2448"/>
        <w:gridCol w:w="341"/>
        <w:gridCol w:w="341"/>
        <w:gridCol w:w="336"/>
        <w:gridCol w:w="341"/>
        <w:gridCol w:w="2266"/>
        <w:gridCol w:w="1402"/>
        <w:gridCol w:w="1708"/>
        <w:gridCol w:w="1619"/>
      </w:tblGrid>
      <w:tr>
        <w:trPr>
          <w:trHeight w:val="3073" w:hRule="atLeast"/>
        </w:trPr>
        <w:tc>
          <w:tcPr>
            <w:tcW w:w="217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48" w:type="dxa"/>
            <w:tcBorders>
              <w:top w:val="single" w:sz="4" w:color="000000"/>
              <w:left w:val="single" w:sz="4" w:color="000000"/>
              <w:bottom w:val="single" w:sz="4" w:color="000000"/>
              <w:right w:val="single" w:sz="4" w:color="000000"/>
            </w:tcBorders>
            <w:vAlign w:val="top"/>
          </w:tcPr>
          <w:p>
            <w:pPr>
              <w:spacing w:before="0" w:after="0" w:line="272" w:lineRule="auto"/>
              <w:ind w:left="5" w:right="3"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1.3:</w:t>
            </w:r>
            <w:r>
              <w:rPr>
                <w:rFonts w:cs="Cambria" w:hAnsi="Cambria" w:eastAsia="Cambria" w:ascii="Cambria"/>
                <w:b w:val="1"/>
                <w:sz w:val="20"/>
              </w:rPr>
              <w:t xml:space="preserve"> </w:t>
            </w:r>
            <w:r>
              <w:rPr>
                <w:sz w:val="20"/>
              </w:rPr>
              <w:t xml:space="preserve">Linkages between formal and informal justice systems further developed</w:t>
            </w:r>
            <w:r>
              <w:rPr>
                <w:sz w:val="20"/>
              </w:rPr>
              <w:t xml:space="preserve"> </w:t>
            </w:r>
          </w:p>
          <w:p>
            <w:pPr>
              <w:spacing w:before="0" w:after="12" w:line="259" w:lineRule="auto"/>
              <w:ind w:left="5" w:right="0" w:firstLine="0"/>
              <w:jc w:val="left"/>
            </w:pPr>
            <w:r>
              <w:rPr>
                <w:sz w:val="20"/>
              </w:rPr>
              <w:t xml:space="preserve"> </w:t>
            </w:r>
          </w:p>
          <w:p>
            <w:pPr>
              <w:spacing w:before="0" w:after="7" w:line="259" w:lineRule="auto"/>
              <w:ind w:left="5"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59" w:lineRule="auto"/>
              <w:ind w:left="5" w:right="44" w:firstLine="0"/>
              <w:jc w:val="left"/>
            </w:pPr>
            <w:r>
              <w:rPr>
                <w:sz w:val="20"/>
              </w:rPr>
              <w:t xml:space="preserve">Facilitate experience sharing and mutual engagements between the formal and informal justice systems</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0" w:line="271" w:lineRule="auto"/>
              <w:ind w:left="5" w:right="0" w:firstLine="0"/>
            </w:pPr>
            <w:r>
              <w:rPr>
                <w:sz w:val="20"/>
              </w:rPr>
              <w:t xml:space="preserve">OPM, Local Authorities, , UNDP, CSO/NGO and </w:t>
            </w:r>
          </w:p>
          <w:p>
            <w:pPr>
              <w:spacing w:before="0" w:after="0" w:line="259" w:lineRule="auto"/>
              <w:ind w:left="5" w:right="0" w:firstLine="0"/>
              <w:jc w:val="left"/>
            </w:pPr>
            <w:r>
              <w:rPr>
                <w:sz w:val="20"/>
              </w:rPr>
              <w:t xml:space="preserve">JLOS</w:t>
            </w: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top"/>
          </w:tcPr>
          <w:p>
            <w:pPr>
              <w:spacing w:before="0" w:after="0" w:line="279" w:lineRule="auto"/>
              <w:ind w:left="0" w:right="0" w:firstLine="0"/>
              <w:jc w:val="left"/>
            </w:pPr>
            <w:r>
              <w:rPr>
                <w:sz w:val="20"/>
              </w:rPr>
              <w:t xml:space="preserve">Consultancy fees, professional services, 	grants for 	legal </w:t>
            </w:r>
          </w:p>
          <w:p>
            <w:pPr>
              <w:spacing w:before="0" w:after="0" w:line="259" w:lineRule="auto"/>
              <w:ind w:left="0" w:right="0" w:firstLine="0"/>
              <w:jc w:val="left"/>
            </w:pPr>
            <w:r>
              <w:rPr>
                <w:sz w:val="20"/>
              </w:rPr>
              <w:t xml:space="preserve">aid/assistance</w:t>
            </w: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0"/>
              </w:rPr>
              <w:t xml:space="preserve"> </w:t>
            </w:r>
          </w:p>
        </w:tc>
      </w:tr>
      <w:tr>
        <w:trPr>
          <w:trHeight w:val="276" w:hRule="atLeast"/>
        </w:trPr>
        <w:tc>
          <w:tcPr>
            <w:tcW w:w="11357" w:type="dxa"/>
            <w:gridSpan w:val="9"/>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w:t>
            </w:r>
            <w:r>
              <w:rPr>
                <w:rFonts w:cs="Cambria" w:hAnsi="Cambria" w:eastAsia="Cambria" w:ascii="Cambria"/>
                <w:b w:val="1"/>
                <w:sz w:val="20"/>
              </w:rPr>
              <w:t xml:space="preserve">-</w:t>
            </w:r>
            <w:r>
              <w:rPr>
                <w:rFonts w:cs="Cambria" w:hAnsi="Cambria" w:eastAsia="Cambria" w:ascii="Cambria"/>
                <w:b w:val="1"/>
                <w:sz w:val="20"/>
              </w:rPr>
              <w:t xml:space="preserve">total </w:t>
            </w:r>
            <w:r>
              <w:rPr>
                <w:rFonts w:cs="Cambria" w:hAnsi="Cambria" w:eastAsia="Cambria" w:ascii="Cambria"/>
                <w:b w:val="1"/>
                <w:sz w:val="20"/>
              </w:rPr>
              <w:t xml:space="preserve">– </w:t>
            </w:r>
            <w:r>
              <w:rPr>
                <w:rFonts w:cs="Cambria" w:hAnsi="Cambria" w:eastAsia="Cambria" w:ascii="Cambria"/>
                <w:b w:val="1"/>
                <w:sz w:val="20"/>
              </w:rPr>
              <w:t xml:space="preserve">Output 1</w:t>
            </w:r>
            <w:r>
              <w:rPr>
                <w:rFonts w:cs="Cambria" w:hAnsi="Cambria" w:eastAsia="Cambria" w:ascii="Cambria"/>
                <w:b w:val="1"/>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              </w:t>
            </w:r>
            <w:r>
              <w:rPr>
                <w:rFonts w:cs="Cambria" w:hAnsi="Cambria" w:eastAsia="Cambria" w:ascii="Cambria"/>
                <w:b w:val="1"/>
                <w:sz w:val="20"/>
              </w:rPr>
              <w:t xml:space="preserve">530,000</w:t>
            </w:r>
            <w:r>
              <w:rPr>
                <w:rFonts w:cs="Cambria" w:hAnsi="Cambria" w:eastAsia="Cambria" w:ascii="Cambria"/>
                <w:b w:val="1"/>
                <w:sz w:val="20"/>
              </w:rPr>
              <w:t xml:space="preserve"> </w:t>
            </w:r>
          </w:p>
        </w:tc>
      </w:tr>
      <w:tr>
        <w:trPr>
          <w:trHeight w:val="4710" w:hRule="atLeast"/>
        </w:trPr>
        <w:tc>
          <w:tcPr>
            <w:tcW w:w="2176" w:type="dxa"/>
            <w:tcBorders>
              <w:top w:val="single" w:sz="4" w:color="000000"/>
              <w:left w:val="single" w:sz="4" w:color="000000"/>
              <w:bottom w:val="single" w:sz="4" w:color="000000"/>
              <w:right w:val="single" w:sz="4" w:color="000000"/>
            </w:tcBorders>
            <w:vAlign w:val="top"/>
          </w:tcPr>
          <w:p>
            <w:pPr>
              <w:spacing w:before="0" w:after="4" w:line="271" w:lineRule="auto"/>
              <w:ind w:left="1" w:right="17" w:firstLine="0"/>
              <w:jc w:val="left"/>
            </w:pPr>
            <w:r>
              <w:rPr>
                <w:rFonts w:cs="Cambria" w:hAnsi="Cambria" w:eastAsia="Cambria" w:ascii="Cambria"/>
                <w:i w:val="1"/>
                <w:sz w:val="20"/>
              </w:rPr>
              <w:t xml:space="preserve"> </w:t>
            </w:r>
            <w:r>
              <w:rPr>
                <w:rFonts w:cs="Cambria" w:hAnsi="Cambria" w:eastAsia="Cambria" w:ascii="Cambria"/>
                <w:b w:val="1"/>
                <w:sz w:val="20"/>
              </w:rPr>
              <w:t xml:space="preserve">Output 2: </w:t>
            </w:r>
            <w:r>
              <w:rPr>
                <w:sz w:val="20"/>
              </w:rPr>
              <w:t xml:space="preserve">Employment opportunities enhanced and economic recovery and reintegration initiatives developed targeting youth, crises</w:t>
            </w:r>
            <w:r>
              <w:rPr>
                <w:sz w:val="20"/>
              </w:rPr>
              <w:t xml:space="preserve">-</w:t>
            </w:r>
            <w:r>
              <w:rPr>
                <w:sz w:val="20"/>
              </w:rPr>
              <w:t xml:space="preserve">affected and vulnerable people </w:t>
            </w:r>
          </w:p>
          <w:p>
            <w:pPr>
              <w:spacing w:before="0" w:after="12" w:line="259" w:lineRule="auto"/>
              <w:ind w:left="1" w:right="0" w:firstLine="0"/>
              <w:jc w:val="left"/>
            </w:pPr>
            <w:r>
              <w:rPr>
                <w:sz w:val="20"/>
              </w:rPr>
              <w:t xml:space="preserve">(30</w:t>
            </w:r>
            <w:r>
              <w:rPr>
                <w:sz w:val="20"/>
              </w:rPr>
              <w:t xml:space="preserve">% women)</w:t>
            </w:r>
            <w:r>
              <w:rPr>
                <w:rFonts w:cs="Cambria" w:hAnsi="Cambria" w:eastAsia="Cambria" w:ascii="Cambria"/>
                <w:b w:val="1"/>
                <w:sz w:val="20"/>
              </w:rPr>
              <w:t xml:space="preserve"> </w:t>
            </w:r>
          </w:p>
          <w:p>
            <w:pPr>
              <w:spacing w:before="0" w:after="12" w:line="259" w:lineRule="auto"/>
              <w:ind w:left="1" w:right="0" w:firstLine="0"/>
              <w:jc w:val="left"/>
            </w:pPr>
            <w:r>
              <w:rPr>
                <w:sz w:val="20"/>
              </w:rPr>
              <w:t xml:space="preserve"> </w:t>
            </w:r>
          </w:p>
          <w:p>
            <w:pPr>
              <w:spacing w:before="0" w:after="0" w:line="259" w:lineRule="auto"/>
              <w:ind w:left="1" w:right="0" w:firstLine="0"/>
              <w:jc w:val="left"/>
            </w:pPr>
            <w:r>
              <w:rPr>
                <w:rFonts w:cs="Cambria" w:hAnsi="Cambria" w:eastAsia="Cambria" w:ascii="Cambria"/>
                <w:b w:val="1"/>
                <w:i w:val="1"/>
                <w:sz w:val="20"/>
              </w:rPr>
              <w:t xml:space="preserve">Baseline:</w:t>
            </w:r>
            <w:r>
              <w:rPr>
                <w:rFonts w:cs="Cambria" w:hAnsi="Cambria" w:eastAsia="Cambria" w:ascii="Cambria"/>
                <w:b w:val="1"/>
                <w:i w:val="1"/>
                <w:sz w:val="20"/>
              </w:rPr>
              <w:t xml:space="preserve"> </w:t>
            </w:r>
          </w:p>
          <w:p>
            <w:pPr>
              <w:spacing w:before="0" w:after="0" w:line="259" w:lineRule="auto"/>
              <w:ind w:left="1" w:right="44" w:firstLine="0"/>
            </w:pPr>
            <w:r>
              <w:rPr>
                <w:sz w:val="17"/>
              </w:rPr>
              <w:t xml:space="preserve"> </w:t>
            </w:r>
            <w:r>
              <w:rPr>
                <w:sz w:val="16"/>
              </w:rPr>
              <w:t xml:space="preserve">-</w:t>
            </w:r>
            <w:r>
              <w:rPr>
                <w:sz w:val="16"/>
              </w:rPr>
              <w:t xml:space="preserve">High unemployment</w:t>
            </w:r>
            <w:r>
              <w:rPr>
                <w:sz w:val="16"/>
                <w:vertAlign w:val="superscript"/>
              </w:rPr>
              <w:footnoteReference w:id="64"/>
            </w:r>
            <w:r>
              <w:rPr>
                <w:sz w:val="16"/>
              </w:rPr>
              <w:t xml:space="preserve"> </w:t>
            </w:r>
            <w:r>
              <w:rPr>
                <w:sz w:val="16"/>
              </w:rPr>
              <w:t xml:space="preserve">rate amongst the youth; 58% of Ugandans unemployed are youth according to central bureau of statistics (2007) </w:t>
            </w:r>
          </w:p>
        </w:tc>
        <w:tc>
          <w:tcPr>
            <w:tcW w:w="2448"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2.1: </w:t>
            </w:r>
          </w:p>
          <w:p>
            <w:pPr>
              <w:spacing w:before="0" w:after="0" w:line="272" w:lineRule="auto"/>
              <w:ind w:left="5" w:right="0" w:firstLine="0"/>
              <w:jc w:val="left"/>
            </w:pPr>
            <w:r>
              <w:rPr>
                <w:sz w:val="20"/>
              </w:rPr>
              <w:t xml:space="preserve">Employment created and income increased for targeted youth in northern Uganda</w:t>
            </w:r>
            <w:r>
              <w:rPr>
                <w:sz w:val="20"/>
              </w:rPr>
              <w:t xml:space="preserve"> </w:t>
            </w:r>
          </w:p>
          <w:p>
            <w:pPr>
              <w:spacing w:before="0" w:after="12" w:line="259" w:lineRule="auto"/>
              <w:ind w:left="5" w:right="0" w:firstLine="0"/>
              <w:jc w:val="left"/>
            </w:pPr>
            <w:r>
              <w:rPr>
                <w:sz w:val="20"/>
              </w:rPr>
              <w:t xml:space="preserve"> </w:t>
            </w:r>
          </w:p>
          <w:p>
            <w:pPr>
              <w:spacing w:before="0" w:after="7" w:line="259" w:lineRule="auto"/>
              <w:ind w:left="5"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37" w:lineRule="auto"/>
              <w:ind w:left="5" w:right="0" w:firstLine="0"/>
              <w:jc w:val="left"/>
            </w:pPr>
            <w:r>
              <w:rPr>
                <w:sz w:val="20"/>
              </w:rPr>
              <w:t xml:space="preserve">-</w:t>
            </w:r>
            <w:r>
              <w:rPr>
                <w:sz w:val="20"/>
              </w:rPr>
              <w:t xml:space="preserve">Mobilise youth who have undergone vocational skills trade training (in </w:t>
            </w:r>
          </w:p>
          <w:p>
            <w:pPr>
              <w:spacing w:before="0" w:after="0" w:line="259" w:lineRule="auto"/>
              <w:ind w:left="5" w:right="0" w:firstLine="0"/>
              <w:jc w:val="left"/>
            </w:pPr>
            <w:r>
              <w:rPr>
                <w:sz w:val="20"/>
              </w:rPr>
              <w:t xml:space="preserve">Acholi sub region)</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36" w:firstLine="0"/>
              <w:jc w:val="left"/>
            </w:pPr>
            <w:r>
              <w:rPr>
                <w:sz w:val="20"/>
              </w:rPr>
              <w:t xml:space="preserve">-</w:t>
            </w:r>
            <w:r>
              <w:rPr>
                <w:sz w:val="20"/>
              </w:rPr>
              <w:t xml:space="preserve">Sponsor at least 300 youth drawn from Lango and Karamoja in vocational schools in their respective districts or sub region</w:t>
            </w:r>
            <w:r>
              <w:rPr>
                <w:sz w:val="20"/>
              </w:rPr>
              <w:t xml:space="preserve"> </w:t>
            </w:r>
          </w:p>
          <w:p>
            <w:pPr>
              <w:spacing w:before="0" w:after="0" w:line="259" w:lineRule="auto"/>
              <w:ind w:left="5"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X</w:t>
            </w: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X</w:t>
            </w: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19" w:line="259" w:lineRule="auto"/>
              <w:ind w:left="5" w:right="0" w:firstLine="0"/>
              <w:jc w:val="left"/>
            </w:pPr>
            <w:r>
              <w:rPr>
                <w:sz w:val="20"/>
              </w:rPr>
              <w:t xml:space="preserve">OPM, Local Authorities, </w:t>
            </w:r>
          </w:p>
          <w:p>
            <w:pPr>
              <w:tabs>
                <w:tab w:val="right" w:pos="2099"/>
              </w:tabs>
              <w:spacing w:before="0" w:after="16" w:line="259" w:lineRule="auto"/>
              <w:ind w:left="0" w:right="0" w:firstLine="0"/>
              <w:jc w:val="left"/>
            </w:pPr>
            <w:r>
              <w:rPr>
                <w:sz w:val="20"/>
              </w:rPr>
              <w:t xml:space="preserve">UNDP, 	CSO/NGO, </w:t>
            </w:r>
          </w:p>
          <w:p>
            <w:pPr>
              <w:spacing w:before="0" w:after="12" w:line="259" w:lineRule="auto"/>
              <w:ind w:left="5" w:right="0" w:firstLine="0"/>
              <w:jc w:val="left"/>
            </w:pPr>
            <w:r>
              <w:rPr>
                <w:sz w:val="20"/>
              </w:rPr>
              <w:t xml:space="preserve">Private Sector</w:t>
            </w:r>
            <w:r>
              <w:rPr>
                <w:sz w:val="20"/>
              </w:rPr>
              <w:t xml:space="preserve"> </w:t>
            </w:r>
          </w:p>
          <w:p>
            <w:pPr>
              <w:spacing w:before="0" w:after="0" w:line="259" w:lineRule="auto"/>
              <w:ind w:left="5" w:right="0" w:firstLine="0"/>
              <w:jc w:val="left"/>
            </w:pP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Consultancy fees, professional services</w:t>
            </w: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0"/>
              </w:rPr>
              <w:t xml:space="preserve"> </w:t>
            </w:r>
          </w:p>
        </w:tc>
      </w:tr>
    </w:tbl>
    <w:p>
      <w:pPr>
        <w:spacing w:before="0" w:after="0" w:line="259" w:lineRule="auto"/>
        <w:ind w:left="-1440" w:right="97" w:firstLine="0"/>
        <w:jc w:val="left"/>
      </w:pPr>
    </w:p>
    <w:tbl>
      <w:tblPr>
        <w:tblStyle w:val="TableGrid"/>
        <w:tblW w:w="12979" w:type="dxa"/>
        <w:tblInd w:w="-110" w:type="dxa"/>
        <w:tblCellMar>
          <w:top w:w="30" w:type="dxa"/>
          <w:left w:w="106" w:type="dxa"/>
          <w:bottom w:w="0" w:type="dxa"/>
          <w:right w:w="61" w:type="dxa"/>
        </w:tblCellMar>
      </w:tblPr>
      <w:tblGrid>
        <w:gridCol w:w="2179"/>
        <w:gridCol w:w="2448"/>
        <w:gridCol w:w="341"/>
        <w:gridCol w:w="341"/>
        <w:gridCol w:w="336"/>
        <w:gridCol w:w="341"/>
        <w:gridCol w:w="2266"/>
        <w:gridCol w:w="1402"/>
        <w:gridCol w:w="1709"/>
        <w:gridCol w:w="1618"/>
      </w:tblGrid>
      <w:tr>
        <w:trPr>
          <w:trHeight w:val="2626" w:hRule="atLeast"/>
        </w:trPr>
        <w:tc>
          <w:tcPr>
            <w:tcW w:w="2179" w:type="dxa"/>
            <w:vMerge w:val="restart"/>
            <w:tcBorders>
              <w:top w:val="single" w:sz="4" w:color="000000"/>
              <w:left w:val="single" w:sz="4" w:color="000000"/>
              <w:bottom w:val="single" w:sz="4" w:color="000000"/>
              <w:right w:val="single" w:sz="4" w:color="000000"/>
            </w:tcBorders>
            <w:vAlign w:val="top"/>
          </w:tcPr>
          <w:p>
            <w:pPr>
              <w:spacing w:before="0" w:after="0" w:line="277" w:lineRule="auto"/>
              <w:ind w:left="5" w:right="0" w:firstLine="0"/>
              <w:jc w:val="left"/>
            </w:pPr>
            <w:r>
              <w:rPr>
                <w:sz w:val="16"/>
              </w:rPr>
              <w:t xml:space="preserve">as reported by the world bank;</w:t>
            </w:r>
            <w:r>
              <w:rPr>
                <w:sz w:val="16"/>
              </w:rPr>
              <w:t xml:space="preserve"> </w:t>
            </w:r>
          </w:p>
          <w:p>
            <w:pPr>
              <w:spacing w:before="0" w:after="14" w:line="259" w:lineRule="auto"/>
              <w:ind w:left="5" w:right="0" w:firstLine="0"/>
              <w:jc w:val="left"/>
            </w:pPr>
            <w:r>
              <w:rPr>
                <w:sz w:val="16"/>
              </w:rPr>
              <w:t xml:space="preserve"> </w:t>
            </w:r>
          </w:p>
          <w:p>
            <w:pPr>
              <w:spacing w:before="0" w:after="0" w:line="277" w:lineRule="auto"/>
              <w:ind w:left="5" w:right="0" w:firstLine="0"/>
            </w:pPr>
            <w:r>
              <w:rPr>
                <w:sz w:val="16"/>
              </w:rPr>
              <w:t xml:space="preserve">-</w:t>
            </w:r>
            <w:r>
              <w:rPr>
                <w:sz w:val="16"/>
              </w:rPr>
              <w:t xml:space="preserve">High urban unemployment (12.4%) compared to rural </w:t>
            </w:r>
          </w:p>
          <w:p>
            <w:pPr>
              <w:spacing w:before="0" w:after="14" w:line="259" w:lineRule="auto"/>
              <w:ind w:left="5" w:right="0" w:firstLine="0"/>
              <w:jc w:val="left"/>
            </w:pPr>
            <w:r>
              <w:rPr>
                <w:sz w:val="16"/>
              </w:rPr>
              <w:t xml:space="preserve">(1.7%); </w:t>
            </w:r>
          </w:p>
          <w:p>
            <w:pPr>
              <w:spacing w:before="0" w:after="28" w:line="259" w:lineRule="auto"/>
              <w:ind w:left="5" w:right="0" w:firstLine="0"/>
              <w:jc w:val="left"/>
            </w:pPr>
            <w:r>
              <w:rPr>
                <w:sz w:val="16"/>
              </w:rPr>
              <w:t xml:space="preserve"> </w:t>
            </w:r>
          </w:p>
          <w:p>
            <w:pPr>
              <w:spacing w:before="0" w:after="0" w:line="259" w:lineRule="auto"/>
              <w:ind w:left="5" w:right="0" w:firstLine="0"/>
              <w:jc w:val="left"/>
            </w:pPr>
            <w:r>
              <w:rPr>
                <w:sz w:val="16"/>
              </w:rPr>
              <w:t xml:space="preserve">-</w:t>
            </w:r>
            <w:r>
              <w:rPr>
                <w:sz w:val="16"/>
              </w:rPr>
              <w:t xml:space="preserve">High poverty</w:t>
            </w:r>
            <w:r>
              <w:rPr>
                <w:sz w:val="16"/>
              </w:rPr>
              <w:t xml:space="preserve"> </w:t>
            </w:r>
            <w:r>
              <w:rPr>
                <w:sz w:val="16"/>
              </w:rPr>
              <w:t xml:space="preserve">rate</w:t>
            </w:r>
            <w:r>
              <w:rPr>
                <w:sz w:val="16"/>
                <w:vertAlign w:val="superscript"/>
              </w:rPr>
              <w:footnoteReference w:id="65"/>
            </w:r>
            <w:r>
              <w:rPr>
                <w:sz w:val="16"/>
              </w:rPr>
              <w:t xml:space="preserve"> </w:t>
            </w:r>
            <w:r>
              <w:rPr>
                <w:sz w:val="16"/>
              </w:rPr>
              <w:t xml:space="preserve">around</w:t>
            </w:r>
            <w:r>
              <w:rPr>
                <w:sz w:val="18"/>
              </w:rPr>
              <w:t xml:space="preserve"> </w:t>
            </w:r>
          </w:p>
          <w:p>
            <w:pPr>
              <w:spacing w:before="0" w:after="14" w:line="259" w:lineRule="auto"/>
              <w:ind w:left="5" w:right="0" w:firstLine="0"/>
              <w:jc w:val="left"/>
            </w:pPr>
            <w:r>
              <w:rPr>
                <w:sz w:val="16"/>
              </w:rPr>
              <w:t xml:space="preserve">24.5%;</w:t>
            </w:r>
            <w:r>
              <w:rPr>
                <w:sz w:val="16"/>
              </w:rPr>
              <w:t xml:space="preserve"> </w:t>
            </w:r>
          </w:p>
          <w:p>
            <w:pPr>
              <w:spacing w:before="0" w:after="9" w:line="259" w:lineRule="auto"/>
              <w:ind w:left="5" w:right="0" w:firstLine="0"/>
              <w:jc w:val="left"/>
            </w:pPr>
            <w:r>
              <w:rPr>
                <w:sz w:val="16"/>
              </w:rPr>
              <w:t xml:space="preserve"> </w:t>
            </w:r>
          </w:p>
          <w:p>
            <w:pPr>
              <w:spacing w:before="0" w:after="0" w:line="277" w:lineRule="auto"/>
              <w:ind w:left="5" w:right="49" w:firstLine="0"/>
            </w:pPr>
            <w:r>
              <w:rPr>
                <w:sz w:val="16"/>
              </w:rPr>
              <w:t xml:space="preserve">-</w:t>
            </w:r>
            <w:r>
              <w:rPr>
                <w:sz w:val="16"/>
              </w:rPr>
              <w:t xml:space="preserve">Supply of employment opportunities do not meet demand (every year around 500,000 enter the labour force, while jobs created do not exceed 150,000 a year);</w:t>
            </w:r>
            <w:r>
              <w:rPr>
                <w:sz w:val="16"/>
              </w:rPr>
              <w:t xml:space="preserve"> </w:t>
            </w:r>
          </w:p>
          <w:p>
            <w:pPr>
              <w:spacing w:before="0" w:after="14" w:line="259" w:lineRule="auto"/>
              <w:ind w:left="5" w:right="0" w:firstLine="0"/>
              <w:jc w:val="left"/>
            </w:pPr>
            <w:r>
              <w:rPr>
                <w:sz w:val="16"/>
              </w:rPr>
              <w:t xml:space="preserve"> </w:t>
            </w:r>
          </w:p>
          <w:p>
            <w:pPr>
              <w:spacing w:before="0" w:after="6" w:line="277" w:lineRule="auto"/>
              <w:ind w:left="5" w:right="0" w:firstLine="0"/>
            </w:pPr>
            <w:r>
              <w:rPr>
                <w:sz w:val="16"/>
              </w:rPr>
              <w:t xml:space="preserve">-</w:t>
            </w:r>
            <w:r>
              <w:rPr>
                <w:sz w:val="16"/>
              </w:rPr>
              <w:t xml:space="preserve">Weak social, economic and productive infrastructure </w:t>
            </w:r>
          </w:p>
          <w:p>
            <w:pPr>
              <w:spacing w:before="0" w:after="3" w:line="285" w:lineRule="auto"/>
              <w:ind w:left="5" w:right="0" w:firstLine="0"/>
              <w:jc w:val="left"/>
            </w:pPr>
            <w:r>
              <w:rPr>
                <w:sz w:val="16"/>
              </w:rPr>
              <w:t xml:space="preserve">(markets, 	roads/ transportation) 	and 	high urban/rural disparities. </w:t>
            </w:r>
            <w:r>
              <w:rPr>
                <w:sz w:val="16"/>
              </w:rPr>
              <w:t xml:space="preserve"> </w:t>
            </w:r>
          </w:p>
          <w:p>
            <w:pPr>
              <w:spacing w:before="0" w:after="50" w:line="259" w:lineRule="auto"/>
              <w:ind w:left="5" w:right="0" w:firstLine="0"/>
              <w:jc w:val="left"/>
            </w:pPr>
            <w:r>
              <w:rPr>
                <w:sz w:val="17"/>
              </w:rPr>
              <w:t xml:space="preserve"> </w:t>
            </w:r>
          </w:p>
          <w:p>
            <w:pPr>
              <w:spacing w:before="0" w:after="0" w:line="259" w:lineRule="auto"/>
              <w:ind w:left="5" w:right="0" w:firstLine="0"/>
              <w:jc w:val="left"/>
            </w:pPr>
            <w:r>
              <w:rPr>
                <w:rFonts w:cs="Cambria" w:hAnsi="Cambria" w:eastAsia="Cambria" w:ascii="Cambria"/>
                <w:b w:val="1"/>
                <w:i w:val="1"/>
                <w:sz w:val="20"/>
              </w:rPr>
              <w:t xml:space="preserve">Indicators:</w:t>
            </w:r>
            <w:r>
              <w:rPr>
                <w:rFonts w:cs="Cambria" w:hAnsi="Cambria" w:eastAsia="Cambria" w:ascii="Cambria"/>
                <w:b w:val="1"/>
                <w:i w:val="1"/>
                <w:sz w:val="20"/>
              </w:rPr>
              <w:t xml:space="preserve"> </w:t>
            </w:r>
          </w:p>
          <w:p>
            <w:pPr>
              <w:spacing w:before="0" w:after="0" w:line="259" w:lineRule="auto"/>
              <w:ind w:left="5" w:right="0" w:firstLine="0"/>
              <w:jc w:val="left"/>
            </w:pPr>
            <w:r>
              <w:rPr>
                <w:sz w:val="17"/>
              </w:rPr>
              <w:t xml:space="preserve"> </w:t>
            </w:r>
          </w:p>
          <w:p>
            <w:pPr>
              <w:spacing w:before="0" w:after="0" w:line="235" w:lineRule="auto"/>
              <w:ind w:left="5" w:right="0" w:firstLine="0"/>
              <w:jc w:val="left"/>
            </w:pPr>
            <w:r>
              <w:rPr>
                <w:sz w:val="18"/>
              </w:rPr>
              <w:t xml:space="preserve">-</w:t>
            </w:r>
            <w:r>
              <w:rPr>
                <w:sz w:val="18"/>
              </w:rPr>
              <w:t xml:space="preserve">Number of targeted people that have undergone training and apprenticeship disaggregated by gender </w:t>
            </w:r>
          </w:p>
          <w:p>
            <w:pPr>
              <w:spacing w:before="0" w:after="0" w:line="259" w:lineRule="auto"/>
              <w:ind w:left="5" w:right="0" w:firstLine="0"/>
              <w:jc w:val="left"/>
            </w:pPr>
            <w:r>
              <w:rPr>
                <w:sz w:val="18"/>
              </w:rPr>
              <w:t xml:space="preserve">and type of training</w:t>
            </w:r>
            <w:r>
              <w:rPr>
                <w:sz w:val="18"/>
              </w:rPr>
              <w:t xml:space="preserve">; </w:t>
            </w:r>
          </w:p>
          <w:p>
            <w:pPr>
              <w:spacing w:before="0" w:after="0" w:line="259" w:lineRule="auto"/>
              <w:ind w:left="5" w:right="0" w:firstLine="0"/>
              <w:jc w:val="left"/>
            </w:pPr>
            <w:r>
              <w:rPr>
                <w:sz w:val="18"/>
              </w:rPr>
              <w:t xml:space="preserve"> </w:t>
            </w:r>
          </w:p>
          <w:p>
            <w:pPr>
              <w:spacing w:before="0" w:after="0" w:line="235" w:lineRule="auto"/>
              <w:ind w:left="5" w:right="129" w:firstLine="0"/>
            </w:pPr>
            <w:r>
              <w:rPr>
                <w:sz w:val="18"/>
              </w:rPr>
              <w:t xml:space="preserve">-</w:t>
            </w:r>
            <w:r>
              <w:rPr>
                <w:sz w:val="18"/>
              </w:rPr>
              <w:t xml:space="preserve">Number of jobs/employment opportunities created as </w:t>
            </w:r>
          </w:p>
          <w:p>
            <w:pPr>
              <w:spacing w:before="0" w:after="0" w:line="259" w:lineRule="auto"/>
              <w:ind w:left="5" w:right="0" w:firstLine="0"/>
              <w:jc w:val="left"/>
            </w:pPr>
            <w:r>
              <w:rPr>
                <w:sz w:val="18"/>
              </w:rPr>
              <w:t xml:space="preserve">a result of the </w:t>
            </w:r>
          </w:p>
          <w:p>
            <w:pPr>
              <w:spacing w:before="0" w:after="0" w:line="259" w:lineRule="auto"/>
              <w:ind w:left="5" w:right="0" w:firstLine="0"/>
              <w:jc w:val="left"/>
            </w:pPr>
            <w:r>
              <w:rPr>
                <w:sz w:val="18"/>
              </w:rPr>
              <w:t xml:space="preserve">programme </w:t>
            </w:r>
          </w:p>
          <w:p>
            <w:pPr>
              <w:spacing w:before="0" w:after="0" w:line="259" w:lineRule="auto"/>
              <w:ind w:left="5" w:right="0" w:firstLine="0"/>
              <w:jc w:val="left"/>
            </w:pPr>
            <w:r>
              <w:rPr>
                <w:sz w:val="18"/>
              </w:rPr>
              <w:t xml:space="preserve">interventions</w:t>
            </w:r>
            <w:r>
              <w:rPr>
                <w:sz w:val="18"/>
              </w:rPr>
              <w:t xml:space="preserve">; </w:t>
            </w:r>
          </w:p>
          <w:p>
            <w:pPr>
              <w:spacing w:before="0" w:after="0" w:line="259" w:lineRule="auto"/>
              <w:ind w:left="178" w:right="0" w:firstLine="0"/>
              <w:jc w:val="left"/>
            </w:pPr>
            <w:r>
              <w:rPr>
                <w:sz w:val="18"/>
              </w:rPr>
              <w:t xml:space="preserve"> </w:t>
            </w:r>
          </w:p>
          <w:p>
            <w:pPr>
              <w:spacing w:before="0" w:after="0" w:line="259" w:lineRule="auto"/>
              <w:ind w:left="5" w:right="0" w:firstLine="0"/>
              <w:jc w:val="left"/>
            </w:pPr>
            <w:r>
              <w:rPr>
                <w:sz w:val="18"/>
              </w:rPr>
              <w:t xml:space="preserve">-</w:t>
            </w:r>
            <w:r>
              <w:rPr>
                <w:sz w:val="18"/>
              </w:rPr>
              <w:t xml:space="preserve">Number of farmer </w:t>
            </w:r>
          </w:p>
        </w:tc>
        <w:tc>
          <w:tcPr>
            <w:tcW w:w="2448" w:type="dxa"/>
            <w:tcBorders>
              <w:top w:val="single" w:sz="4" w:color="000000"/>
              <w:left w:val="single" w:sz="4" w:color="000000"/>
              <w:bottom w:val="single" w:sz="4" w:color="000000"/>
              <w:right w:val="single" w:sz="4" w:color="000000"/>
            </w:tcBorders>
            <w:vAlign w:val="top"/>
          </w:tcPr>
          <w:p>
            <w:pPr>
              <w:spacing w:before="0" w:after="0" w:line="237" w:lineRule="auto"/>
              <w:ind w:left="5" w:right="0" w:firstLine="0"/>
              <w:jc w:val="left"/>
            </w:pPr>
            <w:r>
              <w:rPr>
                <w:sz w:val="20"/>
              </w:rPr>
              <w:t xml:space="preserve">-</w:t>
            </w:r>
            <w:r>
              <w:rPr>
                <w:sz w:val="20"/>
              </w:rPr>
              <w:t xml:space="preserve">Identify business where the youth will be placed </w:t>
            </w:r>
          </w:p>
          <w:p>
            <w:pPr>
              <w:spacing w:before="0" w:after="0" w:line="259" w:lineRule="auto"/>
              <w:ind w:left="5" w:right="0" w:firstLine="0"/>
              <w:jc w:val="left"/>
            </w:pPr>
            <w:r>
              <w:rPr>
                <w:sz w:val="20"/>
              </w:rPr>
              <w:t xml:space="preserve">for apprenticeship</w:t>
            </w:r>
            <w:r>
              <w:rPr>
                <w:sz w:val="20"/>
              </w:rPr>
              <w:t xml:space="preserve"> </w:t>
            </w:r>
          </w:p>
          <w:p>
            <w:pPr>
              <w:spacing w:before="0" w:after="0" w:line="259" w:lineRule="auto"/>
              <w:ind w:left="5" w:right="0" w:firstLine="0"/>
              <w:jc w:val="left"/>
            </w:pPr>
            <w:r>
              <w:rPr>
                <w:sz w:val="20"/>
              </w:rPr>
              <w:t xml:space="preserve"> </w:t>
            </w:r>
          </w:p>
          <w:p>
            <w:pPr>
              <w:spacing w:before="0" w:after="5" w:line="237" w:lineRule="auto"/>
              <w:ind w:left="5" w:right="0" w:firstLine="0"/>
              <w:jc w:val="left"/>
            </w:pPr>
            <w:r>
              <w:rPr>
                <w:sz w:val="20"/>
              </w:rPr>
              <w:t xml:space="preserve">-</w:t>
            </w:r>
            <w:r>
              <w:rPr>
                <w:sz w:val="20"/>
              </w:rPr>
              <w:t xml:space="preserve">Procure start</w:t>
            </w:r>
            <w:r>
              <w:rPr>
                <w:sz w:val="20"/>
              </w:rPr>
              <w:t xml:space="preserve">-</w:t>
            </w:r>
            <w:r>
              <w:rPr>
                <w:sz w:val="20"/>
              </w:rPr>
              <w:t xml:space="preserve">up kits for the trainees and provide them with the kits after their have completed apprenticeship </w:t>
            </w:r>
            <w:r>
              <w:rPr>
                <w:sz w:val="20"/>
              </w:rPr>
              <w:t xml:space="preserve"> </w:t>
            </w:r>
          </w:p>
          <w:p>
            <w:pPr>
              <w:spacing w:before="0" w:after="7" w:line="259" w:lineRule="auto"/>
              <w:ind w:left="5" w:right="0" w:firstLine="0"/>
              <w:jc w:val="left"/>
            </w:pPr>
            <w:r>
              <w:rPr>
                <w:sz w:val="20"/>
              </w:rPr>
              <w:t xml:space="preserve"> </w:t>
            </w:r>
          </w:p>
          <w:p>
            <w:pPr>
              <w:spacing w:before="0" w:after="0" w:line="259" w:lineRule="auto"/>
              <w:ind w:left="5" w:right="0" w:firstLine="0"/>
              <w:jc w:val="left"/>
            </w:pPr>
            <w:r>
              <w:rPr>
                <w:sz w:val="20"/>
              </w:rPr>
              <w:t xml:space="preserve">-</w:t>
            </w:r>
            <w:r>
              <w:rPr>
                <w:sz w:val="20"/>
              </w:rPr>
              <w:t xml:space="preserve">Review the sponsorship</w:t>
            </w:r>
            <w:r>
              <w:rPr>
                <w:sz w:val="20"/>
              </w:rPr>
              <w:t xml:space="preserve"> </w:t>
            </w:r>
          </w:p>
        </w:tc>
        <w:tc>
          <w:tcPr>
            <w:tcW w:w="341"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3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604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48" w:type="dxa"/>
            <w:tcBorders>
              <w:top w:val="single" w:sz="4" w:color="000000"/>
              <w:left w:val="single" w:sz="4" w:color="000000"/>
              <w:bottom w:val="single" w:sz="4" w:color="000000"/>
              <w:right w:val="single" w:sz="4" w:color="000000"/>
            </w:tcBorders>
            <w:vAlign w:val="top"/>
          </w:tcPr>
          <w:p>
            <w:pPr>
              <w:spacing w:before="0" w:after="0" w:line="256" w:lineRule="auto"/>
              <w:ind w:left="5"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2.2:</w:t>
            </w:r>
            <w:r>
              <w:rPr>
                <w:sz w:val="20"/>
              </w:rPr>
              <w:t xml:space="preserve"> </w:t>
            </w:r>
            <w:r>
              <w:rPr>
                <w:sz w:val="20"/>
              </w:rPr>
              <w:t xml:space="preserve">Government aided vocational schools </w:t>
            </w:r>
            <w:r>
              <w:rPr>
                <w:sz w:val="20"/>
              </w:rPr>
              <w:t xml:space="preserve">   </w:t>
            </w:r>
            <w:r>
              <w:rPr>
                <w:sz w:val="20"/>
              </w:rPr>
              <w:t xml:space="preserve">equipped with tools</w:t>
            </w:r>
            <w:r>
              <w:rPr>
                <w:sz w:val="20"/>
              </w:rPr>
              <w:t xml:space="preserve"> </w:t>
            </w:r>
            <w:r>
              <w:rPr>
                <w:sz w:val="20"/>
              </w:rPr>
              <w:t xml:space="preserve">Identify vocational schools in the three sub regions to be equipped with tools</w:t>
            </w:r>
            <w:r>
              <w:rPr>
                <w:sz w:val="20"/>
              </w:rPr>
              <w:t xml:space="preserve"> </w:t>
            </w:r>
          </w:p>
          <w:p>
            <w:pPr>
              <w:spacing w:before="0" w:after="7" w:line="259" w:lineRule="auto"/>
              <w:ind w:left="5" w:right="0" w:firstLine="0"/>
              <w:jc w:val="left"/>
            </w:pPr>
            <w:r>
              <w:rPr>
                <w:sz w:val="20"/>
              </w:rPr>
              <w:t xml:space="preserve"> </w:t>
            </w:r>
          </w:p>
          <w:p>
            <w:pPr>
              <w:spacing w:before="0" w:after="0" w:line="237" w:lineRule="auto"/>
              <w:ind w:left="5" w:right="336"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r>
              <w:rPr>
                <w:sz w:val="20"/>
              </w:rPr>
              <w:t xml:space="preserve">Carry out a needs </w:t>
            </w:r>
          </w:p>
          <w:p>
            <w:pPr>
              <w:spacing w:before="0" w:after="0" w:line="259" w:lineRule="auto"/>
              <w:ind w:left="5" w:right="0" w:firstLine="0"/>
              <w:jc w:val="left"/>
            </w:pPr>
            <w:r>
              <w:rPr>
                <w:sz w:val="20"/>
              </w:rPr>
              <w:t xml:space="preserve">assessment of the schools</w:t>
            </w:r>
            <w:r>
              <w:rPr>
                <w:sz w:val="20"/>
              </w:rPr>
              <w:t xml:space="preserve"> </w:t>
            </w:r>
          </w:p>
          <w:p>
            <w:pPr>
              <w:spacing w:before="0" w:after="0" w:line="259" w:lineRule="auto"/>
              <w:ind w:left="5" w:right="0" w:firstLine="0"/>
              <w:jc w:val="left"/>
            </w:pPr>
            <w:r>
              <w:rPr>
                <w:sz w:val="20"/>
              </w:rPr>
              <w:t xml:space="preserve"> </w:t>
            </w:r>
          </w:p>
          <w:p>
            <w:pPr>
              <w:spacing w:before="0" w:after="0" w:line="237" w:lineRule="auto"/>
              <w:ind w:left="5" w:right="0" w:firstLine="0"/>
              <w:jc w:val="left"/>
            </w:pPr>
            <w:r>
              <w:rPr>
                <w:sz w:val="20"/>
              </w:rPr>
              <w:t xml:space="preserve">Procure and equip the schools with the </w:t>
            </w:r>
          </w:p>
          <w:p>
            <w:pPr>
              <w:spacing w:before="0" w:after="0" w:line="259" w:lineRule="auto"/>
              <w:ind w:left="5" w:right="0" w:firstLine="0"/>
              <w:jc w:val="left"/>
            </w:pPr>
            <w:r>
              <w:rPr>
                <w:sz w:val="20"/>
              </w:rPr>
              <w:t xml:space="preserve">equipment</w:t>
            </w: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Review the partnership </w:t>
            </w:r>
          </w:p>
          <w:p>
            <w:pPr>
              <w:spacing w:before="0" w:after="0" w:line="259" w:lineRule="auto"/>
              <w:ind w:left="5" w:right="0" w:firstLine="0"/>
              <w:jc w:val="left"/>
            </w:pPr>
            <w:r>
              <w:rPr>
                <w:sz w:val="20"/>
              </w:rPr>
              <w:t xml:space="preserve">between the schools and </w:t>
            </w:r>
          </w:p>
          <w:p>
            <w:pPr>
              <w:spacing w:before="0" w:after="0" w:line="259" w:lineRule="auto"/>
              <w:ind w:left="5" w:right="0" w:firstLine="0"/>
              <w:jc w:val="left"/>
            </w:pPr>
            <w:r>
              <w:rPr>
                <w:sz w:val="20"/>
              </w:rPr>
              <w:t xml:space="preserve">UNDP</w:t>
            </w: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0" w:line="273" w:lineRule="auto"/>
              <w:ind w:left="5" w:right="42" w:firstLine="0"/>
            </w:pPr>
            <w:r>
              <w:rPr>
                <w:sz w:val="20"/>
              </w:rPr>
              <w:t xml:space="preserve">OPM and line ministries, local authorities and UNDP, </w:t>
            </w:r>
          </w:p>
          <w:p>
            <w:pPr>
              <w:spacing w:before="0" w:after="0" w:line="259" w:lineRule="auto"/>
              <w:ind w:left="5" w:right="0" w:firstLine="0"/>
              <w:jc w:val="left"/>
            </w:pPr>
            <w:r>
              <w:rPr>
                <w:sz w:val="20"/>
              </w:rPr>
              <w:t xml:space="preserve">MOES</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16"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center"/>
          </w:tcPr>
          <w:p>
            <w:pPr>
              <w:spacing w:before="0" w:after="0" w:line="276" w:lineRule="auto"/>
              <w:ind w:left="0" w:right="0" w:firstLine="0"/>
              <w:jc w:val="left"/>
            </w:pPr>
            <w:r>
              <w:rPr>
                <w:sz w:val="20"/>
              </w:rPr>
              <w:t xml:space="preserve">Consultancy fees, professional services, purchase of tools and 	other equipment 	for </w:t>
            </w:r>
          </w:p>
          <w:p>
            <w:pPr>
              <w:spacing w:before="0" w:after="0" w:line="259" w:lineRule="auto"/>
              <w:ind w:left="0" w:right="0" w:firstLine="0"/>
              <w:jc w:val="left"/>
            </w:pPr>
            <w:r>
              <w:rPr>
                <w:sz w:val="20"/>
              </w:rPr>
              <w:t xml:space="preserve">the schools </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r>
    </w:tbl>
    <w:p>
      <w:pPr>
        <w:spacing w:before="0" w:after="0" w:line="259" w:lineRule="auto"/>
        <w:ind w:left="-1440" w:right="97" w:firstLine="0"/>
        <w:jc w:val="left"/>
      </w:pPr>
    </w:p>
    <w:tbl>
      <w:tblPr>
        <w:tblStyle w:val="TableGrid"/>
        <w:tblW w:w="12979" w:type="dxa"/>
        <w:tblInd w:w="-110" w:type="dxa"/>
        <w:tblCellMar>
          <w:top w:w="31" w:type="dxa"/>
          <w:left w:w="86" w:type="dxa"/>
          <w:bottom w:w="0" w:type="dxa"/>
          <w:right w:w="61" w:type="dxa"/>
        </w:tblCellMar>
      </w:tblPr>
      <w:tblGrid>
        <w:gridCol w:w="2179"/>
        <w:gridCol w:w="2448"/>
        <w:gridCol w:w="341"/>
        <w:gridCol w:w="341"/>
        <w:gridCol w:w="336"/>
        <w:gridCol w:w="341"/>
        <w:gridCol w:w="2266"/>
        <w:gridCol w:w="1402"/>
        <w:gridCol w:w="1709"/>
        <w:gridCol w:w="1618"/>
      </w:tblGrid>
      <w:tr>
        <w:trPr>
          <w:trHeight w:val="1416" w:hRule="atLeast"/>
        </w:trPr>
        <w:tc>
          <w:tcPr>
            <w:tcW w:w="2179" w:type="dxa"/>
            <w:vMerge w:val="restart"/>
            <w:tcBorders>
              <w:top w:val="single" w:sz="4" w:color="000000"/>
              <w:left w:val="single" w:sz="4" w:color="000000"/>
              <w:bottom w:val="single" w:sz="4" w:color="000000"/>
              <w:right w:val="single" w:sz="4" w:color="000000"/>
            </w:tcBorders>
            <w:vAlign w:val="top"/>
          </w:tcPr>
          <w:p>
            <w:pPr>
              <w:spacing w:before="0" w:after="24" w:line="235" w:lineRule="auto"/>
              <w:ind w:left="24" w:right="366" w:firstLine="0"/>
            </w:pPr>
            <w:r>
              <w:rPr>
                <w:sz w:val="18"/>
              </w:rPr>
              <w:t xml:space="preserve">groups/produce marketing groups involved in identified value chain</w:t>
            </w:r>
            <w:r>
              <w:rPr>
                <w:sz w:val="18"/>
              </w:rPr>
              <w:t xml:space="preserve"> </w:t>
            </w:r>
          </w:p>
          <w:p>
            <w:pPr>
              <w:spacing w:before="0" w:after="12" w:line="259" w:lineRule="auto"/>
              <w:ind w:left="24" w:right="0" w:firstLine="0"/>
              <w:jc w:val="left"/>
            </w:pPr>
            <w:r>
              <w:rPr>
                <w:sz w:val="20"/>
              </w:rPr>
              <w:t xml:space="preserve"> </w:t>
            </w:r>
          </w:p>
          <w:p>
            <w:pPr>
              <w:spacing w:before="0" w:after="22" w:line="259" w:lineRule="auto"/>
              <w:ind w:left="24" w:right="0" w:firstLine="0"/>
              <w:jc w:val="left"/>
            </w:pPr>
            <w:r>
              <w:rPr>
                <w:rFonts w:cs="Cambria" w:hAnsi="Cambria" w:eastAsia="Cambria" w:ascii="Cambria"/>
                <w:b w:val="1"/>
                <w:sz w:val="20"/>
              </w:rPr>
              <w:t xml:space="preserve">Targets (</w:t>
            </w:r>
            <w:r>
              <w:rPr>
                <w:rFonts w:cs="Cambria" w:hAnsi="Cambria" w:eastAsia="Cambria" w:ascii="Cambria"/>
                <w:b w:val="1"/>
                <w:sz w:val="20"/>
              </w:rPr>
              <w:t xml:space="preserve">2014</w:t>
            </w:r>
            <w:r>
              <w:rPr>
                <w:rFonts w:cs="Cambria" w:hAnsi="Cambria" w:eastAsia="Cambria" w:ascii="Cambria"/>
                <w:b w:val="1"/>
                <w:sz w:val="20"/>
              </w:rPr>
              <w:t xml:space="preserve">) </w:t>
            </w:r>
          </w:p>
          <w:p>
            <w:pPr>
              <w:numPr>
                <w:ilvl w:val="0"/>
                <w:numId w:val="27"/>
              </w:numPr>
              <w:spacing w:before="0" w:after="17" w:line="236" w:lineRule="auto"/>
              <w:ind w:left="139" w:right="0" w:hanging="139"/>
              <w:jc w:val="left"/>
            </w:pPr>
            <w:r>
              <w:rPr>
                <w:sz w:val="20"/>
              </w:rPr>
              <w:t xml:space="preserve">At least 300 trained youth linked with businesses for apprenticeship placement </w:t>
            </w:r>
            <w:r>
              <w:rPr>
                <w:sz w:val="20"/>
              </w:rPr>
              <w:t xml:space="preserve"> </w:t>
            </w:r>
          </w:p>
          <w:p>
            <w:pPr>
              <w:numPr>
                <w:ilvl w:val="0"/>
                <w:numId w:val="27"/>
              </w:numPr>
              <w:spacing w:before="0" w:after="17" w:line="235" w:lineRule="auto"/>
              <w:ind w:left="139" w:right="0" w:hanging="139"/>
              <w:jc w:val="left"/>
            </w:pPr>
            <w:r>
              <w:rPr>
                <w:sz w:val="20"/>
              </w:rPr>
              <w:t xml:space="preserve">At least 300 trained youth  organised in groups and equipped with tools of trade</w:t>
            </w:r>
            <w:r>
              <w:rPr>
                <w:sz w:val="20"/>
              </w:rPr>
              <w:t xml:space="preserve"> </w:t>
            </w:r>
          </w:p>
          <w:p>
            <w:pPr>
              <w:numPr>
                <w:ilvl w:val="0"/>
                <w:numId w:val="27"/>
              </w:numPr>
              <w:spacing w:before="0" w:after="3" w:line="234" w:lineRule="auto"/>
              <w:ind w:left="139" w:right="0" w:hanging="139"/>
              <w:jc w:val="left"/>
            </w:pPr>
            <w:r>
              <w:rPr>
                <w:sz w:val="20"/>
              </w:rPr>
              <w:t xml:space="preserve">Implementation of at least one priority intervention of the results of the value </w:t>
            </w:r>
          </w:p>
          <w:p>
            <w:pPr>
              <w:spacing w:before="0" w:after="0" w:line="259" w:lineRule="auto"/>
              <w:ind w:left="139" w:right="0" w:firstLine="0"/>
              <w:jc w:val="left"/>
            </w:pPr>
            <w:r>
              <w:rPr>
                <w:sz w:val="20"/>
              </w:rPr>
              <w:t xml:space="preserve">chain analysis</w:t>
            </w:r>
            <w:r>
              <w:rPr>
                <w:sz w:val="20"/>
              </w:rPr>
              <w:t xml:space="preserve"> </w:t>
            </w:r>
          </w:p>
          <w:p>
            <w:pPr>
              <w:spacing w:before="0" w:after="0" w:line="259" w:lineRule="auto"/>
              <w:ind w:left="24" w:right="0" w:firstLine="0"/>
              <w:jc w:val="left"/>
            </w:pPr>
            <w:r>
              <w:rPr>
                <w:rFonts w:cs="Cambria" w:hAnsi="Cambria" w:eastAsia="Cambria" w:ascii="Cambria"/>
                <w:i w:val="1"/>
                <w:sz w:val="20"/>
              </w:rPr>
              <w:t xml:space="preserve">  </w:t>
            </w:r>
          </w:p>
        </w:tc>
        <w:tc>
          <w:tcPr>
            <w:tcW w:w="2448"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3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19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448" w:type="dxa"/>
            <w:tcBorders>
              <w:top w:val="single" w:sz="4" w:color="000000"/>
              <w:left w:val="single" w:sz="4" w:color="000000"/>
              <w:bottom w:val="single" w:sz="4" w:color="000000"/>
              <w:right w:val="single" w:sz="4" w:color="000000"/>
            </w:tcBorders>
            <w:vAlign w:val="top"/>
          </w:tcPr>
          <w:p>
            <w:pPr>
              <w:spacing w:before="0" w:after="0" w:line="272" w:lineRule="auto"/>
              <w:ind w:left="24" w:right="8"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2.3:</w:t>
            </w:r>
            <w:r>
              <w:rPr>
                <w:rFonts w:cs="Cambria" w:hAnsi="Cambria" w:eastAsia="Cambria" w:ascii="Cambria"/>
                <w:b w:val="1"/>
                <w:sz w:val="20"/>
              </w:rPr>
              <w:t xml:space="preserve"> </w:t>
            </w:r>
            <w:r>
              <w:rPr>
                <w:sz w:val="20"/>
              </w:rPr>
              <w:t xml:space="preserve">Enterprises established and/or developed while at the same time invest in value chains for certain products to enhance alternative livelihoods and diversified economic opportunities</w:t>
            </w:r>
            <w:r>
              <w:rPr>
                <w:sz w:val="20"/>
              </w:rPr>
              <w:t xml:space="preserve"> </w:t>
            </w:r>
          </w:p>
          <w:p>
            <w:pPr>
              <w:spacing w:before="0" w:after="12" w:line="259" w:lineRule="auto"/>
              <w:ind w:left="24" w:right="0" w:firstLine="0"/>
              <w:jc w:val="left"/>
            </w:pPr>
            <w:r>
              <w:rPr>
                <w:sz w:val="20"/>
              </w:rPr>
              <w:t xml:space="preserve"> </w:t>
            </w:r>
          </w:p>
          <w:p>
            <w:pPr>
              <w:spacing w:before="0" w:after="7" w:line="259" w:lineRule="auto"/>
              <w:ind w:left="24"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37" w:lineRule="auto"/>
              <w:ind w:left="24" w:right="0" w:firstLine="0"/>
            </w:pPr>
            <w:r>
              <w:rPr>
                <w:sz w:val="20"/>
              </w:rPr>
              <w:t xml:space="preserve">-</w:t>
            </w:r>
            <w:r>
              <w:rPr>
                <w:sz w:val="20"/>
              </w:rPr>
              <w:t xml:space="preserve">Carry out value chain analysis of sunflower, soy </w:t>
            </w:r>
          </w:p>
          <w:p>
            <w:pPr>
              <w:spacing w:before="0" w:after="0" w:line="259" w:lineRule="auto"/>
              <w:ind w:left="24" w:right="0" w:firstLine="0"/>
              <w:jc w:val="left"/>
            </w:pPr>
            <w:r>
              <w:rPr>
                <w:sz w:val="20"/>
              </w:rPr>
              <w:t xml:space="preserve">beans, rice and cassava</w:t>
            </w:r>
            <w:r>
              <w:rPr>
                <w:sz w:val="20"/>
              </w:rPr>
              <w:t xml:space="preserve"> </w:t>
            </w:r>
          </w:p>
          <w:p>
            <w:pPr>
              <w:spacing w:before="0" w:after="0" w:line="259" w:lineRule="auto"/>
              <w:ind w:left="24" w:right="0" w:firstLine="0"/>
              <w:jc w:val="left"/>
            </w:pPr>
            <w:r>
              <w:rPr>
                <w:sz w:val="20"/>
              </w:rPr>
              <w:t xml:space="preserve"> </w:t>
            </w:r>
          </w:p>
          <w:p>
            <w:pPr>
              <w:spacing w:before="0" w:after="2" w:line="235" w:lineRule="auto"/>
              <w:ind w:left="24" w:right="0" w:firstLine="0"/>
              <w:jc w:val="left"/>
            </w:pPr>
            <w:r>
              <w:rPr>
                <w:sz w:val="20"/>
              </w:rPr>
              <w:t xml:space="preserve">-</w:t>
            </w:r>
            <w:r>
              <w:rPr>
                <w:sz w:val="20"/>
              </w:rPr>
              <w:t xml:space="preserve">Identify farmer groups within the started sub regions involved in</w:t>
            </w:r>
            <w:r>
              <w:rPr>
                <w:sz w:val="20"/>
              </w:rPr>
              <w:t xml:space="preserve"> </w:t>
            </w:r>
            <w:r>
              <w:rPr>
                <w:sz w:val="20"/>
              </w:rPr>
              <w:t xml:space="preserve">production of the four </w:t>
            </w:r>
          </w:p>
          <w:p>
            <w:pPr>
              <w:spacing w:before="0" w:after="0" w:line="259" w:lineRule="auto"/>
              <w:ind w:left="24" w:right="0" w:firstLine="0"/>
              <w:jc w:val="left"/>
            </w:pPr>
            <w:r>
              <w:rPr>
                <w:sz w:val="20"/>
              </w:rPr>
              <w:t xml:space="preserve">commodity crops</w:t>
            </w:r>
            <w:r>
              <w:rPr>
                <w:sz w:val="20"/>
              </w:rPr>
              <w:t xml:space="preserve"> </w:t>
            </w:r>
          </w:p>
          <w:p>
            <w:pPr>
              <w:spacing w:before="0" w:after="0" w:line="259" w:lineRule="auto"/>
              <w:ind w:left="24" w:right="0" w:firstLine="0"/>
              <w:jc w:val="left"/>
            </w:pPr>
            <w:r>
              <w:rPr>
                <w:sz w:val="20"/>
              </w:rPr>
              <w:t xml:space="preserve"> </w:t>
            </w:r>
          </w:p>
          <w:p>
            <w:pPr>
              <w:spacing w:before="0" w:after="1" w:line="236" w:lineRule="auto"/>
              <w:ind w:left="24" w:right="0" w:firstLine="0"/>
              <w:jc w:val="left"/>
            </w:pPr>
            <w:r>
              <w:rPr>
                <w:sz w:val="20"/>
              </w:rPr>
              <w:t xml:space="preserve">-</w:t>
            </w:r>
            <w:r>
              <w:rPr>
                <w:sz w:val="20"/>
              </w:rPr>
              <w:t xml:space="preserve">Identify and support women groups to form produce marketing groups and support their business including support to value addition</w:t>
            </w: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w:t>
            </w:r>
            <w:r>
              <w:rPr>
                <w:sz w:val="20"/>
              </w:rPr>
              <w:t xml:space="preserve">Review the support</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X</w:t>
            </w: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X</w:t>
            </w:r>
            <w:r>
              <w:rPr>
                <w:sz w:val="20"/>
              </w:rPr>
              <w:t xml:space="preserve"> </w:t>
            </w:r>
          </w:p>
          <w:p>
            <w:pPr>
              <w:spacing w:before="0" w:after="0" w:line="259" w:lineRule="auto"/>
              <w:ind w:left="24" w:right="0" w:firstLine="0"/>
              <w:jc w:val="left"/>
            </w:pPr>
            <w:r>
              <w:rPr>
                <w:sz w:val="20"/>
              </w:rPr>
              <w:t xml:space="preserve"> </w:t>
            </w:r>
          </w:p>
          <w:p>
            <w:pPr>
              <w:spacing w:before="0" w:after="12" w:line="259" w:lineRule="auto"/>
              <w:ind w:left="24" w:right="0" w:firstLine="0"/>
              <w:jc w:val="left"/>
            </w:pPr>
            <w:r>
              <w:rPr>
                <w:sz w:val="20"/>
              </w:rPr>
              <w:t xml:space="preserve"> </w:t>
            </w:r>
          </w:p>
          <w:p>
            <w:pPr>
              <w:spacing w:before="0" w:after="12" w:line="259" w:lineRule="auto"/>
              <w:ind w:left="24" w:right="0" w:firstLine="0"/>
              <w:jc w:val="left"/>
            </w:pPr>
            <w:r>
              <w:rPr>
                <w:sz w:val="20"/>
              </w:rPr>
              <w:t xml:space="preserve"> </w:t>
            </w:r>
          </w:p>
          <w:p>
            <w:pPr>
              <w:spacing w:before="0" w:after="7"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16" w:line="259" w:lineRule="auto"/>
              <w:ind w:left="24" w:right="0" w:firstLine="0"/>
              <w:jc w:val="left"/>
            </w:pPr>
            <w:r>
              <w:rPr>
                <w:sz w:val="20"/>
              </w:rPr>
              <w:t xml:space="preserve"> </w:t>
            </w:r>
          </w:p>
          <w:p>
            <w:pPr>
              <w:spacing w:before="0" w:after="0" w:line="271" w:lineRule="auto"/>
              <w:ind w:left="24" w:right="42" w:firstLine="0"/>
            </w:pPr>
            <w:r>
              <w:rPr>
                <w:sz w:val="20"/>
              </w:rPr>
              <w:t xml:space="preserve">OPM and line ministries, local authorities and UNDP, </w:t>
            </w:r>
          </w:p>
          <w:p>
            <w:pPr>
              <w:spacing w:before="0" w:after="0" w:line="259" w:lineRule="auto"/>
              <w:ind w:left="24" w:right="0" w:firstLine="0"/>
              <w:jc w:val="left"/>
            </w:pPr>
            <w:r>
              <w:rPr>
                <w:sz w:val="20"/>
              </w:rPr>
              <w:t xml:space="preserve">CSO/NGO</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12" w:line="259" w:lineRule="auto"/>
              <w:ind w:left="24" w:right="0" w:firstLine="0"/>
              <w:jc w:val="left"/>
            </w:pPr>
            <w:r>
              <w:rPr>
                <w:sz w:val="20"/>
              </w:rPr>
              <w:t xml:space="preserve">UNDP/BCPR </w:t>
            </w:r>
          </w:p>
          <w:p>
            <w:pPr>
              <w:spacing w:before="0" w:after="0" w:line="259" w:lineRule="auto"/>
              <w:ind w:left="24" w:right="0" w:firstLine="0"/>
              <w:jc w:val="left"/>
            </w:pPr>
            <w:r>
              <w:rPr>
                <w:sz w:val="20"/>
              </w:rPr>
              <w:t xml:space="preserve">and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center"/>
          </w:tcPr>
          <w:p>
            <w:pPr>
              <w:spacing w:before="0" w:after="0" w:line="259" w:lineRule="auto"/>
              <w:ind w:left="19" w:right="0" w:firstLine="0"/>
              <w:jc w:val="left"/>
            </w:pPr>
            <w:r>
              <w:rPr>
                <w:sz w:val="20"/>
              </w:rPr>
              <w:t xml:space="preserve">Consultancy fees, professional services,</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tc>
      </w:tr>
      <w:tr>
        <w:trPr>
          <w:trHeight w:val="715"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48" w:type="dxa"/>
            <w:tcBorders>
              <w:top w:val="single" w:sz="4" w:color="000000"/>
              <w:left w:val="single" w:sz="4" w:color="000000"/>
              <w:bottom w:val="single" w:sz="4" w:color="000000"/>
              <w:right w:val="single" w:sz="4" w:color="000000"/>
            </w:tcBorders>
            <w:vAlign w:val="top"/>
          </w:tcPr>
          <w:p>
            <w:pPr>
              <w:spacing w:before="0" w:after="12" w:line="259" w:lineRule="auto"/>
              <w:ind w:left="24"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2.4:</w:t>
            </w:r>
            <w:r>
              <w:rPr>
                <w:rFonts w:cs="Cambria" w:hAnsi="Cambria" w:eastAsia="Cambria" w:ascii="Cambria"/>
                <w:b w:val="1"/>
                <w:sz w:val="20"/>
              </w:rPr>
              <w:t xml:space="preserve"> </w:t>
            </w:r>
          </w:p>
          <w:p>
            <w:pPr>
              <w:spacing w:before="0" w:after="0" w:line="259" w:lineRule="auto"/>
              <w:ind w:left="24" w:right="0" w:firstLine="0"/>
              <w:jc w:val="left"/>
            </w:pPr>
            <w:r>
              <w:rPr>
                <w:sz w:val="20"/>
              </w:rPr>
              <w:t xml:space="preserve">Local markets developed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p>
            <w:pPr>
              <w:spacing w:before="0" w:after="0" w:line="259" w:lineRule="auto"/>
              <w:ind w:left="19"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p>
            <w:pPr>
              <w:spacing w:before="0" w:after="0" w:line="259" w:lineRule="auto"/>
              <w:ind w:left="24" w:right="0" w:firstLine="0"/>
              <w:jc w:val="left"/>
            </w:pP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0" w:line="259" w:lineRule="auto"/>
              <w:ind w:left="24" w:right="0" w:firstLine="0"/>
            </w:pPr>
            <w:r>
              <w:rPr>
                <w:sz w:val="20"/>
              </w:rPr>
              <w:t xml:space="preserve">OPM, Line Ministries, Local Authorities, </w:t>
            </w:r>
          </w:p>
        </w:tc>
        <w:tc>
          <w:tcPr>
            <w:tcW w:w="1402" w:type="dxa"/>
            <w:tcBorders>
              <w:top w:val="single" w:sz="4" w:color="000000"/>
              <w:left w:val="single" w:sz="4" w:color="000000"/>
              <w:bottom w:val="single" w:sz="4" w:color="000000"/>
              <w:right w:val="single" w:sz="4" w:color="000000"/>
            </w:tcBorders>
            <w:vAlign w:val="top"/>
          </w:tcPr>
          <w:p>
            <w:pPr>
              <w:spacing w:before="0" w:after="0" w:line="259" w:lineRule="auto"/>
              <w:ind w:left="24" w:right="0" w:firstLine="0"/>
              <w:jc w:val="left"/>
            </w:pPr>
            <w:r>
              <w:rPr>
                <w:sz w:val="20"/>
              </w:rPr>
              <w:t xml:space="preserve"> </w:t>
            </w:r>
          </w:p>
        </w:tc>
        <w:tc>
          <w:tcPr>
            <w:tcW w:w="1709"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19" w:right="0" w:firstLine="0"/>
              <w:jc w:val="left"/>
            </w:pPr>
            <w:r>
              <w:rPr>
                <w:sz w:val="20"/>
              </w:rPr>
              <w:t xml:space="preserve"> </w:t>
            </w:r>
          </w:p>
        </w:tc>
      </w:tr>
    </w:tbl>
    <w:p>
      <w:pPr>
        <w:spacing w:before="0" w:after="0" w:line="259" w:lineRule="auto"/>
        <w:ind w:left="-1440" w:right="97" w:firstLine="0"/>
        <w:jc w:val="left"/>
      </w:pPr>
    </w:p>
    <w:tbl>
      <w:tblPr>
        <w:tblStyle w:val="TableGrid"/>
        <w:tblW w:w="12976" w:type="dxa"/>
        <w:tblInd w:w="-107" w:type="dxa"/>
        <w:tblCellMar>
          <w:top w:w="34" w:type="dxa"/>
          <w:left w:w="106" w:type="dxa"/>
          <w:bottom w:w="0" w:type="dxa"/>
          <w:right w:w="61" w:type="dxa"/>
        </w:tblCellMar>
      </w:tblPr>
      <w:tblGrid>
        <w:gridCol w:w="2176"/>
        <w:gridCol w:w="91"/>
        <w:gridCol w:w="2357"/>
        <w:gridCol w:w="341"/>
        <w:gridCol w:w="341"/>
        <w:gridCol w:w="336"/>
        <w:gridCol w:w="341"/>
        <w:gridCol w:w="2266"/>
        <w:gridCol w:w="1402"/>
        <w:gridCol w:w="1708"/>
        <w:gridCol w:w="1619"/>
      </w:tblGrid>
      <w:tr>
        <w:trPr>
          <w:trHeight w:val="4513" w:hRule="atLeast"/>
        </w:trPr>
        <w:tc>
          <w:tcPr>
            <w:tcW w:w="217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448"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and/or established</w:t>
            </w: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1" w:line="236" w:lineRule="auto"/>
              <w:ind w:left="5" w:right="0" w:firstLine="0"/>
              <w:jc w:val="left"/>
            </w:pPr>
            <w:r>
              <w:rPr>
                <w:sz w:val="20"/>
              </w:rPr>
              <w:t xml:space="preserve">Carry out market assessment of the different commodity crops commonly produced in the sub regions</w:t>
            </w:r>
            <w:r>
              <w:rPr>
                <w:sz w:val="20"/>
              </w:rPr>
              <w:t xml:space="preserve"> </w:t>
            </w:r>
          </w:p>
          <w:p>
            <w:pPr>
              <w:spacing w:before="0" w:after="0" w:line="259" w:lineRule="auto"/>
              <w:ind w:left="5" w:right="0" w:firstLine="0"/>
              <w:jc w:val="left"/>
            </w:pPr>
            <w:r>
              <w:rPr>
                <w:sz w:val="20"/>
              </w:rPr>
              <w:t xml:space="preserve"> </w:t>
            </w:r>
          </w:p>
          <w:p>
            <w:pPr>
              <w:spacing w:before="0" w:after="0" w:line="271" w:lineRule="auto"/>
              <w:ind w:left="5" w:right="7" w:firstLine="0"/>
              <w:jc w:val="left"/>
            </w:pPr>
            <w:r>
              <w:rPr>
                <w:sz w:val="20"/>
              </w:rPr>
              <w:t xml:space="preserve">Development market information system and provide information to the farmers</w:t>
            </w:r>
            <w:r>
              <w:rPr>
                <w:sz w:val="20"/>
              </w:rPr>
              <w:t xml:space="preserve"> </w:t>
            </w:r>
          </w:p>
          <w:p>
            <w:pPr>
              <w:spacing w:before="0" w:after="7" w:line="259" w:lineRule="auto"/>
              <w:ind w:left="5" w:right="0" w:firstLine="0"/>
              <w:jc w:val="left"/>
            </w:pPr>
            <w:r>
              <w:rPr>
                <w:sz w:val="20"/>
              </w:rPr>
              <w:t xml:space="preserve"> </w:t>
            </w:r>
          </w:p>
          <w:p>
            <w:pPr>
              <w:spacing w:before="0" w:after="0" w:line="259" w:lineRule="auto"/>
              <w:ind w:left="5" w:right="0" w:firstLine="0"/>
              <w:jc w:val="left"/>
            </w:pPr>
            <w:r>
              <w:rPr>
                <w:sz w:val="20"/>
              </w:rPr>
              <w:t xml:space="preserve">Link produce marketing groups to existing markets (WFP)</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8" w:line="271" w:lineRule="auto"/>
              <w:ind w:left="5" w:right="0" w:firstLine="0"/>
              <w:jc w:val="left"/>
            </w:pPr>
            <w:r>
              <w:rPr>
                <w:sz w:val="20"/>
              </w:rPr>
              <w:t xml:space="preserve">UNDP, Specialized UN agencies.</w:t>
            </w:r>
            <w:r>
              <w:rPr>
                <w:sz w:val="20"/>
              </w:rPr>
              <w:t xml:space="preserve"> </w:t>
            </w:r>
          </w:p>
          <w:p>
            <w:pPr>
              <w:tabs>
                <w:tab w:val="center" w:pos="441"/>
                <w:tab w:val="center" w:pos="1748"/>
              </w:tabs>
              <w:spacing w:before="0" w:after="21" w:line="259" w:lineRule="auto"/>
              <w:ind w:left="0" w:right="0" w:firstLine="0"/>
              <w:jc w:val="left"/>
            </w:pPr>
            <w:r>
              <w:rPr>
                <w:rFonts w:cs="Calibri" w:hAnsi="Calibri" w:eastAsia="Calibri" w:ascii="Calibri"/>
                <w:sz w:val="22"/>
              </w:rPr>
              <w:t xml:space="preserve">	</w:t>
            </w:r>
            <w:r>
              <w:rPr>
                <w:sz w:val="20"/>
              </w:rPr>
              <w:t xml:space="preserve">NGO/CSO, 	Private </w:t>
            </w:r>
          </w:p>
          <w:p>
            <w:pPr>
              <w:spacing w:before="0" w:after="12" w:line="259" w:lineRule="auto"/>
              <w:ind w:left="5" w:right="0" w:firstLine="0"/>
              <w:jc w:val="left"/>
            </w:pPr>
            <w:r>
              <w:rPr>
                <w:sz w:val="20"/>
              </w:rPr>
              <w:t xml:space="preserve">sector</w:t>
            </w:r>
            <w:r>
              <w:rPr>
                <w:sz w:val="20"/>
              </w:rPr>
              <w:t xml:space="preserve"> </w:t>
            </w:r>
          </w:p>
          <w:p>
            <w:pPr>
              <w:spacing w:before="0" w:after="0" w:line="259" w:lineRule="auto"/>
              <w:ind w:left="5" w:right="0" w:firstLine="0"/>
              <w:jc w:val="left"/>
            </w:pP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42" w:hRule="atLeast"/>
        </w:trPr>
        <w:tc>
          <w:tcPr>
            <w:tcW w:w="11357" w:type="dxa"/>
            <w:gridSpan w:val="10"/>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0"/>
              </w:rPr>
              <w:t xml:space="preserve">Sub Total</w:t>
            </w:r>
            <w:r>
              <w:rPr>
                <w:rFonts w:cs="Cambria" w:hAnsi="Cambria" w:eastAsia="Cambria" w:ascii="Cambria"/>
                <w:b w:val="1"/>
                <w:sz w:val="20"/>
              </w:rPr>
              <w:t xml:space="preserve"> – </w:t>
            </w:r>
            <w:r>
              <w:rPr>
                <w:rFonts w:cs="Cambria" w:hAnsi="Cambria" w:eastAsia="Cambria" w:ascii="Cambria"/>
                <w:b w:val="1"/>
                <w:sz w:val="20"/>
              </w:rPr>
              <w:t xml:space="preserve">Output 2</w:t>
            </w:r>
            <w:r>
              <w:rPr>
                <w:rFonts w:cs="Cambria" w:hAnsi="Cambria" w:eastAsia="Cambria" w:ascii="Cambria"/>
                <w:b w:val="1"/>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470,000</w:t>
            </w:r>
            <w:r>
              <w:rPr>
                <w:rFonts w:cs="Cambria" w:hAnsi="Cambria" w:eastAsia="Cambria" w:ascii="Cambria"/>
                <w:b w:val="1"/>
                <w:sz w:val="20"/>
              </w:rPr>
              <w:t xml:space="preserve"> </w:t>
            </w:r>
          </w:p>
        </w:tc>
      </w:tr>
      <w:tr>
        <w:trPr>
          <w:trHeight w:val="4489" w:hRule="atLeast"/>
        </w:trPr>
        <w:tc>
          <w:tcPr>
            <w:tcW w:w="2267" w:type="dxa"/>
            <w:gridSpan w:val="2"/>
            <w:tcBorders>
              <w:top w:val="single" w:sz="4" w:color="000000"/>
              <w:left w:val="single" w:sz="4" w:color="000000"/>
              <w:bottom w:val="single" w:sz="4" w:color="000000"/>
              <w:right w:val="single" w:sz="4" w:color="000000"/>
            </w:tcBorders>
            <w:vAlign w:val="top"/>
          </w:tcPr>
          <w:p>
            <w:pPr>
              <w:spacing w:before="0" w:after="0" w:line="271" w:lineRule="auto"/>
              <w:ind w:left="1" w:right="0" w:firstLine="0"/>
            </w:pPr>
            <w:r>
              <w:rPr>
                <w:rFonts w:cs="Cambria" w:hAnsi="Cambria" w:eastAsia="Cambria" w:ascii="Cambria"/>
                <w:b w:val="1"/>
                <w:sz w:val="20"/>
              </w:rPr>
              <w:t xml:space="preserve">Output 3: </w:t>
            </w:r>
            <w:r>
              <w:rPr>
                <w:sz w:val="20"/>
              </w:rPr>
              <w:t xml:space="preserve">Peaceful and sustainable mining in </w:t>
            </w:r>
          </w:p>
          <w:p>
            <w:pPr>
              <w:spacing w:before="0" w:after="16" w:line="259" w:lineRule="auto"/>
              <w:ind w:left="1" w:right="0" w:firstLine="0"/>
              <w:jc w:val="left"/>
            </w:pPr>
            <w:r>
              <w:rPr>
                <w:sz w:val="20"/>
              </w:rPr>
              <w:t xml:space="preserve">Northern Uganda</w:t>
            </w:r>
            <w:r>
              <w:rPr>
                <w:rFonts w:cs="Cambria" w:hAnsi="Cambria" w:eastAsia="Cambria" w:ascii="Cambria"/>
                <w:b w:val="1"/>
                <w:sz w:val="20"/>
              </w:rPr>
              <w:t xml:space="preserve"> </w:t>
            </w:r>
          </w:p>
          <w:p>
            <w:pPr>
              <w:spacing w:before="0" w:after="12" w:line="259" w:lineRule="auto"/>
              <w:ind w:left="1" w:right="0" w:firstLine="0"/>
              <w:jc w:val="left"/>
            </w:pPr>
            <w:r>
              <w:rPr>
                <w:sz w:val="20"/>
              </w:rPr>
              <w:t xml:space="preserve"> </w:t>
            </w:r>
          </w:p>
          <w:p>
            <w:pPr>
              <w:spacing w:before="0" w:after="12" w:line="259" w:lineRule="auto"/>
              <w:ind w:left="1" w:right="0" w:firstLine="0"/>
              <w:jc w:val="left"/>
            </w:pPr>
            <w:r>
              <w:rPr>
                <w:rFonts w:cs="Cambria" w:hAnsi="Cambria" w:eastAsia="Cambria" w:ascii="Cambria"/>
                <w:b w:val="1"/>
                <w:i w:val="1"/>
                <w:sz w:val="20"/>
              </w:rPr>
              <w:t xml:space="preserve">Baseline:</w:t>
            </w:r>
            <w:r>
              <w:rPr>
                <w:rFonts w:cs="Cambria" w:hAnsi="Cambria" w:eastAsia="Cambria" w:ascii="Cambria"/>
                <w:b w:val="1"/>
                <w:i w:val="1"/>
                <w:sz w:val="20"/>
              </w:rPr>
              <w:t xml:space="preserve"> </w:t>
            </w:r>
          </w:p>
          <w:p>
            <w:pPr>
              <w:spacing w:before="0" w:after="12" w:line="259" w:lineRule="auto"/>
              <w:ind w:left="1" w:right="0" w:firstLine="0"/>
              <w:jc w:val="left"/>
            </w:pPr>
            <w:r>
              <w:rPr>
                <w:rFonts w:cs="Cambria" w:hAnsi="Cambria" w:eastAsia="Cambria" w:ascii="Cambria"/>
                <w:b w:val="1"/>
                <w:i w:val="1"/>
                <w:sz w:val="20"/>
              </w:rPr>
              <w:t xml:space="preserve"> </w:t>
            </w:r>
          </w:p>
          <w:p>
            <w:pPr>
              <w:spacing w:before="0" w:after="12" w:line="259" w:lineRule="auto"/>
              <w:ind w:left="1" w:right="0" w:firstLine="0"/>
              <w:jc w:val="left"/>
            </w:pPr>
            <w:r>
              <w:rPr>
                <w:rFonts w:cs="Cambria" w:hAnsi="Cambria" w:eastAsia="Cambria" w:ascii="Cambria"/>
                <w:i w:val="1"/>
                <w:sz w:val="20"/>
              </w:rPr>
              <w:t xml:space="preserve">TBD</w:t>
            </w: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0" w:line="259" w:lineRule="auto"/>
              <w:ind w:left="1" w:right="0" w:firstLine="0"/>
              <w:jc w:val="left"/>
            </w:pPr>
            <w:r>
              <w:rPr>
                <w:rFonts w:cs="Cambria" w:hAnsi="Cambria" w:eastAsia="Cambria" w:ascii="Cambria"/>
                <w:b w:val="1"/>
                <w:i w:val="1"/>
                <w:sz w:val="20"/>
              </w:rPr>
              <w:t xml:space="preserve">Indicators:</w:t>
            </w:r>
            <w:r>
              <w:rPr>
                <w:rFonts w:cs="Cambria" w:hAnsi="Cambria" w:eastAsia="Cambria" w:ascii="Cambria"/>
                <w:b w:val="1"/>
                <w:i w:val="1"/>
                <w:sz w:val="20"/>
              </w:rPr>
              <w:t xml:space="preserve"> </w:t>
            </w:r>
          </w:p>
          <w:p>
            <w:pPr>
              <w:spacing w:before="0" w:after="0" w:line="270" w:lineRule="auto"/>
              <w:ind w:left="1" w:right="43" w:firstLine="0"/>
            </w:pPr>
            <w:r>
              <w:rPr>
                <w:sz w:val="18"/>
              </w:rPr>
              <w:t xml:space="preserve">- </w:t>
            </w:r>
            <w:r>
              <w:rPr>
                <w:sz w:val="18"/>
              </w:rPr>
              <w:t xml:space="preserve">Information/data on the status of</w:t>
            </w:r>
            <w:r>
              <w:rPr>
                <w:sz w:val="18"/>
              </w:rPr>
              <w:t xml:space="preserve"> </w:t>
            </w:r>
            <w:r>
              <w:rPr>
                <w:sz w:val="18"/>
              </w:rPr>
              <w:t xml:space="preserve">mineral exploration and mining in </w:t>
            </w:r>
          </w:p>
          <w:p>
            <w:pPr>
              <w:spacing w:before="0" w:after="36" w:line="259" w:lineRule="auto"/>
              <w:ind w:left="1" w:right="0" w:firstLine="0"/>
              <w:jc w:val="left"/>
            </w:pPr>
            <w:r>
              <w:rPr>
                <w:sz w:val="18"/>
              </w:rPr>
              <w:t xml:space="preserve">Karamoja in place</w:t>
            </w:r>
            <w:r>
              <w:rPr>
                <w:sz w:val="18"/>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0" w:line="259" w:lineRule="auto"/>
              <w:ind w:left="1" w:right="0" w:firstLine="0"/>
              <w:jc w:val="left"/>
            </w:pPr>
            <w:r>
              <w:rPr>
                <w:rFonts w:cs="Cambria" w:hAnsi="Cambria" w:eastAsia="Cambria" w:ascii="Cambria"/>
                <w:i w:val="1"/>
                <w:sz w:val="20"/>
              </w:rPr>
              <w:t xml:space="preserve"> </w:t>
            </w:r>
          </w:p>
        </w:tc>
        <w:tc>
          <w:tcPr>
            <w:tcW w:w="2357" w:type="dxa"/>
            <w:tcBorders>
              <w:top w:val="single" w:sz="4" w:color="000000"/>
              <w:left w:val="single" w:sz="4" w:color="000000"/>
              <w:bottom w:val="single" w:sz="4" w:color="000000"/>
              <w:right w:val="single" w:sz="4" w:color="000000"/>
            </w:tcBorders>
            <w:vAlign w:val="top"/>
          </w:tcPr>
          <w:p>
            <w:pPr>
              <w:tabs>
                <w:tab w:val="center" w:pos="354"/>
                <w:tab w:val="center" w:pos="1251"/>
                <w:tab w:val="center" w:pos="1967"/>
              </w:tabs>
              <w:spacing w:before="0" w:after="0" w:line="259" w:lineRule="auto"/>
              <w:ind w:left="0" w:right="0" w:firstLine="0"/>
              <w:jc w:val="left"/>
            </w:pPr>
            <w:r>
              <w:rPr>
                <w:rFonts w:cs="Calibri" w:hAnsi="Calibri" w:eastAsia="Calibri" w:ascii="Calibri"/>
                <w:sz w:val="22"/>
              </w:rPr>
              <w:t xml:space="preserve">	</w:t>
            </w: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3.1:</w:t>
            </w:r>
            <w:r>
              <w:rPr>
                <w:rFonts w:cs="Cambria" w:hAnsi="Cambria" w:eastAsia="Cambria" w:ascii="Cambria"/>
                <w:b w:val="1"/>
                <w:i w:val="1"/>
                <w:sz w:val="22"/>
              </w:rPr>
              <w:t xml:space="preserve"> </w:t>
            </w:r>
          </w:p>
          <w:p>
            <w:pPr>
              <w:spacing w:before="0" w:after="0" w:line="272" w:lineRule="auto"/>
              <w:ind w:left="0" w:right="44" w:firstLine="0"/>
            </w:pPr>
            <w:r>
              <w:rPr>
                <w:sz w:val="20"/>
              </w:rPr>
              <w:t xml:space="preserve">Research and assessment of the status of mineral exploration and mining</w:t>
            </w:r>
            <w:r>
              <w:rPr>
                <w:sz w:val="20"/>
              </w:rPr>
              <w:t xml:space="preserve"> </w:t>
            </w:r>
            <w:r>
              <w:rPr>
                <w:sz w:val="20"/>
              </w:rPr>
              <w:t xml:space="preserve">in Acholi and </w:t>
            </w:r>
          </w:p>
          <w:p>
            <w:pPr>
              <w:spacing w:before="0" w:after="12" w:line="259" w:lineRule="auto"/>
              <w:ind w:left="0" w:right="0" w:firstLine="0"/>
              <w:jc w:val="left"/>
            </w:pPr>
            <w:r>
              <w:rPr>
                <w:sz w:val="20"/>
              </w:rPr>
              <w:t xml:space="preserve">Karamoja</w:t>
            </w: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73" w:lineRule="auto"/>
              <w:ind w:left="0" w:right="44" w:firstLine="0"/>
            </w:pPr>
            <w:r>
              <w:rPr>
                <w:sz w:val="20"/>
              </w:rPr>
              <w:t xml:space="preserve">-</w:t>
            </w:r>
            <w:r>
              <w:rPr>
                <w:sz w:val="20"/>
              </w:rPr>
              <w:t xml:space="preserve">Identify researchers that are familiar with mining</w:t>
            </w: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44" w:firstLine="0"/>
              <w:jc w:val="left"/>
            </w:pPr>
            <w:r>
              <w:rPr>
                <w:sz w:val="20"/>
              </w:rPr>
              <w:t xml:space="preserve">-</w:t>
            </w:r>
            <w:r>
              <w:rPr>
                <w:sz w:val="20"/>
              </w:rPr>
              <w:t xml:space="preserve">Research/assessment of sustainable mineral exploration and mining</w:t>
            </w:r>
            <w:r>
              <w:rPr>
                <w:rFonts w:cs="Cambria" w:hAnsi="Cambria" w:eastAsia="Cambria" w:ascii="Cambria"/>
                <w:b w:val="1"/>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0"/>
              </w:rPr>
              <w:t xml:space="preserve">X</w:t>
            </w:r>
            <w:r>
              <w:rPr>
                <w:rFonts w:cs="Cambria" w:hAnsi="Cambria" w:eastAsia="Cambria" w:ascii="Cambria"/>
                <w:b w:val="1"/>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0"/>
              </w:rPr>
              <w:t xml:space="preserve">X</w:t>
            </w:r>
            <w:r>
              <w:rPr>
                <w:rFonts w:cs="Cambria" w:hAnsi="Cambria" w:eastAsia="Cambria" w:ascii="Cambria"/>
                <w:b w:val="1"/>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b w:val="1"/>
                <w:sz w:val="20"/>
              </w:rPr>
              <w:t xml:space="preserve">X</w:t>
            </w:r>
            <w:r>
              <w:rPr>
                <w:rFonts w:cs="Cambria" w:hAnsi="Cambria" w:eastAsia="Cambria" w:ascii="Cambria"/>
                <w:b w:val="1"/>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X</w:t>
            </w:r>
            <w:r>
              <w:rPr>
                <w:rFonts w:cs="Cambria" w:hAnsi="Cambria" w:eastAsia="Cambria" w:ascii="Cambria"/>
                <w:b w:val="1"/>
                <w:sz w:val="20"/>
              </w:rPr>
              <w:t xml:space="preserve"> </w:t>
            </w:r>
          </w:p>
        </w:tc>
        <w:tc>
          <w:tcPr>
            <w:tcW w:w="2266" w:type="dxa"/>
            <w:tcBorders>
              <w:top w:val="single" w:sz="4" w:color="000000"/>
              <w:left w:val="single" w:sz="4" w:color="000000"/>
              <w:bottom w:val="single" w:sz="4" w:color="000000"/>
              <w:right w:val="single" w:sz="4" w:color="000000"/>
            </w:tcBorders>
            <w:vAlign w:val="top"/>
          </w:tcPr>
          <w:p>
            <w:pPr>
              <w:spacing w:before="0" w:after="0" w:line="276" w:lineRule="auto"/>
              <w:ind w:left="5" w:right="0" w:firstLine="0"/>
              <w:jc w:val="left"/>
            </w:pPr>
            <w:r>
              <w:rPr>
                <w:sz w:val="20"/>
              </w:rPr>
              <w:t xml:space="preserve">OPM, Line Ministries, Local 	Authorities, UNDP, Specialized UN agencies.</w:t>
            </w:r>
            <w:r>
              <w:rPr>
                <w:sz w:val="20"/>
              </w:rPr>
              <w:t xml:space="preserve"> </w:t>
            </w:r>
          </w:p>
          <w:p>
            <w:pPr>
              <w:spacing w:before="0" w:after="12" w:line="259" w:lineRule="auto"/>
              <w:ind w:left="5" w:right="0" w:firstLine="0"/>
              <w:jc w:val="left"/>
            </w:pPr>
            <w:r>
              <w:rPr>
                <w:sz w:val="20"/>
              </w:rPr>
              <w:t xml:space="preserve">NGO/CSO</w:t>
            </w:r>
            <w:r>
              <w:rPr>
                <w:sz w:val="20"/>
              </w:rPr>
              <w:t xml:space="preserve"> </w:t>
            </w:r>
          </w:p>
          <w:p>
            <w:pPr>
              <w:spacing w:before="0" w:after="0" w:line="259" w:lineRule="auto"/>
              <w:ind w:left="5" w:right="0" w:firstLine="0"/>
              <w:jc w:val="left"/>
            </w:pPr>
            <w:r>
              <w:rPr>
                <w:sz w:val="20"/>
              </w:rPr>
              <w:t xml:space="preserve">Private sector</w:t>
            </w: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UNDP/BCPR </w:t>
            </w:r>
          </w:p>
          <w:p>
            <w:pPr>
              <w:spacing w:before="0" w:after="0" w:line="259" w:lineRule="auto"/>
              <w:ind w:left="5" w:right="0" w:firstLine="0"/>
              <w:jc w:val="left"/>
            </w:pPr>
            <w:r>
              <w:rPr>
                <w:sz w:val="20"/>
              </w:rPr>
              <w:t xml:space="preserve">and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top"/>
          </w:tcPr>
          <w:p>
            <w:pPr>
              <w:spacing w:before="0" w:after="5" w:line="271" w:lineRule="auto"/>
              <w:ind w:left="0" w:right="0" w:firstLine="0"/>
              <w:jc w:val="left"/>
            </w:pPr>
            <w:r>
              <w:rPr>
                <w:sz w:val="20"/>
              </w:rPr>
              <w:t xml:space="preserve">Consultancy fees, professional services</w:t>
            </w:r>
            <w:r>
              <w:rPr>
                <w:sz w:val="20"/>
              </w:rPr>
              <w:t xml:space="preserve"> </w:t>
            </w:r>
          </w:p>
          <w:p>
            <w:pPr>
              <w:spacing w:before="0" w:after="0" w:line="259" w:lineRule="auto"/>
              <w:ind w:left="0" w:right="0" w:firstLine="0"/>
              <w:jc w:val="left"/>
            </w:pP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 </w:t>
            </w:r>
          </w:p>
        </w:tc>
      </w:tr>
    </w:tbl>
    <w:p>
      <w:pPr>
        <w:spacing w:before="0" w:after="0" w:line="259" w:lineRule="auto"/>
        <w:ind w:left="-1440" w:right="97" w:firstLine="0"/>
        <w:jc w:val="left"/>
      </w:pPr>
    </w:p>
    <w:tbl>
      <w:tblPr>
        <w:tblStyle w:val="TableGrid"/>
        <w:tblW w:w="12976" w:type="dxa"/>
        <w:tblInd w:w="-107" w:type="dxa"/>
        <w:tblCellMar>
          <w:top w:w="31" w:type="dxa"/>
          <w:left w:w="106" w:type="dxa"/>
          <w:bottom w:w="0" w:type="dxa"/>
          <w:right w:w="61" w:type="dxa"/>
        </w:tblCellMar>
      </w:tblPr>
      <w:tblGrid>
        <w:gridCol w:w="2267"/>
        <w:gridCol w:w="2357"/>
        <w:gridCol w:w="341"/>
        <w:gridCol w:w="341"/>
        <w:gridCol w:w="336"/>
        <w:gridCol w:w="341"/>
        <w:gridCol w:w="2266"/>
        <w:gridCol w:w="1402"/>
        <w:gridCol w:w="1708"/>
        <w:gridCol w:w="1619"/>
      </w:tblGrid>
      <w:tr>
        <w:trPr>
          <w:trHeight w:val="2032" w:hRule="atLeast"/>
        </w:trPr>
        <w:tc>
          <w:tcPr>
            <w:tcW w:w="2267" w:type="dxa"/>
            <w:tcBorders>
              <w:top w:val="single" w:sz="4" w:color="000000"/>
              <w:left w:val="single" w:sz="4" w:color="000000"/>
              <w:bottom w:val="single" w:sz="4" w:color="000000"/>
              <w:right w:val="single" w:sz="4" w:color="000000"/>
            </w:tcBorders>
            <w:vAlign w:val="top"/>
          </w:tcPr>
          <w:p>
            <w:pPr>
              <w:spacing w:before="0" w:after="12" w:line="259" w:lineRule="auto"/>
              <w:ind w:left="1" w:right="0" w:firstLine="0"/>
              <w:jc w:val="left"/>
            </w:pPr>
            <w:r>
              <w:rPr>
                <w:rFonts w:cs="Cambria" w:hAnsi="Cambria" w:eastAsia="Cambria" w:ascii="Cambria"/>
                <w:b w:val="1"/>
                <w:i w:val="1"/>
                <w:sz w:val="18"/>
              </w:rPr>
              <w:t xml:space="preserve">Annual Targets</w:t>
            </w:r>
            <w:r>
              <w:rPr>
                <w:rFonts w:cs="Cambria" w:hAnsi="Cambria" w:eastAsia="Cambria" w:ascii="Cambria"/>
                <w:b w:val="1"/>
                <w:i w:val="1"/>
                <w:sz w:val="18"/>
              </w:rPr>
              <w:t xml:space="preserve"> (2014)</w:t>
            </w:r>
            <w:r>
              <w:rPr>
                <w:rFonts w:cs="Cambria" w:hAnsi="Cambria" w:eastAsia="Cambria" w:ascii="Cambria"/>
                <w:b w:val="1"/>
                <w:i w:val="1"/>
                <w:sz w:val="18"/>
              </w:rPr>
              <w:t xml:space="preserve">:</w:t>
            </w:r>
            <w:r>
              <w:rPr>
                <w:rFonts w:cs="Cambria" w:hAnsi="Cambria" w:eastAsia="Cambria" w:ascii="Cambria"/>
                <w:b w:val="1"/>
                <w:i w:val="1"/>
                <w:sz w:val="18"/>
              </w:rPr>
              <w:t xml:space="preserve"> </w:t>
            </w:r>
          </w:p>
          <w:p>
            <w:pPr>
              <w:spacing w:before="0" w:after="11" w:line="270" w:lineRule="auto"/>
              <w:ind w:left="1" w:right="44" w:firstLine="0"/>
            </w:pPr>
            <w:r>
              <w:rPr>
                <w:sz w:val="18"/>
              </w:rPr>
              <w:t xml:space="preserve">-</w:t>
            </w:r>
            <w:r>
              <w:rPr>
                <w:sz w:val="18"/>
              </w:rPr>
              <w:t xml:space="preserve">Research on the status of mineral exploration and mining in Karamoja and </w:t>
            </w:r>
          </w:p>
          <w:p>
            <w:pPr>
              <w:spacing w:before="0" w:after="15" w:line="259" w:lineRule="auto"/>
              <w:ind w:left="1" w:right="0" w:firstLine="0"/>
              <w:jc w:val="left"/>
            </w:pPr>
            <w:r>
              <w:rPr>
                <w:sz w:val="18"/>
              </w:rPr>
              <w:t xml:space="preserve">Acholi</w:t>
            </w: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i w:val="1"/>
                <w:sz w:val="20"/>
              </w:rPr>
              <w:t xml:space="preserve"> </w:t>
            </w:r>
          </w:p>
          <w:p>
            <w:pPr>
              <w:spacing w:before="0" w:after="12" w:line="259" w:lineRule="auto"/>
              <w:ind w:left="1" w:right="0" w:firstLine="0"/>
              <w:jc w:val="left"/>
            </w:pPr>
            <w:r>
              <w:rPr>
                <w:rFonts w:cs="Cambria" w:hAnsi="Cambria" w:eastAsia="Cambria" w:ascii="Cambria"/>
                <w:b w:val="1"/>
                <w:i w:val="1"/>
                <w:sz w:val="20"/>
              </w:rPr>
              <w:t xml:space="preserve"> </w:t>
            </w:r>
          </w:p>
          <w:p>
            <w:pPr>
              <w:spacing w:before="0" w:after="0" w:line="259" w:lineRule="auto"/>
              <w:ind w:left="1" w:right="0" w:firstLine="0"/>
              <w:jc w:val="left"/>
            </w:pPr>
            <w:r>
              <w:rPr>
                <w:rFonts w:cs="Cambria" w:hAnsi="Cambria" w:eastAsia="Cambria" w:ascii="Cambria"/>
                <w:b w:val="1"/>
                <w:i w:val="1"/>
                <w:sz w:val="20"/>
              </w:rPr>
              <w:t xml:space="preserve"> </w:t>
            </w:r>
          </w:p>
        </w:tc>
        <w:tc>
          <w:tcPr>
            <w:tcW w:w="235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36"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341"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266"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1708"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bottom"/>
          </w:tcPr>
          <w:p>
            <w:pPr>
              <w:bidi w:val="0"/>
              <w:spacing w:before="0" w:after="160" w:line="259" w:lineRule="auto"/>
              <w:ind w:left="0" w:right="0" w:firstLine="0"/>
              <w:jc w:val="left"/>
            </w:pPr>
          </w:p>
        </w:tc>
      </w:tr>
      <w:tr>
        <w:trPr>
          <w:trHeight w:val="266" w:hRule="atLeast"/>
        </w:trPr>
        <w:tc>
          <w:tcPr>
            <w:tcW w:w="11357" w:type="dxa"/>
            <w:gridSpan w:val="9"/>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1" w:right="0" w:firstLine="0"/>
              <w:jc w:val="left"/>
            </w:pPr>
            <w:r>
              <w:rPr>
                <w:rFonts w:cs="Cambria" w:hAnsi="Cambria" w:eastAsia="Cambria" w:ascii="Cambria"/>
                <w:b w:val="1"/>
                <w:sz w:val="22"/>
              </w:rPr>
              <w:t xml:space="preserve">Sub Total </w:t>
            </w:r>
            <w:r>
              <w:rPr>
                <w:rFonts w:cs="Cambria" w:hAnsi="Cambria" w:eastAsia="Cambria" w:ascii="Cambria"/>
                <w:b w:val="1"/>
                <w:sz w:val="22"/>
              </w:rPr>
              <w:t xml:space="preserve">-</w:t>
            </w:r>
            <w:r>
              <w:rPr>
                <w:rFonts w:cs="Cambria" w:hAnsi="Cambria" w:eastAsia="Cambria" w:ascii="Cambria"/>
                <w:b w:val="1"/>
                <w:sz w:val="22"/>
              </w:rPr>
              <w:t xml:space="preserve">Output 3</w:t>
            </w:r>
            <w:r>
              <w:rPr>
                <w:rFonts w:cs="Cambria" w:hAnsi="Cambria" w:eastAsia="Cambria" w:ascii="Cambria"/>
                <w:b w:val="1"/>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mbria" w:hAnsi="Cambria" w:eastAsia="Cambria" w:ascii="Cambria"/>
                <w:b w:val="1"/>
                <w:sz w:val="20"/>
              </w:rPr>
              <w:t xml:space="preserve">200,000</w:t>
            </w:r>
            <w:r>
              <w:rPr>
                <w:rFonts w:cs="Cambria" w:hAnsi="Cambria" w:eastAsia="Cambria" w:ascii="Cambria"/>
                <w:b w:val="1"/>
                <w:sz w:val="20"/>
              </w:rPr>
              <w:t xml:space="preserve"> </w:t>
            </w:r>
          </w:p>
        </w:tc>
      </w:tr>
      <w:tr>
        <w:trPr>
          <w:trHeight w:val="5180" w:hRule="atLeast"/>
        </w:trPr>
        <w:tc>
          <w:tcPr>
            <w:tcW w:w="2267" w:type="dxa"/>
            <w:vMerge w:val="restart"/>
            <w:tcBorders>
              <w:top w:val="single" w:sz="4" w:color="000000"/>
              <w:left w:val="single" w:sz="4" w:color="000000"/>
              <w:bottom w:val="single" w:sz="4" w:color="000000"/>
              <w:right w:val="single" w:sz="4" w:color="000000"/>
            </w:tcBorders>
            <w:vAlign w:val="top"/>
          </w:tcPr>
          <w:p>
            <w:pPr>
              <w:spacing w:before="0" w:after="0" w:line="288" w:lineRule="auto"/>
              <w:ind w:left="1" w:right="0" w:firstLine="0"/>
            </w:pPr>
            <w:r>
              <w:rPr>
                <w:rFonts w:cs="Cambria" w:hAnsi="Cambria" w:eastAsia="Cambria" w:ascii="Cambria"/>
                <w:b w:val="1"/>
                <w:sz w:val="22"/>
              </w:rPr>
              <w:t xml:space="preserve">Output 4:</w:t>
            </w:r>
            <w:r>
              <w:rPr>
                <w:rFonts w:cs="Cambria" w:hAnsi="Cambria" w:eastAsia="Cambria" w:ascii="Cambria"/>
                <w:b w:val="1"/>
                <w:sz w:val="20"/>
              </w:rPr>
              <w:t xml:space="preserve">  </w:t>
            </w:r>
            <w:r>
              <w:rPr>
                <w:sz w:val="20"/>
              </w:rPr>
              <w:t xml:space="preserve">Capacities of local authorities and </w:t>
            </w:r>
          </w:p>
          <w:p>
            <w:pPr>
              <w:spacing w:before="0" w:after="13" w:line="272" w:lineRule="auto"/>
              <w:ind w:left="1" w:right="0" w:firstLine="0"/>
              <w:jc w:val="left"/>
            </w:pPr>
            <w:r>
              <w:rPr>
                <w:sz w:val="20"/>
              </w:rPr>
              <w:t xml:space="preserve">civil society strengthened in civic engagement, coordination, and planning for economic recovery and peace </w:t>
            </w:r>
          </w:p>
          <w:p>
            <w:pPr>
              <w:spacing w:before="0" w:after="10" w:line="259" w:lineRule="auto"/>
              <w:ind w:left="1" w:right="0" w:firstLine="0"/>
              <w:jc w:val="left"/>
            </w:pPr>
            <w:r>
              <w:rPr>
                <w:sz w:val="20"/>
              </w:rPr>
              <w:t xml:space="preserve">consolidation</w:t>
            </w:r>
            <w:r>
              <w:rPr>
                <w:sz w:val="22"/>
              </w:rPr>
              <w:t xml:space="preserve"> </w:t>
            </w:r>
          </w:p>
          <w:p>
            <w:pPr>
              <w:spacing w:before="0" w:after="0" w:line="259" w:lineRule="auto"/>
              <w:ind w:left="1" w:right="0" w:firstLine="0"/>
              <w:jc w:val="left"/>
            </w:pPr>
            <w:r>
              <w:rPr>
                <w:sz w:val="22"/>
              </w:rPr>
              <w:t xml:space="preserve"> </w:t>
            </w:r>
          </w:p>
          <w:p>
            <w:pPr>
              <w:spacing w:before="0" w:after="12" w:line="259" w:lineRule="auto"/>
              <w:ind w:left="1" w:right="0" w:firstLine="0"/>
              <w:jc w:val="left"/>
            </w:pPr>
            <w:r>
              <w:rPr>
                <w:rFonts w:cs="Cambria" w:hAnsi="Cambria" w:eastAsia="Cambria" w:ascii="Cambria"/>
                <w:b w:val="1"/>
                <w:i w:val="1"/>
                <w:sz w:val="18"/>
              </w:rPr>
              <w:t xml:space="preserve">Baseline:</w:t>
            </w:r>
            <w:r>
              <w:rPr>
                <w:rFonts w:cs="Cambria" w:hAnsi="Cambria" w:eastAsia="Cambria" w:ascii="Cambria"/>
                <w:b w:val="1"/>
                <w:i w:val="1"/>
                <w:sz w:val="18"/>
              </w:rPr>
              <w:t xml:space="preserve"> </w:t>
            </w:r>
          </w:p>
          <w:p>
            <w:pPr>
              <w:spacing w:before="0" w:after="7" w:line="259" w:lineRule="auto"/>
              <w:ind w:left="1" w:right="0" w:firstLine="0"/>
              <w:jc w:val="left"/>
            </w:pPr>
            <w:r>
              <w:rPr>
                <w:rFonts w:cs="Cambria" w:hAnsi="Cambria" w:eastAsia="Cambria" w:ascii="Cambria"/>
                <w:i w:val="1"/>
                <w:sz w:val="18"/>
              </w:rPr>
              <w:t xml:space="preserve"> </w:t>
            </w:r>
          </w:p>
          <w:p>
            <w:pPr>
              <w:spacing w:before="0" w:after="0" w:line="273" w:lineRule="auto"/>
              <w:ind w:left="1" w:right="43" w:firstLine="0"/>
            </w:pPr>
            <w:r>
              <w:rPr>
                <w:sz w:val="18"/>
              </w:rPr>
              <w:t xml:space="preserve">-</w:t>
            </w:r>
            <w:r>
              <w:rPr>
                <w:sz w:val="18"/>
              </w:rPr>
              <w:t xml:space="preserve">Ineffectual capacity of Local Governments to manage participatory </w:t>
            </w:r>
          </w:p>
          <w:p>
            <w:pPr>
              <w:spacing w:before="0" w:after="19" w:line="259" w:lineRule="auto"/>
              <w:ind w:left="1" w:right="0" w:firstLine="0"/>
              <w:jc w:val="left"/>
            </w:pPr>
            <w:r>
              <w:rPr>
                <w:sz w:val="18"/>
              </w:rPr>
              <w:t xml:space="preserve">planning;</w:t>
            </w:r>
            <w:r>
              <w:rPr>
                <w:sz w:val="18"/>
              </w:rPr>
              <w:t xml:space="preserve"> </w:t>
            </w:r>
          </w:p>
          <w:p>
            <w:pPr>
              <w:spacing w:before="0" w:after="0" w:line="272" w:lineRule="auto"/>
              <w:ind w:left="1" w:right="0" w:firstLine="0"/>
              <w:jc w:val="left"/>
            </w:pPr>
            <w:r>
              <w:rPr>
                <w:sz w:val="18"/>
              </w:rPr>
              <w:t xml:space="preserve">-</w:t>
            </w:r>
            <w:r>
              <w:rPr>
                <w:sz w:val="18"/>
              </w:rPr>
              <w:t xml:space="preserve">Ineffective 	involvement of CBOs and NGOs with the local government </w:t>
            </w:r>
            <w:r>
              <w:rPr>
                <w:sz w:val="18"/>
              </w:rPr>
              <w:t xml:space="preserve"> </w:t>
            </w:r>
          </w:p>
          <w:p>
            <w:pPr>
              <w:spacing w:before="0" w:after="2" w:line="270" w:lineRule="auto"/>
              <w:ind w:left="1" w:right="44" w:firstLine="0"/>
            </w:pPr>
            <w:r>
              <w:rPr>
                <w:sz w:val="18"/>
              </w:rPr>
              <w:t xml:space="preserve">-</w:t>
            </w:r>
            <w:r>
              <w:rPr>
                <w:sz w:val="18"/>
              </w:rPr>
              <w:t xml:space="preserve">Ambiguity of roles of different stakeholders in the land governance </w:t>
            </w:r>
          </w:p>
          <w:p>
            <w:pPr>
              <w:spacing w:before="0" w:after="12" w:line="259" w:lineRule="auto"/>
              <w:ind w:left="1" w:right="0" w:firstLine="0"/>
              <w:jc w:val="left"/>
            </w:pPr>
            <w:r>
              <w:rPr>
                <w:sz w:val="18"/>
              </w:rPr>
              <w:t xml:space="preserve">system;</w:t>
            </w:r>
            <w:r>
              <w:rPr>
                <w:sz w:val="18"/>
              </w:rPr>
              <w:t xml:space="preserve"> </w:t>
            </w:r>
          </w:p>
          <w:p>
            <w:pPr>
              <w:spacing w:before="0" w:after="7" w:line="259" w:lineRule="auto"/>
              <w:ind w:left="1" w:right="0" w:firstLine="0"/>
              <w:jc w:val="left"/>
            </w:pPr>
            <w:r>
              <w:rPr>
                <w:sz w:val="18"/>
              </w:rPr>
              <w:t xml:space="preserve"> </w:t>
            </w:r>
          </w:p>
          <w:p>
            <w:pPr>
              <w:spacing w:before="0" w:after="0" w:line="259" w:lineRule="auto"/>
              <w:ind w:left="1" w:right="0" w:firstLine="0"/>
            </w:pPr>
            <w:r>
              <w:rPr>
                <w:sz w:val="18"/>
              </w:rPr>
              <w:t xml:space="preserve">-</w:t>
            </w:r>
            <w:r>
              <w:rPr>
                <w:sz w:val="18"/>
              </w:rPr>
              <w:t xml:space="preserve">Unclear linkage between activities carried out at </w:t>
            </w:r>
          </w:p>
        </w:tc>
        <w:tc>
          <w:tcPr>
            <w:tcW w:w="2357" w:type="dxa"/>
            <w:tcBorders>
              <w:top w:val="single" w:sz="4" w:color="000000"/>
              <w:left w:val="single" w:sz="4" w:color="000000"/>
              <w:bottom w:val="single" w:sz="4" w:color="000000"/>
              <w:right w:val="single" w:sz="4" w:color="000000"/>
            </w:tcBorders>
            <w:vAlign w:val="top"/>
          </w:tcPr>
          <w:p>
            <w:pPr>
              <w:spacing w:before="0" w:after="0" w:line="272" w:lineRule="auto"/>
              <w:ind w:left="0"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4.1:</w:t>
            </w:r>
            <w:r>
              <w:rPr>
                <w:rFonts w:cs="Cambria" w:hAnsi="Cambria" w:eastAsia="Cambria" w:ascii="Cambria"/>
                <w:b w:val="1"/>
                <w:i w:val="1"/>
                <w:sz w:val="20"/>
              </w:rPr>
              <w:t xml:space="preserve"> </w:t>
            </w:r>
            <w:r>
              <w:rPr>
                <w:sz w:val="20"/>
              </w:rPr>
              <w:t xml:space="preserve">Improved delivery of basic services, including participatory planning </w:t>
            </w:r>
          </w:p>
          <w:p>
            <w:pPr>
              <w:spacing w:before="0" w:after="12" w:line="259" w:lineRule="auto"/>
              <w:ind w:left="0" w:right="0" w:firstLine="0"/>
              <w:jc w:val="left"/>
            </w:pPr>
            <w:r>
              <w:rPr>
                <w:sz w:val="20"/>
              </w:rPr>
              <w:t xml:space="preserve">systems</w:t>
            </w: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5" w:line="232" w:lineRule="auto"/>
              <w:ind w:left="0" w:right="0" w:firstLine="0"/>
              <w:jc w:val="left"/>
            </w:pPr>
            <w:r>
              <w:rPr>
                <w:sz w:val="20"/>
              </w:rPr>
              <w:t xml:space="preserve">Assessment of capacity needs of the lower local </w:t>
            </w:r>
          </w:p>
          <w:p>
            <w:pPr>
              <w:spacing w:before="0" w:after="0" w:line="259" w:lineRule="auto"/>
              <w:ind w:left="0" w:right="0" w:firstLine="0"/>
              <w:jc w:val="left"/>
            </w:pPr>
            <w:r>
              <w:rPr>
                <w:sz w:val="20"/>
              </w:rPr>
              <w:t xml:space="preserve">governments </w:t>
            </w:r>
            <w:r>
              <w:rPr>
                <w:sz w:val="20"/>
              </w:rPr>
              <w:t xml:space="preserve"> </w:t>
            </w:r>
          </w:p>
          <w:p>
            <w:pPr>
              <w:spacing w:before="0" w:after="0" w:line="259" w:lineRule="auto"/>
              <w:ind w:left="0" w:right="0" w:firstLine="0"/>
              <w:jc w:val="left"/>
            </w:pPr>
            <w:r>
              <w:rPr>
                <w:sz w:val="20"/>
              </w:rPr>
              <w:t xml:space="preserve"> </w:t>
            </w:r>
          </w:p>
          <w:p>
            <w:pPr>
              <w:spacing w:before="0" w:after="0" w:line="237" w:lineRule="auto"/>
              <w:ind w:left="0" w:right="0" w:firstLine="0"/>
            </w:pPr>
            <w:r>
              <w:rPr>
                <w:sz w:val="20"/>
              </w:rPr>
              <w:t xml:space="preserve">Developing a capacity building plan for mower </w:t>
            </w:r>
          </w:p>
          <w:p>
            <w:pPr>
              <w:spacing w:before="0" w:after="0" w:line="259" w:lineRule="auto"/>
              <w:ind w:left="0" w:right="0" w:firstLine="0"/>
              <w:jc w:val="left"/>
            </w:pPr>
            <w:r>
              <w:rPr>
                <w:sz w:val="20"/>
              </w:rPr>
              <w:t xml:space="preserve">local governments</w:t>
            </w:r>
            <w:r>
              <w:rPr>
                <w:sz w:val="20"/>
              </w:rPr>
              <w:t xml:space="preserve"> </w:t>
            </w:r>
          </w:p>
          <w:p>
            <w:pPr>
              <w:spacing w:before="0" w:after="0" w:line="259" w:lineRule="auto"/>
              <w:ind w:left="0" w:right="0" w:firstLine="0"/>
              <w:jc w:val="left"/>
            </w:pPr>
            <w:r>
              <w:rPr>
                <w:sz w:val="20"/>
              </w:rPr>
              <w:t xml:space="preserve"> </w:t>
            </w:r>
          </w:p>
          <w:p>
            <w:pPr>
              <w:spacing w:before="0" w:after="0" w:line="237" w:lineRule="auto"/>
              <w:ind w:left="0" w:right="0" w:firstLine="0"/>
            </w:pPr>
            <w:r>
              <w:rPr>
                <w:sz w:val="20"/>
              </w:rPr>
              <w:t xml:space="preserve">Undertake capacity building of the lower </w:t>
            </w:r>
          </w:p>
          <w:p>
            <w:pPr>
              <w:spacing w:before="0" w:after="0" w:line="259" w:lineRule="auto"/>
              <w:ind w:left="0" w:right="0" w:firstLine="0"/>
              <w:jc w:val="left"/>
            </w:pPr>
            <w:r>
              <w:rPr>
                <w:sz w:val="20"/>
              </w:rPr>
              <w:t xml:space="preserve">local governments</w:t>
            </w: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Review the capacity building</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6"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2" w:line="259" w:lineRule="auto"/>
              <w:ind w:left="5" w:right="0" w:firstLine="0"/>
              <w:jc w:val="left"/>
            </w:pPr>
            <w:r>
              <w:rPr>
                <w:sz w:val="20"/>
              </w:rPr>
              <w:t xml:space="preserve"> </w:t>
            </w:r>
          </w:p>
          <w:p>
            <w:pPr>
              <w:spacing w:before="0" w:after="16" w:line="259" w:lineRule="auto"/>
              <w:ind w:left="5" w:right="0" w:firstLine="0"/>
              <w:jc w:val="left"/>
            </w:pPr>
            <w:r>
              <w:rPr>
                <w:sz w:val="20"/>
              </w:rPr>
              <w:t xml:space="preserve"> </w:t>
            </w:r>
          </w:p>
          <w:p>
            <w:pPr>
              <w:spacing w:before="0" w:after="7"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p>
            <w:pPr>
              <w:spacing w:before="0" w:after="0" w:line="259" w:lineRule="auto"/>
              <w:ind w:left="5" w:right="0" w:firstLine="0"/>
              <w:jc w:val="left"/>
            </w:pP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12" w:line="259" w:lineRule="auto"/>
              <w:ind w:left="5" w:right="0" w:firstLine="0"/>
              <w:jc w:val="left"/>
            </w:pPr>
            <w:r>
              <w:rPr>
                <w:sz w:val="20"/>
              </w:rPr>
              <w:t xml:space="preserve">OPM, Local Authorities, </w:t>
            </w:r>
          </w:p>
          <w:p>
            <w:pPr>
              <w:spacing w:before="0" w:after="0" w:line="259" w:lineRule="auto"/>
              <w:ind w:left="5" w:right="0" w:firstLine="0"/>
              <w:jc w:val="left"/>
            </w:pPr>
            <w:r>
              <w:rPr>
                <w:sz w:val="20"/>
              </w:rPr>
              <w:t xml:space="preserve">UNDP, CSOs, </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0" w:line="259" w:lineRule="auto"/>
              <w:ind w:left="5" w:right="0" w:firstLine="0"/>
              <w:jc w:val="left"/>
            </w:pPr>
            <w:r>
              <w:rPr>
                <w:sz w:val="20"/>
              </w:rPr>
              <w:t xml:space="preserve">UNDP/BCPR with support from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0"/>
              </w:rPr>
              <w:t xml:space="preserve">Consultancy fees, professional services, facilitation 	and meeting 	costs, travel, DSA</w:t>
            </w: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0"/>
              </w:rPr>
              <w:t xml:space="preserve"> </w:t>
            </w:r>
          </w:p>
        </w:tc>
      </w:tr>
      <w:tr>
        <w:trPr>
          <w:trHeight w:val="165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57" w:type="dxa"/>
            <w:tcBorders>
              <w:top w:val="single" w:sz="4" w:color="000000"/>
              <w:left w:val="single" w:sz="4" w:color="000000"/>
              <w:bottom w:val="single" w:sz="4" w:color="000000"/>
              <w:right w:val="single" w:sz="4" w:color="000000"/>
            </w:tcBorders>
            <w:vAlign w:val="top"/>
          </w:tcPr>
          <w:p>
            <w:pPr>
              <w:spacing w:before="0" w:after="0" w:line="276" w:lineRule="auto"/>
              <w:ind w:left="0" w:right="0" w:firstLine="0"/>
              <w:jc w:val="left"/>
            </w:pPr>
            <w:r>
              <w:rPr>
                <w:rFonts w:cs="Cambria" w:hAnsi="Cambria" w:eastAsia="Cambria" w:ascii="Cambria"/>
                <w:b w:val="1"/>
                <w:sz w:val="20"/>
              </w:rPr>
              <w:t xml:space="preserve">Activity result</w:t>
            </w:r>
            <w:r>
              <w:rPr>
                <w:rFonts w:cs="Cambria" w:hAnsi="Cambria" w:eastAsia="Cambria" w:ascii="Cambria"/>
                <w:b w:val="1"/>
                <w:sz w:val="20"/>
              </w:rPr>
              <w:t xml:space="preserve"> </w:t>
            </w:r>
            <w:r>
              <w:rPr>
                <w:rFonts w:cs="Cambria" w:hAnsi="Cambria" w:eastAsia="Cambria" w:ascii="Cambria"/>
                <w:b w:val="1"/>
                <w:sz w:val="20"/>
              </w:rPr>
              <w:t xml:space="preserve">4.2: </w:t>
            </w:r>
            <w:r>
              <w:rPr>
                <w:sz w:val="20"/>
              </w:rPr>
              <w:t xml:space="preserve">Improved capacity of </w:t>
            </w:r>
          </w:p>
          <w:p>
            <w:pPr>
              <w:spacing w:before="0" w:after="0" w:line="259" w:lineRule="auto"/>
              <w:ind w:left="0" w:right="0" w:firstLine="0"/>
              <w:jc w:val="left"/>
            </w:pPr>
            <w:r>
              <w:rPr>
                <w:sz w:val="20"/>
              </w:rPr>
              <w:t xml:space="preserve">selected local governments to collect and manage data for development planning</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spacing w:before="0" w:after="12" w:line="259" w:lineRule="auto"/>
              <w:ind w:left="5" w:right="0" w:firstLine="0"/>
              <w:jc w:val="left"/>
            </w:pPr>
            <w:r>
              <w:rPr>
                <w:sz w:val="20"/>
              </w:rPr>
              <w:t xml:space="preserve">OPM, Local Authorities, </w:t>
            </w:r>
          </w:p>
          <w:p>
            <w:pPr>
              <w:spacing w:before="0" w:after="5" w:line="271" w:lineRule="auto"/>
              <w:ind w:left="5" w:right="0" w:firstLine="0"/>
            </w:pPr>
            <w:r>
              <w:rPr>
                <w:sz w:val="20"/>
              </w:rPr>
              <w:t xml:space="preserve">Ministry of Local Government, UNDP, </w:t>
            </w:r>
          </w:p>
          <w:p>
            <w:pPr>
              <w:spacing w:before="0" w:after="0" w:line="259" w:lineRule="auto"/>
              <w:ind w:left="5" w:right="0" w:firstLine="0"/>
              <w:jc w:val="left"/>
            </w:pPr>
            <w:r>
              <w:rPr>
                <w:sz w:val="20"/>
              </w:rPr>
              <w:t xml:space="preserve">CSOs</w:t>
            </w:r>
            <w:r>
              <w:rPr>
                <w:sz w:val="20"/>
              </w:rPr>
              <w:t xml:space="preserve"> </w:t>
            </w:r>
          </w:p>
        </w:tc>
        <w:tc>
          <w:tcPr>
            <w:tcW w:w="140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170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sz w:val="20"/>
              </w:rPr>
              <w:t xml:space="preserve"> </w:t>
            </w:r>
          </w:p>
        </w:tc>
      </w:tr>
    </w:tbl>
    <w:p>
      <w:pPr>
        <w:spacing w:before="0" w:after="0" w:line="259" w:lineRule="auto"/>
        <w:ind w:left="-1440" w:right="97" w:firstLine="0"/>
        <w:jc w:val="left"/>
      </w:pPr>
    </w:p>
    <w:tbl>
      <w:tblPr>
        <w:tblStyle w:val="TableGrid"/>
        <w:tblW w:w="12979" w:type="dxa"/>
        <w:tblInd w:w="-110" w:type="dxa"/>
        <w:tblCellMar>
          <w:top w:w="31" w:type="dxa"/>
          <w:left w:w="106" w:type="dxa"/>
          <w:bottom w:w="0" w:type="dxa"/>
          <w:right w:w="56" w:type="dxa"/>
        </w:tblCellMar>
      </w:tblPr>
      <w:tblGrid>
        <w:gridCol w:w="2270"/>
        <w:gridCol w:w="2357"/>
        <w:gridCol w:w="341"/>
        <w:gridCol w:w="341"/>
        <w:gridCol w:w="336"/>
        <w:gridCol w:w="341"/>
        <w:gridCol w:w="2266"/>
        <w:gridCol w:w="1402"/>
        <w:gridCol w:w="1709"/>
        <w:gridCol w:w="1618"/>
      </w:tblGrid>
      <w:tr>
        <w:trPr>
          <w:trHeight w:val="4771" w:hRule="atLeast"/>
        </w:trPr>
        <w:tc>
          <w:tcPr>
            <w:tcW w:w="2270" w:type="dxa"/>
            <w:vMerge w:val="restart"/>
            <w:tcBorders>
              <w:top w:val="single" w:sz="4" w:color="000000"/>
              <w:left w:val="single" w:sz="4" w:color="000000"/>
              <w:bottom w:val="single" w:sz="4" w:color="000000"/>
              <w:right w:val="single" w:sz="4" w:color="000000"/>
            </w:tcBorders>
            <w:vAlign w:val="top"/>
          </w:tcPr>
          <w:p>
            <w:pPr>
              <w:spacing w:before="0" w:after="0" w:line="273" w:lineRule="auto"/>
              <w:ind w:left="5" w:right="0" w:firstLine="0"/>
            </w:pPr>
            <w:r>
              <w:rPr>
                <w:sz w:val="18"/>
              </w:rPr>
              <w:t xml:space="preserve">the local level and the national level</w:t>
            </w:r>
            <w:r>
              <w:rPr>
                <w:sz w:val="18"/>
              </w:rPr>
              <w:t xml:space="preserve"> </w:t>
            </w:r>
          </w:p>
          <w:p>
            <w:pPr>
              <w:spacing w:before="0" w:after="12" w:line="259" w:lineRule="auto"/>
              <w:ind w:left="5" w:right="0" w:firstLine="0"/>
              <w:jc w:val="left"/>
            </w:pPr>
            <w:r>
              <w:rPr>
                <w:sz w:val="18"/>
              </w:rPr>
              <w:t xml:space="preserve"> </w:t>
            </w:r>
          </w:p>
          <w:p>
            <w:pPr>
              <w:spacing w:before="0" w:after="7" w:line="259" w:lineRule="auto"/>
              <w:ind w:left="5" w:right="0" w:firstLine="0"/>
              <w:jc w:val="left"/>
            </w:pPr>
            <w:r>
              <w:rPr>
                <w:rFonts w:cs="Cambria" w:hAnsi="Cambria" w:eastAsia="Cambria" w:ascii="Cambria"/>
                <w:b w:val="1"/>
                <w:i w:val="1"/>
                <w:sz w:val="18"/>
              </w:rPr>
              <w:t xml:space="preserve">Indicators:</w:t>
            </w:r>
            <w:r>
              <w:rPr>
                <w:rFonts w:cs="Cambria" w:hAnsi="Cambria" w:eastAsia="Cambria" w:ascii="Cambria"/>
                <w:b w:val="1"/>
                <w:i w:val="1"/>
                <w:sz w:val="18"/>
              </w:rPr>
              <w:t xml:space="preserve"> </w:t>
            </w:r>
          </w:p>
          <w:p>
            <w:pPr>
              <w:spacing w:before="0" w:after="12" w:line="259" w:lineRule="auto"/>
              <w:ind w:left="5" w:right="0" w:firstLine="0"/>
              <w:jc w:val="left"/>
            </w:pPr>
            <w:r>
              <w:rPr>
                <w:sz w:val="18"/>
              </w:rPr>
              <w:t xml:space="preserve"> </w:t>
            </w:r>
          </w:p>
          <w:p>
            <w:pPr>
              <w:spacing w:before="0" w:after="0" w:line="271" w:lineRule="auto"/>
              <w:ind w:left="5" w:right="47" w:firstLine="0"/>
            </w:pPr>
            <w:r>
              <w:rPr>
                <w:sz w:val="18"/>
              </w:rPr>
              <w:t xml:space="preserve">-</w:t>
            </w:r>
            <w:r>
              <w:rPr>
                <w:sz w:val="18"/>
              </w:rPr>
              <w:t xml:space="preserve">Number of target local governments that pass the LG annual assessment for minimum standards for </w:t>
            </w:r>
          </w:p>
          <w:p>
            <w:pPr>
              <w:spacing w:before="0" w:after="12" w:line="259" w:lineRule="auto"/>
              <w:ind w:left="5" w:right="0" w:firstLine="0"/>
              <w:jc w:val="left"/>
            </w:pPr>
            <w:r>
              <w:rPr>
                <w:sz w:val="18"/>
              </w:rPr>
              <w:t xml:space="preserve">service delivery;</w:t>
            </w:r>
            <w:r>
              <w:rPr>
                <w:sz w:val="18"/>
              </w:rPr>
              <w:t xml:space="preserve"> </w:t>
            </w:r>
          </w:p>
          <w:p>
            <w:pPr>
              <w:spacing w:before="0" w:after="3" w:line="269" w:lineRule="auto"/>
              <w:ind w:left="5" w:right="48" w:firstLine="0"/>
            </w:pPr>
            <w:r>
              <w:rPr>
                <w:sz w:val="18"/>
              </w:rPr>
              <w:t xml:space="preserve">-</w:t>
            </w:r>
            <w:r>
              <w:rPr>
                <w:sz w:val="18"/>
              </w:rPr>
              <w:t xml:space="preserve">Number of Infrastructure provided and training carried out for data collection and </w:t>
            </w:r>
          </w:p>
          <w:p>
            <w:pPr>
              <w:spacing w:before="0" w:after="7" w:line="259" w:lineRule="auto"/>
              <w:ind w:left="5" w:right="0" w:firstLine="0"/>
              <w:jc w:val="left"/>
            </w:pPr>
            <w:r>
              <w:rPr>
                <w:sz w:val="18"/>
              </w:rPr>
              <w:t xml:space="preserve">management;</w:t>
            </w:r>
            <w:r>
              <w:rPr>
                <w:sz w:val="18"/>
              </w:rPr>
              <w:t xml:space="preserve"> </w:t>
            </w:r>
          </w:p>
          <w:p>
            <w:pPr>
              <w:spacing w:before="0" w:after="0" w:line="273" w:lineRule="auto"/>
              <w:ind w:left="5" w:right="0" w:firstLine="0"/>
            </w:pPr>
            <w:r>
              <w:rPr>
                <w:sz w:val="18"/>
              </w:rPr>
              <w:t xml:space="preserve">-</w:t>
            </w:r>
            <w:r>
              <w:rPr>
                <w:sz w:val="18"/>
              </w:rPr>
              <w:t xml:space="preserve">Availability of data for development planning at </w:t>
            </w:r>
          </w:p>
          <w:p>
            <w:pPr>
              <w:spacing w:before="0" w:after="14" w:line="259" w:lineRule="auto"/>
              <w:ind w:left="5" w:right="0" w:firstLine="0"/>
              <w:jc w:val="left"/>
            </w:pPr>
            <w:r>
              <w:rPr>
                <w:sz w:val="18"/>
              </w:rPr>
              <w:t xml:space="preserve">local government level;</w:t>
            </w:r>
            <w:r>
              <w:rPr>
                <w:sz w:val="18"/>
              </w:rPr>
              <w:t xml:space="preserve"> </w:t>
            </w:r>
          </w:p>
          <w:p>
            <w:pPr>
              <w:spacing w:before="0" w:after="32" w:line="276" w:lineRule="auto"/>
              <w:ind w:left="5" w:right="0" w:firstLine="0"/>
              <w:jc w:val="left"/>
            </w:pPr>
            <w:r>
              <w:rPr>
                <w:sz w:val="18"/>
              </w:rPr>
              <w:t xml:space="preserve">-</w:t>
            </w:r>
            <w:r>
              <w:rPr>
                <w:sz w:val="18"/>
              </w:rPr>
              <w:t xml:space="preserve">Quality 	development plans submitted by lower local</w:t>
            </w:r>
            <w:r>
              <w:rPr>
                <w:rFonts w:cs="Garamond" w:hAnsi="Garamond" w:eastAsia="Garamond" w:ascii="Garamond"/>
                <w:sz w:val="18"/>
              </w:rPr>
              <w:t xml:space="preserve"> </w:t>
            </w:r>
            <w:r>
              <w:rPr>
                <w:sz w:val="18"/>
              </w:rPr>
              <w:t xml:space="preserve">governments to the districts</w:t>
            </w:r>
            <w:r>
              <w:rPr>
                <w:rFonts w:cs="Garamond" w:hAnsi="Garamond" w:eastAsia="Garamond" w:ascii="Garamond"/>
                <w:sz w:val="18"/>
              </w:rPr>
              <w:t xml:space="preserve">.</w:t>
            </w:r>
            <w:r>
              <w:rPr>
                <w:rFonts w:cs="Garamond" w:hAnsi="Garamond" w:eastAsia="Garamond" w:ascii="Garamond"/>
                <w:sz w:val="18"/>
              </w:rPr>
              <w:t xml:space="preserve"> </w:t>
            </w:r>
          </w:p>
          <w:p>
            <w:pPr>
              <w:spacing w:before="0" w:after="12" w:line="259" w:lineRule="auto"/>
              <w:ind w:left="5" w:right="0" w:firstLine="0"/>
              <w:jc w:val="left"/>
            </w:pPr>
            <w:r>
              <w:rPr>
                <w:sz w:val="20"/>
              </w:rPr>
              <w:t xml:space="preserve"> </w:t>
            </w:r>
          </w:p>
          <w:p>
            <w:pPr>
              <w:spacing w:before="0" w:after="6" w:line="271" w:lineRule="auto"/>
              <w:ind w:left="5" w:right="47" w:firstLine="0"/>
            </w:pPr>
            <w:r>
              <w:rPr>
                <w:rFonts w:cs="Cambria" w:hAnsi="Cambria" w:eastAsia="Cambria" w:ascii="Cambria"/>
                <w:b w:val="1"/>
                <w:i w:val="1"/>
                <w:sz w:val="20"/>
              </w:rPr>
              <w:t xml:space="preserve">Targets</w:t>
            </w:r>
            <w:r>
              <w:rPr>
                <w:rFonts w:cs="Cambria" w:hAnsi="Cambria" w:eastAsia="Cambria" w:ascii="Cambria"/>
                <w:b w:val="1"/>
                <w:i w:val="1"/>
                <w:sz w:val="20"/>
              </w:rPr>
              <w:t xml:space="preserve"> (2014)</w:t>
            </w:r>
            <w:r>
              <w:rPr>
                <w:rFonts w:cs="Cambria" w:hAnsi="Cambria" w:eastAsia="Cambria" w:ascii="Cambria"/>
                <w:b w:val="1"/>
                <w:i w:val="1"/>
                <w:sz w:val="20"/>
              </w:rPr>
              <w:t xml:space="preserve">:</w:t>
            </w:r>
            <w:r>
              <w:rPr>
                <w:rFonts w:cs="Cambria" w:hAnsi="Cambria" w:eastAsia="Cambria" w:ascii="Cambria"/>
                <w:b w:val="1"/>
                <w:i w:val="1"/>
                <w:sz w:val="20"/>
              </w:rPr>
              <w:t xml:space="preserve"> </w:t>
            </w:r>
            <w:r>
              <w:rPr>
                <w:sz w:val="19"/>
              </w:rPr>
              <w:t xml:space="preserve">-</w:t>
            </w:r>
            <w:r>
              <w:rPr>
                <w:sz w:val="19"/>
              </w:rPr>
              <w:t xml:space="preserve">Draft guidelines for transparency processes developed</w:t>
            </w:r>
            <w:r>
              <w:rPr>
                <w:sz w:val="19"/>
              </w:rPr>
              <w:t xml:space="preserve"> </w:t>
            </w:r>
          </w:p>
          <w:p>
            <w:pPr>
              <w:spacing w:before="0" w:after="0" w:line="277" w:lineRule="auto"/>
              <w:ind w:left="5" w:right="0" w:firstLine="0"/>
              <w:jc w:val="left"/>
            </w:pPr>
            <w:r>
              <w:rPr>
                <w:sz w:val="19"/>
              </w:rPr>
              <w:t xml:space="preserve">-</w:t>
            </w:r>
            <w:r>
              <w:rPr>
                <w:sz w:val="19"/>
              </w:rPr>
              <w:t xml:space="preserve">Data 	collection 	and analysis done</w:t>
            </w:r>
            <w:r>
              <w:rPr>
                <w:sz w:val="19"/>
              </w:rPr>
              <w:t xml:space="preserve"> -</w:t>
            </w:r>
            <w:r>
              <w:rPr>
                <w:sz w:val="19"/>
              </w:rPr>
              <w:t xml:space="preserve">Community sensitizations 	and outreach 	programmes conducted</w:t>
            </w:r>
            <w:r>
              <w:rPr>
                <w:sz w:val="19"/>
              </w:rPr>
              <w:t xml:space="preserve"> </w:t>
            </w:r>
          </w:p>
          <w:p>
            <w:pPr>
              <w:spacing w:before="0" w:after="12" w:line="269" w:lineRule="auto"/>
              <w:ind w:left="5" w:right="47" w:firstLine="0"/>
            </w:pPr>
            <w:r>
              <w:rPr>
                <w:sz w:val="19"/>
              </w:rPr>
              <w:t xml:space="preserve">-</w:t>
            </w:r>
            <w:r>
              <w:rPr>
                <w:sz w:val="19"/>
              </w:rPr>
              <w:t xml:space="preserve">Support visits by national level authorities conducted</w:t>
            </w:r>
            <w:r>
              <w:rPr>
                <w:sz w:val="19"/>
              </w:rPr>
              <w:t xml:space="preserve"> </w:t>
            </w:r>
          </w:p>
          <w:p>
            <w:pPr>
              <w:tabs>
                <w:tab w:val="center" w:pos="437"/>
                <w:tab w:val="center" w:pos="1573"/>
              </w:tabs>
              <w:spacing w:before="0" w:after="0" w:line="259" w:lineRule="auto"/>
              <w:ind w:left="0" w:right="0" w:firstLine="0"/>
              <w:jc w:val="left"/>
            </w:pPr>
            <w:r>
              <w:rPr>
                <w:rFonts w:cs="Calibri" w:hAnsi="Calibri" w:eastAsia="Calibri" w:ascii="Calibri"/>
                <w:sz w:val="22"/>
              </w:rPr>
              <w:t xml:space="preserve">	</w:t>
            </w:r>
            <w:r>
              <w:rPr>
                <w:sz w:val="19"/>
              </w:rPr>
              <w:t xml:space="preserve">-</w:t>
            </w:r>
            <w:r>
              <w:rPr>
                <w:sz w:val="19"/>
              </w:rPr>
              <w:t xml:space="preserve">Increased 	interactions </w:t>
            </w:r>
          </w:p>
        </w:tc>
        <w:tc>
          <w:tcPr>
            <w:tcW w:w="2357"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7" w:line="259" w:lineRule="auto"/>
              <w:ind w:left="0"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0" w:line="237" w:lineRule="auto"/>
              <w:ind w:left="0" w:right="0" w:firstLine="0"/>
              <w:jc w:val="left"/>
            </w:pPr>
            <w:r>
              <w:rPr>
                <w:sz w:val="20"/>
              </w:rPr>
              <w:t xml:space="preserve">-</w:t>
            </w:r>
            <w:r>
              <w:rPr>
                <w:sz w:val="20"/>
              </w:rPr>
              <w:t xml:space="preserve">Assess capacity of the Planning units in the </w:t>
            </w:r>
          </w:p>
          <w:p>
            <w:pPr>
              <w:spacing w:before="0" w:after="0" w:line="259" w:lineRule="auto"/>
              <w:ind w:left="0" w:right="0" w:firstLine="0"/>
              <w:jc w:val="left"/>
            </w:pPr>
            <w:r>
              <w:rPr>
                <w:sz w:val="20"/>
              </w:rPr>
              <w:t xml:space="preserve">respective local </w:t>
            </w:r>
          </w:p>
          <w:p>
            <w:pPr>
              <w:spacing w:before="0" w:after="0" w:line="259" w:lineRule="auto"/>
              <w:ind w:left="0" w:right="0" w:firstLine="0"/>
              <w:jc w:val="left"/>
            </w:pPr>
            <w:r>
              <w:rPr>
                <w:sz w:val="20"/>
              </w:rPr>
              <w:t xml:space="preserve">government</w:t>
            </w:r>
            <w:r>
              <w:rPr>
                <w:sz w:val="20"/>
              </w:rPr>
              <w:t xml:space="preserve"> </w:t>
            </w:r>
          </w:p>
          <w:p>
            <w:pPr>
              <w:spacing w:before="0" w:after="0" w:line="259" w:lineRule="auto"/>
              <w:ind w:left="0" w:right="0" w:firstLine="0"/>
              <w:jc w:val="left"/>
            </w:pPr>
            <w:r>
              <w:rPr>
                <w:sz w:val="20"/>
              </w:rPr>
              <w:t xml:space="preserve"> </w:t>
            </w:r>
          </w:p>
          <w:p>
            <w:pPr>
              <w:spacing w:before="0" w:after="2" w:line="235" w:lineRule="auto"/>
              <w:ind w:left="0" w:right="454" w:firstLine="0"/>
            </w:pPr>
            <w:r>
              <w:rPr>
                <w:sz w:val="20"/>
              </w:rPr>
              <w:t xml:space="preserve">-</w:t>
            </w:r>
            <w:r>
              <w:rPr>
                <w:sz w:val="20"/>
              </w:rPr>
              <w:t xml:space="preserve">Develop capacity building plan for the planning units</w:t>
            </w:r>
            <w:r>
              <w:rPr>
                <w:sz w:val="20"/>
              </w:rPr>
              <w:t xml:space="preserve"> </w:t>
            </w:r>
          </w:p>
          <w:p>
            <w:pPr>
              <w:spacing w:before="0" w:after="0" w:line="259" w:lineRule="auto"/>
              <w:ind w:left="0" w:right="0" w:firstLine="0"/>
              <w:jc w:val="left"/>
            </w:pPr>
            <w:r>
              <w:rPr>
                <w:sz w:val="20"/>
              </w:rPr>
              <w:t xml:space="preserve"> </w:t>
            </w:r>
          </w:p>
          <w:p>
            <w:pPr>
              <w:spacing w:before="0" w:after="0" w:line="237" w:lineRule="auto"/>
              <w:ind w:left="0" w:right="0" w:firstLine="0"/>
            </w:pPr>
            <w:r>
              <w:rPr>
                <w:sz w:val="20"/>
              </w:rPr>
              <w:t xml:space="preserve">Build technical capacity of planning units</w:t>
            </w:r>
            <w:r>
              <w:rPr>
                <w:sz w:val="20"/>
              </w:rPr>
              <w:t xml:space="preserve"> </w:t>
            </w:r>
          </w:p>
          <w:p>
            <w:pPr>
              <w:spacing w:before="0" w:after="0" w:line="259" w:lineRule="auto"/>
              <w:ind w:left="0" w:right="0" w:firstLine="0"/>
              <w:jc w:val="left"/>
            </w:pPr>
            <w:r>
              <w:rPr>
                <w:sz w:val="20"/>
              </w:rPr>
              <w:t xml:space="preserve"> </w:t>
            </w:r>
          </w:p>
          <w:p>
            <w:pPr>
              <w:spacing w:before="0" w:after="5" w:line="232" w:lineRule="auto"/>
              <w:ind w:left="0" w:right="0" w:firstLine="0"/>
              <w:jc w:val="left"/>
            </w:pPr>
            <w:r>
              <w:rPr>
                <w:sz w:val="20"/>
              </w:rPr>
              <w:t xml:space="preserve">Procure and equip planning units with the </w:t>
            </w:r>
          </w:p>
          <w:p>
            <w:pPr>
              <w:spacing w:before="0" w:after="0" w:line="259" w:lineRule="auto"/>
              <w:ind w:left="0" w:right="0" w:firstLine="0"/>
              <w:jc w:val="left"/>
            </w:pPr>
            <w:r>
              <w:rPr>
                <w:sz w:val="20"/>
              </w:rPr>
              <w:t xml:space="preserve">necessary infrastructure</w:t>
            </w:r>
            <w:r>
              <w:rPr>
                <w:sz w:val="20"/>
              </w:rPr>
              <w:t xml:space="preserve"> </w:t>
            </w:r>
          </w:p>
          <w:p>
            <w:pPr>
              <w:spacing w:before="0" w:after="0" w:line="259" w:lineRule="auto"/>
              <w:ind w:left="0" w:right="0" w:firstLine="0"/>
              <w:jc w:val="left"/>
            </w:pPr>
            <w:r>
              <w:rPr>
                <w:sz w:val="20"/>
              </w:rPr>
              <w:t xml:space="preserve"> </w:t>
            </w:r>
          </w:p>
          <w:p>
            <w:pPr>
              <w:spacing w:before="0" w:after="0" w:line="259" w:lineRule="auto"/>
              <w:ind w:left="0" w:right="0" w:firstLine="0"/>
              <w:jc w:val="left"/>
            </w:pPr>
            <w:r>
              <w:rPr>
                <w:sz w:val="20"/>
              </w:rPr>
              <w:t xml:space="preserve">Review the capacity building support</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 </w:t>
            </w:r>
          </w:p>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26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2357" w:type="dxa"/>
            <w:tcBorders>
              <w:top w:val="single" w:sz="4" w:color="000000"/>
              <w:left w:val="single" w:sz="4" w:color="000000"/>
              <w:bottom w:val="single" w:sz="4" w:color="000000"/>
              <w:right w:val="single" w:sz="4" w:color="000000"/>
            </w:tcBorders>
            <w:vAlign w:val="top"/>
          </w:tcPr>
          <w:p>
            <w:pPr>
              <w:spacing w:before="0" w:after="0" w:line="271" w:lineRule="auto"/>
              <w:ind w:left="0" w:right="0" w:firstLine="0"/>
              <w:jc w:val="left"/>
            </w:pPr>
            <w:r>
              <w:rPr>
                <w:rFonts w:cs="Cambria" w:hAnsi="Cambria" w:eastAsia="Cambria" w:ascii="Cambria"/>
                <w:b w:val="1"/>
                <w:i w:val="1"/>
                <w:sz w:val="20"/>
              </w:rPr>
              <w:t xml:space="preserve">Improved planning and budgeting at lower levels of government</w:t>
            </w:r>
            <w:r>
              <w:rPr>
                <w:sz w:val="20"/>
              </w:rPr>
              <w:t xml:space="preserve"> </w:t>
            </w:r>
          </w:p>
          <w:p>
            <w:pPr>
              <w:spacing w:before="0" w:after="7" w:line="259" w:lineRule="auto"/>
              <w:ind w:left="0" w:right="0" w:firstLine="0"/>
              <w:jc w:val="left"/>
            </w:pPr>
            <w:r>
              <w:rPr>
                <w:sz w:val="20"/>
              </w:rPr>
              <w:t xml:space="preserve"> </w:t>
            </w:r>
          </w:p>
          <w:p>
            <w:pPr>
              <w:spacing w:before="0" w:after="0" w:line="259" w:lineRule="auto"/>
              <w:ind w:left="0" w:right="0" w:firstLine="0"/>
              <w:jc w:val="left"/>
            </w:pPr>
            <w:r>
              <w:rPr>
                <w:sz w:val="20"/>
              </w:rPr>
              <w:t xml:space="preserve">Build capacity of PDCs, </w:t>
            </w:r>
          </w:p>
          <w:p>
            <w:pPr>
              <w:spacing w:before="0" w:after="0" w:line="259" w:lineRule="auto"/>
              <w:ind w:left="0" w:right="0" w:firstLine="0"/>
              <w:jc w:val="left"/>
            </w:pPr>
            <w:r>
              <w:rPr>
                <w:sz w:val="20"/>
              </w:rPr>
              <w:t xml:space="preserve">Sub county administrators, HUMCs and SMC in planning and budgeting</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tabs>
                <w:tab w:val="center" w:pos="253"/>
                <w:tab w:val="center" w:pos="1804"/>
              </w:tabs>
              <w:spacing w:before="0" w:after="16" w:line="259" w:lineRule="auto"/>
              <w:ind w:left="0" w:right="0" w:firstLine="0"/>
              <w:jc w:val="left"/>
            </w:pPr>
            <w:r>
              <w:rPr>
                <w:rFonts w:cs="Calibri" w:hAnsi="Calibri" w:eastAsia="Calibri" w:ascii="Calibri"/>
                <w:sz w:val="22"/>
              </w:rPr>
              <w:t xml:space="preserve">	</w:t>
            </w:r>
            <w:r>
              <w:rPr>
                <w:sz w:val="22"/>
              </w:rPr>
              <w:t xml:space="preserve">OPM, 	Local </w:t>
            </w:r>
          </w:p>
          <w:p>
            <w:pPr>
              <w:spacing w:before="0" w:after="0" w:line="274" w:lineRule="auto"/>
              <w:ind w:left="5" w:right="0" w:firstLine="0"/>
            </w:pPr>
            <w:r>
              <w:rPr>
                <w:sz w:val="22"/>
              </w:rPr>
              <w:t xml:space="preserve">Authorities, Ministry of Local Government, </w:t>
            </w:r>
          </w:p>
          <w:p>
            <w:pPr>
              <w:spacing w:before="0" w:after="0" w:line="259" w:lineRule="auto"/>
              <w:ind w:left="5" w:right="0" w:firstLine="0"/>
              <w:jc w:val="left"/>
            </w:pPr>
            <w:r>
              <w:rPr>
                <w:sz w:val="22"/>
              </w:rPr>
              <w:t xml:space="preserve">UNDP, CSOs</w:t>
            </w:r>
            <w:r>
              <w:rPr>
                <w:sz w:val="22"/>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0" w:line="259" w:lineRule="auto"/>
              <w:ind w:left="5" w:right="2" w:firstLine="0"/>
              <w:jc w:val="left"/>
            </w:pPr>
            <w:r>
              <w:rPr>
                <w:sz w:val="20"/>
              </w:rPr>
              <w:t xml:space="preserve">UNDP/BCPR with support from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0"/>
              </w:rPr>
              <w:t xml:space="preserve">Consultancy fees, professional services, facilitation 	and meeting 	costs, travel, DSA</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r>
      <w:tr>
        <w:trPr>
          <w:trHeight w:val="229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57" w:type="dxa"/>
            <w:tcBorders>
              <w:top w:val="single" w:sz="4" w:color="000000"/>
              <w:left w:val="single" w:sz="4" w:color="000000"/>
              <w:bottom w:val="single" w:sz="4" w:color="000000"/>
              <w:right w:val="single" w:sz="4" w:color="000000"/>
            </w:tcBorders>
            <w:vAlign w:val="top"/>
          </w:tcPr>
          <w:p>
            <w:pPr>
              <w:spacing w:before="0" w:after="5" w:line="271" w:lineRule="auto"/>
              <w:ind w:left="0" w:right="0" w:firstLine="0"/>
              <w:jc w:val="left"/>
            </w:pPr>
            <w:r>
              <w:rPr>
                <w:rFonts w:cs="Cambria" w:hAnsi="Cambria" w:eastAsia="Cambria" w:ascii="Cambria"/>
                <w:b w:val="1"/>
                <w:i w:val="1"/>
                <w:sz w:val="20"/>
              </w:rPr>
              <w:t xml:space="preserve">Increased capacity of the districts to monitor the implementation of development projects</w:t>
            </w:r>
            <w:r>
              <w:rPr>
                <w:rFonts w:cs="Cambria" w:hAnsi="Cambria" w:eastAsia="Cambria" w:ascii="Cambria"/>
                <w:b w:val="1"/>
                <w:i w:val="1"/>
                <w:sz w:val="20"/>
              </w:rPr>
              <w:t xml:space="preserve">  </w:t>
            </w:r>
            <w:r>
              <w:rPr>
                <w:sz w:val="20"/>
              </w:rPr>
              <w:t xml:space="preserve"> </w:t>
            </w:r>
          </w:p>
          <w:p>
            <w:pPr>
              <w:spacing w:before="0" w:after="7" w:line="259" w:lineRule="auto"/>
              <w:ind w:left="0" w:right="0" w:firstLine="0"/>
              <w:jc w:val="left"/>
            </w:pPr>
            <w:r>
              <w:rPr>
                <w:sz w:val="20"/>
              </w:rPr>
              <w:t xml:space="preserve"> </w:t>
            </w:r>
          </w:p>
          <w:p>
            <w:pPr>
              <w:spacing w:before="0" w:after="0" w:line="237" w:lineRule="auto"/>
              <w:ind w:left="0" w:right="0" w:firstLine="0"/>
              <w:jc w:val="left"/>
            </w:pPr>
            <w:r>
              <w:rPr>
                <w:sz w:val="20"/>
              </w:rPr>
              <w:t xml:space="preserve">Build technical capacity of districts in monitoring </w:t>
            </w:r>
          </w:p>
          <w:p>
            <w:pPr>
              <w:spacing w:before="0" w:after="0" w:line="259" w:lineRule="auto"/>
              <w:ind w:left="0" w:right="0" w:firstLine="0"/>
              <w:jc w:val="left"/>
            </w:pPr>
            <w:r>
              <w:rPr>
                <w:sz w:val="20"/>
              </w:rPr>
              <w:t xml:space="preserve">and evaluation</w:t>
            </w: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X</w:t>
            </w: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6"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12" w:line="259" w:lineRule="auto"/>
              <w:ind w:left="0" w:right="0" w:firstLine="0"/>
              <w:jc w:val="left"/>
            </w:pPr>
            <w:r>
              <w:rPr>
                <w:sz w:val="20"/>
              </w:rPr>
              <w:t xml:space="preserve"> </w:t>
            </w:r>
          </w:p>
          <w:p>
            <w:pPr>
              <w:spacing w:before="0" w:after="0" w:line="259" w:lineRule="auto"/>
              <w:ind w:left="0"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266" w:type="dxa"/>
            <w:tcBorders>
              <w:top w:val="single" w:sz="4" w:color="000000"/>
              <w:left w:val="single" w:sz="4" w:color="000000"/>
              <w:bottom w:val="single" w:sz="4" w:color="000000"/>
              <w:right w:val="single" w:sz="4" w:color="000000"/>
            </w:tcBorders>
            <w:vAlign w:val="center"/>
          </w:tcPr>
          <w:p>
            <w:pPr>
              <w:tabs>
                <w:tab w:val="center" w:pos="282"/>
                <w:tab w:val="center" w:pos="1083"/>
                <w:tab w:val="center" w:pos="1829"/>
              </w:tabs>
              <w:spacing w:before="0" w:after="16" w:line="259" w:lineRule="auto"/>
              <w:ind w:left="0" w:right="0" w:firstLine="0"/>
              <w:jc w:val="left"/>
            </w:pPr>
            <w:r>
              <w:rPr>
                <w:rFonts w:cs="Calibri" w:hAnsi="Calibri" w:eastAsia="Calibri" w:ascii="Calibri"/>
                <w:sz w:val="22"/>
              </w:rPr>
              <w:t xml:space="preserve">	</w:t>
            </w:r>
            <w:r>
              <w:rPr>
                <w:sz w:val="20"/>
              </w:rPr>
              <w:t xml:space="preserve">UNDP, 	District 	Local </w:t>
            </w:r>
          </w:p>
          <w:p>
            <w:pPr>
              <w:spacing w:before="0" w:after="0" w:line="259" w:lineRule="auto"/>
              <w:ind w:left="5" w:right="0" w:firstLine="0"/>
              <w:jc w:val="left"/>
            </w:pPr>
            <w:r>
              <w:rPr>
                <w:sz w:val="20"/>
              </w:rPr>
              <w:t xml:space="preserve">Authorities, OPM</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0" w:line="259" w:lineRule="auto"/>
              <w:ind w:left="5" w:right="2" w:firstLine="0"/>
              <w:jc w:val="left"/>
            </w:pPr>
            <w:r>
              <w:rPr>
                <w:sz w:val="20"/>
              </w:rPr>
              <w:t xml:space="preserve">UNDP/BCPR with support from potential donors</w:t>
            </w:r>
            <w:r>
              <w:rPr>
                <w:sz w:val="20"/>
              </w:rPr>
              <w:t xml:space="preserve"> </w:t>
            </w:r>
          </w:p>
        </w:tc>
        <w:tc>
          <w:tcPr>
            <w:tcW w:w="1709"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0"/>
              </w:rPr>
              <w:t xml:space="preserve">Consultancy fees, professional services, facilitation 	and meeting 	costs, travel, DSA</w:t>
            </w:r>
            <w:r>
              <w:rPr>
                <w:sz w:val="20"/>
              </w:rPr>
              <w:t xml:space="preserve"> </w:t>
            </w:r>
          </w:p>
        </w:tc>
        <w:tc>
          <w:tcPr>
            <w:tcW w:w="1618"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 </w:t>
            </w:r>
          </w:p>
        </w:tc>
      </w:tr>
    </w:tbl>
    <w:p>
      <w:pPr>
        <w:spacing w:before="0" w:after="0" w:line="259" w:lineRule="auto"/>
        <w:ind w:left="-1440" w:right="97" w:firstLine="0"/>
        <w:jc w:val="left"/>
      </w:pPr>
    </w:p>
    <w:tbl>
      <w:tblPr>
        <w:tblStyle w:val="TableGrid"/>
        <w:tblW w:w="12976" w:type="dxa"/>
        <w:tblInd w:w="-107" w:type="dxa"/>
        <w:tblCellMar>
          <w:top w:w="33" w:type="dxa"/>
          <w:left w:w="0" w:type="dxa"/>
          <w:bottom w:w="0" w:type="dxa"/>
          <w:right w:w="0" w:type="dxa"/>
        </w:tblCellMar>
      </w:tblPr>
      <w:tblGrid>
        <w:gridCol w:w="2267"/>
        <w:gridCol w:w="2357"/>
        <w:gridCol w:w="341"/>
        <w:gridCol w:w="341"/>
        <w:gridCol w:w="336"/>
        <w:gridCol w:w="341"/>
        <w:gridCol w:w="869"/>
        <w:gridCol w:w="735"/>
        <w:gridCol w:w="662"/>
        <w:gridCol w:w="1402"/>
        <w:gridCol w:w="1708"/>
        <w:gridCol w:w="1619"/>
      </w:tblGrid>
      <w:tr>
        <w:trPr>
          <w:trHeight w:val="2122" w:hRule="atLeast"/>
        </w:trPr>
        <w:tc>
          <w:tcPr>
            <w:tcW w:w="2267" w:type="dxa"/>
            <w:vMerge w:val="restart"/>
            <w:tcBorders>
              <w:top w:val="single" w:sz="4" w:color="000000"/>
              <w:left w:val="single" w:sz="4" w:color="000000"/>
              <w:bottom w:val="single" w:sz="4" w:color="000000"/>
              <w:right w:val="single" w:sz="4" w:color="000000"/>
            </w:tcBorders>
            <w:vAlign w:val="top"/>
          </w:tcPr>
          <w:p>
            <w:pPr>
              <w:spacing w:before="0" w:after="18" w:line="271" w:lineRule="auto"/>
              <w:ind w:left="107" w:right="106" w:firstLine="0"/>
            </w:pPr>
            <w:r>
              <w:rPr>
                <w:sz w:val="19"/>
              </w:rPr>
              <w:t xml:space="preserve">between national level and local level with draft mechanisms for dialogue initiated</w:t>
            </w:r>
            <w:r>
              <w:rPr>
                <w:sz w:val="19"/>
              </w:rPr>
              <w:t xml:space="preserve"> </w:t>
            </w:r>
          </w:p>
          <w:p>
            <w:pPr>
              <w:spacing w:before="0" w:after="0" w:line="259" w:lineRule="auto"/>
              <w:ind w:left="107" w:right="0" w:firstLine="0"/>
              <w:jc w:val="left"/>
            </w:pPr>
            <w:r>
              <w:rPr>
                <w:rFonts w:cs="Cambria" w:hAnsi="Cambria" w:eastAsia="Cambria" w:ascii="Cambria"/>
                <w:b w:val="1"/>
                <w:i w:val="1"/>
                <w:sz w:val="20"/>
              </w:rPr>
              <w:t xml:space="preserve"> </w:t>
            </w:r>
          </w:p>
        </w:tc>
        <w:tc>
          <w:tcPr>
            <w:tcW w:w="2357"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0"/>
              </w:rPr>
              <w:t xml:space="preserve">-</w:t>
            </w:r>
            <w:r>
              <w:rPr>
                <w:sz w:val="20"/>
              </w:rPr>
              <w:t xml:space="preserve">Purchase and equip the districts with the necessary logistics and maintenance and operations to carry out monitoring and evaluation of interventions in the districts</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0" w:line="259" w:lineRule="auto"/>
              <w:ind w:left="106"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266" w:type="dxa"/>
            <w:gridSpan w:val="3"/>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518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57" w:type="dxa"/>
            <w:tcBorders>
              <w:top w:val="single" w:sz="4" w:color="000000"/>
              <w:left w:val="single" w:sz="4" w:color="000000"/>
              <w:bottom w:val="single" w:sz="4" w:color="000000"/>
              <w:right w:val="single" w:sz="4" w:color="000000"/>
            </w:tcBorders>
            <w:vAlign w:val="top"/>
          </w:tcPr>
          <w:p>
            <w:pPr>
              <w:spacing w:before="0" w:after="0" w:line="271" w:lineRule="auto"/>
              <w:ind w:left="106" w:right="0" w:firstLine="0"/>
              <w:jc w:val="left"/>
            </w:pPr>
            <w:r>
              <w:rPr>
                <w:rFonts w:cs="Cambria" w:hAnsi="Cambria" w:eastAsia="Cambria" w:ascii="Cambria"/>
                <w:b w:val="1"/>
                <w:i w:val="1"/>
                <w:sz w:val="20"/>
              </w:rPr>
              <w:t xml:space="preserve">Activity Result 4.3: </w:t>
            </w:r>
            <w:r>
              <w:rPr>
                <w:sz w:val="20"/>
              </w:rPr>
              <w:t xml:space="preserve">Improved participation </w:t>
            </w:r>
          </w:p>
          <w:p>
            <w:pPr>
              <w:spacing w:before="0" w:after="5" w:line="271" w:lineRule="auto"/>
              <w:ind w:left="106" w:right="0" w:firstLine="0"/>
              <w:jc w:val="left"/>
            </w:pPr>
            <w:r>
              <w:rPr>
                <w:sz w:val="20"/>
              </w:rPr>
              <w:t xml:space="preserve">of the beneficiaries in development planning</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rFonts w:cs="Cambria" w:hAnsi="Cambria" w:eastAsia="Cambria" w:ascii="Cambria"/>
                <w:b w:val="1"/>
                <w:sz w:val="20"/>
              </w:rPr>
              <w:t xml:space="preserve">Activity Actions:</w:t>
            </w:r>
            <w:r>
              <w:rPr>
                <w:rFonts w:cs="Cambria" w:hAnsi="Cambria" w:eastAsia="Cambria" w:ascii="Cambria"/>
                <w:b w:val="1"/>
                <w:sz w:val="20"/>
              </w:rPr>
              <w:t xml:space="preserve"> </w:t>
            </w:r>
          </w:p>
          <w:p>
            <w:pPr>
              <w:spacing w:before="0" w:after="7" w:line="259" w:lineRule="auto"/>
              <w:ind w:left="106" w:right="0" w:firstLine="0"/>
              <w:jc w:val="left"/>
            </w:pPr>
            <w:r>
              <w:rPr>
                <w:sz w:val="20"/>
              </w:rPr>
              <w:t xml:space="preserve"> </w:t>
            </w:r>
          </w:p>
          <w:p>
            <w:pPr>
              <w:spacing w:before="0" w:after="0" w:line="237" w:lineRule="auto"/>
              <w:ind w:left="106" w:right="462" w:firstLine="0"/>
            </w:pPr>
            <w:r>
              <w:rPr>
                <w:sz w:val="20"/>
              </w:rPr>
              <w:t xml:space="preserve">-</w:t>
            </w:r>
            <w:r>
              <w:rPr>
                <w:sz w:val="20"/>
              </w:rPr>
              <w:t xml:space="preserve">Undertake citizen empowerment of the beneficiaries in the </w:t>
            </w:r>
          </w:p>
          <w:p>
            <w:pPr>
              <w:spacing w:before="0" w:after="0" w:line="259" w:lineRule="auto"/>
              <w:ind w:left="106" w:right="0" w:firstLine="0"/>
              <w:jc w:val="left"/>
            </w:pPr>
            <w:r>
              <w:rPr>
                <w:sz w:val="20"/>
              </w:rPr>
              <w:t xml:space="preserve">target communities</w:t>
            </w:r>
            <w:r>
              <w:rPr>
                <w:sz w:val="20"/>
              </w:rPr>
              <w:t xml:space="preserve"> </w:t>
            </w:r>
          </w:p>
          <w:p>
            <w:pPr>
              <w:spacing w:before="0" w:after="0" w:line="259" w:lineRule="auto"/>
              <w:ind w:left="106" w:right="0" w:firstLine="0"/>
              <w:jc w:val="left"/>
            </w:pPr>
            <w:r>
              <w:rPr>
                <w:sz w:val="20"/>
              </w:rPr>
              <w:t xml:space="preserve"> </w:t>
            </w:r>
          </w:p>
          <w:p>
            <w:pPr>
              <w:spacing w:before="0" w:after="0" w:line="237" w:lineRule="auto"/>
              <w:ind w:left="106" w:right="0" w:firstLine="0"/>
              <w:jc w:val="left"/>
            </w:pPr>
            <w:r>
              <w:rPr>
                <w:sz w:val="20"/>
              </w:rPr>
              <w:t xml:space="preserve">-</w:t>
            </w:r>
            <w:r>
              <w:rPr>
                <w:sz w:val="20"/>
              </w:rPr>
              <w:t xml:space="preserve">Facilitate public dialogues between beneficiary communities and duty bearers</w:t>
            </w:r>
            <w:r>
              <w:rPr>
                <w:sz w:val="20"/>
              </w:rPr>
              <w:t xml:space="preserve"> </w:t>
            </w:r>
          </w:p>
          <w:p>
            <w:pPr>
              <w:spacing w:before="0" w:after="0" w:line="259" w:lineRule="auto"/>
              <w:ind w:left="106" w:right="0" w:firstLine="0"/>
              <w:jc w:val="left"/>
            </w:pPr>
            <w:r>
              <w:rPr>
                <w:sz w:val="20"/>
              </w:rPr>
              <w:t xml:space="preserve"> </w:t>
            </w:r>
          </w:p>
          <w:p>
            <w:pPr>
              <w:spacing w:before="0" w:after="5" w:line="232" w:lineRule="auto"/>
              <w:ind w:left="106" w:right="0" w:firstLine="0"/>
            </w:pPr>
            <w:r>
              <w:rPr>
                <w:sz w:val="20"/>
              </w:rPr>
              <w:t xml:space="preserve">-</w:t>
            </w:r>
            <w:r>
              <w:rPr>
                <w:sz w:val="20"/>
              </w:rPr>
              <w:t xml:space="preserve">Review the implementation of </w:t>
            </w:r>
          </w:p>
          <w:p>
            <w:pPr>
              <w:spacing w:before="0" w:after="0" w:line="259" w:lineRule="auto"/>
              <w:ind w:left="106" w:right="0" w:firstLine="0"/>
              <w:jc w:val="left"/>
            </w:pPr>
            <w:r>
              <w:rPr>
                <w:sz w:val="20"/>
              </w:rPr>
              <w:t xml:space="preserve">citizens empowerment </w:t>
            </w:r>
          </w:p>
          <w:p>
            <w:pPr>
              <w:spacing w:before="0" w:after="0" w:line="259" w:lineRule="auto"/>
              <w:ind w:left="106" w:right="0" w:firstLine="0"/>
              <w:jc w:val="left"/>
            </w:pPr>
            <w:r>
              <w:rPr>
                <w:sz w:val="20"/>
              </w:rPr>
              <w:t xml:space="preserve">activities</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10" w:right="0" w:firstLine="0"/>
              <w:jc w:val="left"/>
            </w:pPr>
            <w:r>
              <w:rPr>
                <w:sz w:val="20"/>
              </w:rPr>
              <w:t xml:space="preserve">X</w:t>
            </w: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6"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X</w:t>
            </w: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6"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X</w:t>
            </w:r>
            <w:r>
              <w:rPr>
                <w:sz w:val="20"/>
              </w:rPr>
              <w:t xml:space="preserve"> </w:t>
            </w:r>
          </w:p>
          <w:p>
            <w:pPr>
              <w:spacing w:before="0" w:after="0" w:line="259" w:lineRule="auto"/>
              <w:ind w:left="110" w:right="0" w:firstLine="0"/>
              <w:jc w:val="left"/>
            </w:pPr>
            <w:r>
              <w:rPr>
                <w:sz w:val="20"/>
              </w:rPr>
              <w:t xml:space="preserve"> </w:t>
            </w:r>
          </w:p>
        </w:tc>
        <w:tc>
          <w:tcPr>
            <w:tcW w:w="869" w:type="dxa"/>
            <w:tcBorders>
              <w:top w:val="single" w:sz="4" w:color="000000"/>
              <w:left w:val="single" w:sz="4" w:color="000000"/>
              <w:bottom w:val="single" w:sz="4" w:color="000000"/>
              <w:right w:val="nil"/>
            </w:tcBorders>
            <w:vAlign w:val="top"/>
          </w:tcPr>
          <w:p>
            <w:pPr>
              <w:spacing w:before="0" w:after="12" w:line="259" w:lineRule="auto"/>
              <w:ind w:left="110" w:right="0" w:firstLine="0"/>
              <w:jc w:val="left"/>
            </w:pPr>
            <w:r>
              <w:rPr>
                <w:sz w:val="20"/>
              </w:rPr>
              <w:t xml:space="preserve">Ministry </w:t>
            </w:r>
          </w:p>
          <w:p>
            <w:pPr>
              <w:spacing w:before="0" w:after="12" w:line="259" w:lineRule="auto"/>
              <w:ind w:left="110" w:right="-345" w:firstLine="0"/>
              <w:jc w:val="left"/>
            </w:pPr>
            <w:r>
              <w:rPr>
                <w:sz w:val="20"/>
              </w:rPr>
              <w:t xml:space="preserve">Government, </w:t>
            </w:r>
          </w:p>
          <w:p>
            <w:pPr>
              <w:spacing w:before="0" w:after="0" w:line="259" w:lineRule="auto"/>
              <w:ind w:left="110" w:right="0" w:firstLine="0"/>
              <w:jc w:val="left"/>
            </w:pPr>
            <w:r>
              <w:rPr>
                <w:sz w:val="20"/>
              </w:rPr>
              <w:t xml:space="preserve">CSOs</w:t>
            </w:r>
            <w:r>
              <w:rPr>
                <w:sz w:val="20"/>
              </w:rPr>
              <w:t xml:space="preserve"> </w:t>
            </w:r>
          </w:p>
        </w:tc>
        <w:tc>
          <w:tcPr>
            <w:tcW w:w="735" w:type="dxa"/>
            <w:tcBorders>
              <w:top w:val="single" w:sz="4" w:color="000000"/>
              <w:left w:val="nil"/>
              <w:bottom w:val="single" w:sz="4" w:color="000000"/>
              <w:right w:val="nil"/>
            </w:tcBorders>
            <w:vAlign w:val="top"/>
          </w:tcPr>
          <w:p>
            <w:pPr>
              <w:spacing w:before="0" w:after="0" w:line="259" w:lineRule="auto"/>
              <w:ind w:left="322" w:right="-560" w:hanging="1080"/>
            </w:pPr>
            <w:r>
              <w:rPr>
                <w:sz w:val="20"/>
              </w:rPr>
              <w:t xml:space="preserve">OPM, Local Authorities, of </w:t>
            </w:r>
          </w:p>
        </w:tc>
        <w:tc>
          <w:tcPr>
            <w:tcW w:w="662" w:type="dxa"/>
            <w:tcBorders>
              <w:top w:val="single" w:sz="4" w:color="000000"/>
              <w:left w:val="nil"/>
              <w:bottom w:val="single" w:sz="4" w:color="000000"/>
              <w:right w:val="single" w:sz="4" w:color="000000"/>
            </w:tcBorders>
            <w:vAlign w:val="top"/>
          </w:tcPr>
          <w:p>
            <w:pPr>
              <w:spacing w:before="0" w:after="0" w:line="259" w:lineRule="auto"/>
              <w:ind w:left="0" w:right="0" w:firstLine="106"/>
              <w:jc w:val="left"/>
            </w:pPr>
            <w:r>
              <w:rPr>
                <w:sz w:val="20"/>
              </w:rPr>
              <w:t xml:space="preserve">Local UNDP, </w:t>
            </w:r>
          </w:p>
        </w:tc>
        <w:tc>
          <w:tcPr>
            <w:tcW w:w="1402" w:type="dxa"/>
            <w:tcBorders>
              <w:top w:val="single" w:sz="4" w:color="000000"/>
              <w:left w:val="single" w:sz="4" w:color="000000"/>
              <w:bottom w:val="single" w:sz="4" w:color="000000"/>
              <w:right w:val="single" w:sz="4" w:color="000000"/>
            </w:tcBorders>
            <w:vAlign w:val="center"/>
          </w:tcPr>
          <w:p>
            <w:pPr>
              <w:spacing w:before="0" w:after="0" w:line="259" w:lineRule="auto"/>
              <w:ind w:left="110" w:right="59" w:firstLine="0"/>
              <w:jc w:val="left"/>
            </w:pPr>
            <w:r>
              <w:rPr>
                <w:sz w:val="20"/>
              </w:rPr>
              <w:t xml:space="preserve">UNDP/BCPR with support from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center"/>
          </w:tcPr>
          <w:p>
            <w:pPr>
              <w:spacing w:before="0" w:after="0" w:line="259" w:lineRule="auto"/>
              <w:ind w:left="106" w:right="0" w:firstLine="0"/>
              <w:jc w:val="left"/>
            </w:pPr>
            <w:r>
              <w:rPr>
                <w:sz w:val="20"/>
              </w:rPr>
              <w:t xml:space="preserve">Consultancy fees, professional services, facilitation 	and meeting 	costs, travel, DSA</w:t>
            </w:r>
            <w:r>
              <w:rPr>
                <w:sz w:val="20"/>
              </w:rPr>
              <w:t xml:space="preserve"> </w:t>
            </w: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sz w:val="20"/>
              </w:rPr>
              <w:t xml:space="preserve"> </w:t>
            </w:r>
          </w:p>
        </w:tc>
      </w:tr>
      <w:tr>
        <w:trPr>
          <w:trHeight w:val="242" w:hRule="atLeast"/>
        </w:trPr>
        <w:tc>
          <w:tcPr>
            <w:tcW w:w="6851" w:type="dxa"/>
            <w:gridSpan w:val="7"/>
            <w:tcBorders>
              <w:top w:val="single" w:sz="4" w:color="000000"/>
              <w:left w:val="single" w:sz="4" w:color="000000"/>
              <w:bottom w:val="single" w:sz="4" w:color="000000"/>
              <w:right w:val="nil"/>
            </w:tcBorders>
            <w:shd w:val="clear" w:fill="d9d9d9"/>
            <w:vAlign w:val="top"/>
          </w:tcPr>
          <w:p>
            <w:pPr>
              <w:spacing w:before="0" w:after="0" w:line="259" w:lineRule="auto"/>
              <w:ind w:left="107" w:right="0" w:firstLine="0"/>
              <w:jc w:val="left"/>
            </w:pPr>
            <w:r>
              <w:rPr>
                <w:rFonts w:cs="Cambria" w:hAnsi="Cambria" w:eastAsia="Cambria" w:ascii="Cambria"/>
                <w:b w:val="1"/>
                <w:sz w:val="20"/>
              </w:rPr>
              <w:t xml:space="preserve">Sub Total</w:t>
            </w:r>
            <w:r>
              <w:rPr>
                <w:rFonts w:cs="Cambria" w:hAnsi="Cambria" w:eastAsia="Cambria" w:ascii="Cambria"/>
                <w:b w:val="1"/>
                <w:sz w:val="20"/>
              </w:rPr>
              <w:t xml:space="preserve"> – </w:t>
            </w:r>
            <w:r>
              <w:rPr>
                <w:rFonts w:cs="Cambria" w:hAnsi="Cambria" w:eastAsia="Cambria" w:ascii="Cambria"/>
                <w:b w:val="1"/>
                <w:sz w:val="20"/>
              </w:rPr>
              <w:t xml:space="preserve">Output 4</w:t>
            </w:r>
            <w:r>
              <w:rPr>
                <w:rFonts w:cs="Cambria" w:hAnsi="Cambria" w:eastAsia="Cambria" w:ascii="Cambria"/>
                <w:b w:val="1"/>
                <w:sz w:val="20"/>
              </w:rPr>
              <w:t xml:space="preserve"> </w:t>
            </w:r>
          </w:p>
        </w:tc>
        <w:tc>
          <w:tcPr>
            <w:tcW w:w="735"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3771" w:type="dxa"/>
            <w:gridSpan w:val="3"/>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rFonts w:cs="Cambria" w:hAnsi="Cambria" w:eastAsia="Cambria" w:ascii="Cambria"/>
                <w:b w:val="1"/>
                <w:sz w:val="20"/>
              </w:rPr>
              <w:t xml:space="preserve">600,000</w:t>
            </w:r>
            <w:r>
              <w:rPr>
                <w:rFonts w:cs="Cambria" w:hAnsi="Cambria" w:eastAsia="Cambria" w:ascii="Cambria"/>
                <w:b w:val="1"/>
                <w:sz w:val="20"/>
              </w:rPr>
              <w:t xml:space="preserve"> </w:t>
            </w:r>
          </w:p>
        </w:tc>
      </w:tr>
      <w:tr>
        <w:trPr>
          <w:trHeight w:val="1628" w:hRule="atLeast"/>
        </w:trPr>
        <w:tc>
          <w:tcPr>
            <w:tcW w:w="2267" w:type="dxa"/>
            <w:tcBorders>
              <w:top w:val="single" w:sz="4" w:color="000000"/>
              <w:left w:val="single" w:sz="4" w:color="000000"/>
              <w:bottom w:val="single" w:sz="4" w:color="000000"/>
              <w:right w:val="single" w:sz="4" w:color="000000"/>
            </w:tcBorders>
            <w:vAlign w:val="top"/>
          </w:tcPr>
          <w:p>
            <w:pPr>
              <w:spacing w:before="0" w:after="0" w:line="259" w:lineRule="auto"/>
              <w:ind w:left="107" w:right="0" w:firstLine="0"/>
              <w:jc w:val="left"/>
            </w:pPr>
            <w:r>
              <w:rPr>
                <w:sz w:val="20"/>
              </w:rPr>
              <w:t xml:space="preserve">Project Management, </w:t>
            </w:r>
            <w:r>
              <w:rPr>
                <w:color w:val="404040"/>
                <w:sz w:val="20"/>
              </w:rPr>
              <w:t xml:space="preserve">Oversight and overall coordination</w:t>
            </w:r>
            <w:r>
              <w:rPr>
                <w:rFonts w:cs="Cambria" w:hAnsi="Cambria" w:eastAsia="Cambria" w:ascii="Cambria"/>
                <w:i w:val="1"/>
                <w:sz w:val="20"/>
              </w:rPr>
              <w:t xml:space="preserve"> </w:t>
            </w:r>
          </w:p>
        </w:tc>
        <w:tc>
          <w:tcPr>
            <w:tcW w:w="2357" w:type="dxa"/>
            <w:tcBorders>
              <w:top w:val="single" w:sz="4" w:color="000000"/>
              <w:left w:val="single" w:sz="4" w:color="000000"/>
              <w:bottom w:val="single" w:sz="4" w:color="000000"/>
              <w:right w:val="single" w:sz="4" w:color="000000"/>
            </w:tcBorders>
            <w:vAlign w:val="top"/>
          </w:tcPr>
          <w:p>
            <w:pPr>
              <w:spacing w:before="0" w:after="0" w:line="271" w:lineRule="auto"/>
              <w:ind w:left="106" w:right="108" w:firstLine="0"/>
            </w:pPr>
            <w:r>
              <w:rPr>
                <w:sz w:val="20"/>
              </w:rPr>
              <w:t xml:space="preserve">Oversight  provided and coordination done to ensure timely </w:t>
            </w:r>
          </w:p>
          <w:p>
            <w:pPr>
              <w:spacing w:before="0" w:after="0" w:line="276" w:lineRule="auto"/>
              <w:ind w:left="106" w:right="0" w:firstLine="0"/>
              <w:jc w:val="left"/>
            </w:pPr>
            <w:r>
              <w:rPr>
                <w:sz w:val="20"/>
              </w:rPr>
              <w:t xml:space="preserve">programme implementation:</w:t>
            </w:r>
            <w:r>
              <w:rPr>
                <w:sz w:val="20"/>
              </w:rPr>
              <w:t xml:space="preserve"> </w:t>
            </w:r>
          </w:p>
          <w:p>
            <w:pPr>
              <w:spacing w:before="0" w:after="0" w:line="259" w:lineRule="auto"/>
              <w:ind w:left="106"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106" w:right="0" w:firstLine="0"/>
              <w:jc w:val="left"/>
            </w:pPr>
            <w:r>
              <w:rPr>
                <w:sz w:val="20"/>
              </w:rPr>
              <w:t xml:space="preserve">X</w:t>
            </w:r>
            <w:r>
              <w:rPr>
                <w:sz w:val="20"/>
              </w:rPr>
              <w:t xml:space="preserve"> </w:t>
            </w:r>
          </w:p>
          <w:p>
            <w:pPr>
              <w:spacing w:before="0" w:after="12"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16" w:line="259" w:lineRule="auto"/>
              <w:ind w:left="106" w:right="0" w:firstLine="0"/>
              <w:jc w:val="left"/>
            </w:pPr>
            <w:r>
              <w:rPr>
                <w:sz w:val="20"/>
              </w:rPr>
              <w:t xml:space="preserve"> </w:t>
            </w:r>
          </w:p>
          <w:p>
            <w:pPr>
              <w:spacing w:before="0" w:after="12" w:line="259" w:lineRule="auto"/>
              <w:ind w:left="106" w:right="0" w:firstLine="0"/>
              <w:jc w:val="left"/>
            </w:pPr>
            <w:r>
              <w:rPr>
                <w:sz w:val="20"/>
              </w:rPr>
              <w:t xml:space="preserve"> </w:t>
            </w:r>
          </w:p>
          <w:p>
            <w:pPr>
              <w:spacing w:before="0" w:after="0" w:line="259" w:lineRule="auto"/>
              <w:ind w:left="106" w:right="0" w:firstLine="0"/>
              <w:jc w:val="left"/>
            </w:pP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110" w:right="0" w:firstLine="0"/>
              <w:jc w:val="left"/>
            </w:pPr>
            <w:r>
              <w:rPr>
                <w:sz w:val="20"/>
              </w:rPr>
              <w:t xml:space="preserve">X</w:t>
            </w:r>
            <w:r>
              <w:rPr>
                <w:sz w:val="20"/>
              </w:rPr>
              <w:t xml:space="preserve"> </w:t>
            </w:r>
          </w:p>
          <w:p>
            <w:pPr>
              <w:spacing w:before="0" w:after="12"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16" w:line="259" w:lineRule="auto"/>
              <w:ind w:left="110" w:right="0" w:firstLine="0"/>
              <w:jc w:val="left"/>
            </w:pPr>
            <w:r>
              <w:rPr>
                <w:sz w:val="20"/>
              </w:rPr>
              <w:t xml:space="preserve"> </w:t>
            </w:r>
          </w:p>
          <w:p>
            <w:pPr>
              <w:spacing w:before="0" w:after="12" w:line="259" w:lineRule="auto"/>
              <w:ind w:left="110" w:right="0" w:firstLine="0"/>
              <w:jc w:val="left"/>
            </w:pPr>
            <w:r>
              <w:rPr>
                <w:sz w:val="20"/>
              </w:rPr>
              <w:t xml:space="preserve"> </w:t>
            </w:r>
          </w:p>
          <w:p>
            <w:pPr>
              <w:spacing w:before="0" w:after="0" w:line="259" w:lineRule="auto"/>
              <w:ind w:left="110" w:right="0" w:firstLine="0"/>
              <w:jc w:val="left"/>
            </w:pPr>
            <w:r>
              <w:rPr>
                <w:sz w:val="20"/>
              </w:rPr>
              <w:t xml:space="preserve"> </w:t>
            </w:r>
          </w:p>
        </w:tc>
        <w:tc>
          <w:tcPr>
            <w:tcW w:w="2266" w:type="dxa"/>
            <w:gridSpan w:val="3"/>
            <w:tcBorders>
              <w:top w:val="single" w:sz="4" w:color="000000"/>
              <w:left w:val="single" w:sz="4" w:color="000000"/>
              <w:bottom w:val="single" w:sz="4" w:color="000000"/>
              <w:right w:val="single" w:sz="4" w:color="000000"/>
            </w:tcBorders>
            <w:vAlign w:val="center"/>
          </w:tcPr>
          <w:p>
            <w:pPr>
              <w:tabs>
                <w:tab w:val="center" w:pos="388"/>
                <w:tab w:val="center" w:pos="1188"/>
                <w:tab w:val="center" w:pos="1935"/>
              </w:tabs>
              <w:spacing w:before="0" w:after="16" w:line="259" w:lineRule="auto"/>
              <w:ind w:left="0" w:right="0" w:firstLine="0"/>
              <w:jc w:val="left"/>
            </w:pPr>
            <w:r>
              <w:rPr>
                <w:rFonts w:cs="Calibri" w:hAnsi="Calibri" w:eastAsia="Calibri" w:ascii="Calibri"/>
                <w:sz w:val="22"/>
              </w:rPr>
              <w:t xml:space="preserve">	</w:t>
            </w:r>
            <w:r>
              <w:rPr>
                <w:sz w:val="20"/>
              </w:rPr>
              <w:t xml:space="preserve">UNDP, 	District 	Local </w:t>
            </w:r>
          </w:p>
          <w:p>
            <w:pPr>
              <w:spacing w:before="0" w:after="0" w:line="259" w:lineRule="auto"/>
              <w:ind w:left="110" w:right="0" w:firstLine="0"/>
              <w:jc w:val="left"/>
            </w:pPr>
            <w:r>
              <w:rPr>
                <w:sz w:val="20"/>
              </w:rPr>
              <w:t xml:space="preserve">Authorities, OPM</w:t>
            </w:r>
            <w:r>
              <w:rPr>
                <w:sz w:val="20"/>
              </w:rPr>
              <w:t xml:space="preserve"> </w:t>
            </w:r>
          </w:p>
        </w:tc>
        <w:tc>
          <w:tcPr>
            <w:tcW w:w="1402" w:type="dxa"/>
            <w:tcBorders>
              <w:top w:val="single" w:sz="4" w:color="000000"/>
              <w:left w:val="single" w:sz="4" w:color="000000"/>
              <w:bottom w:val="single" w:sz="4" w:color="000000"/>
              <w:right w:val="single" w:sz="4" w:color="000000"/>
            </w:tcBorders>
            <w:vAlign w:val="center"/>
          </w:tcPr>
          <w:p>
            <w:pPr>
              <w:spacing w:before="0" w:after="0" w:line="259" w:lineRule="auto"/>
              <w:ind w:left="110" w:right="59" w:firstLine="0"/>
              <w:jc w:val="left"/>
            </w:pPr>
            <w:r>
              <w:rPr>
                <w:sz w:val="20"/>
              </w:rPr>
              <w:t xml:space="preserve">UNDP/BCPR with support from potential donors</w:t>
            </w:r>
            <w:r>
              <w:rPr>
                <w:sz w:val="20"/>
              </w:rPr>
              <w:t xml:space="preserve"> </w:t>
            </w:r>
          </w:p>
        </w:tc>
        <w:tc>
          <w:tcPr>
            <w:tcW w:w="1708" w:type="dxa"/>
            <w:tcBorders>
              <w:top w:val="single" w:sz="4" w:color="000000"/>
              <w:left w:val="single" w:sz="4" w:color="000000"/>
              <w:bottom w:val="single" w:sz="4" w:color="000000"/>
              <w:right w:val="single" w:sz="4" w:color="000000"/>
            </w:tcBorders>
            <w:vAlign w:val="center"/>
          </w:tcPr>
          <w:p>
            <w:pPr>
              <w:spacing w:before="0" w:after="5" w:line="271" w:lineRule="auto"/>
              <w:ind w:left="106" w:right="105" w:firstLine="0"/>
            </w:pPr>
            <w:r>
              <w:rPr>
                <w:sz w:val="20"/>
              </w:rPr>
              <w:t xml:space="preserve">Project staff costs, travel, DSA, supplier </w:t>
            </w:r>
          </w:p>
          <w:p>
            <w:pPr>
              <w:spacing w:before="0" w:after="12" w:line="259" w:lineRule="auto"/>
              <w:ind w:left="106" w:right="0" w:firstLine="0"/>
              <w:jc w:val="left"/>
            </w:pPr>
            <w:r>
              <w:rPr>
                <w:sz w:val="20"/>
              </w:rPr>
              <w:t xml:space="preserve">costs, </w:t>
            </w:r>
          </w:p>
          <w:p>
            <w:pPr>
              <w:spacing w:before="0" w:after="0" w:line="259" w:lineRule="auto"/>
              <w:ind w:left="106" w:right="0" w:firstLine="0"/>
              <w:jc w:val="left"/>
            </w:pPr>
            <w:r>
              <w:rPr>
                <w:sz w:val="20"/>
              </w:rPr>
              <w:t xml:space="preserve">consultancy fees </w:t>
            </w:r>
            <w:r>
              <w:rPr>
                <w:sz w:val="20"/>
              </w:rPr>
              <w:t xml:space="preserve"> </w:t>
            </w:r>
          </w:p>
        </w:tc>
        <w:tc>
          <w:tcPr>
            <w:tcW w:w="1619" w:type="dxa"/>
            <w:tcBorders>
              <w:top w:val="single" w:sz="4" w:color="000000"/>
              <w:left w:val="single" w:sz="4" w:color="000000"/>
              <w:bottom w:val="single" w:sz="4" w:color="000000"/>
              <w:right w:val="single" w:sz="4" w:color="000000"/>
            </w:tcBorders>
            <w:vAlign w:val="center"/>
          </w:tcPr>
          <w:p>
            <w:pPr>
              <w:spacing w:before="0" w:after="0" w:line="259" w:lineRule="auto"/>
              <w:ind w:left="107" w:right="0" w:firstLine="0"/>
              <w:jc w:val="left"/>
            </w:pPr>
            <w:r>
              <w:rPr>
                <w:sz w:val="20"/>
              </w:rPr>
              <w:t xml:space="preserve"> </w:t>
            </w:r>
          </w:p>
        </w:tc>
      </w:tr>
    </w:tbl>
    <w:tbl>
      <w:tblPr>
        <w:tblStyle w:val="TableGrid"/>
        <w:tblW w:w="12976" w:type="dxa"/>
        <w:tblInd w:w="-107" w:type="dxa"/>
        <w:tblCellMar>
          <w:top w:w="33" w:type="dxa"/>
          <w:left w:w="0" w:type="dxa"/>
          <w:bottom w:w="0" w:type="dxa"/>
          <w:right w:w="0" w:type="dxa"/>
        </w:tblCellMar>
      </w:tblPr>
      <w:tblGrid>
        <w:gridCol w:w="2089"/>
        <w:gridCol w:w="178"/>
        <w:gridCol w:w="2357"/>
        <w:gridCol w:w="341"/>
        <w:gridCol w:w="341"/>
        <w:gridCol w:w="336"/>
        <w:gridCol w:w="341"/>
        <w:gridCol w:w="2266"/>
        <w:gridCol w:w="1402"/>
        <w:gridCol w:w="1708"/>
        <w:gridCol w:w="1619"/>
      </w:tblGrid>
      <w:tr>
        <w:trPr>
          <w:trHeight w:val="4864" w:hRule="atLeast"/>
        </w:trPr>
        <w:tc>
          <w:tcPr>
            <w:tcW w:w="2267" w:type="dxa"/>
            <w:gridSpan w:val="2"/>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357"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rFonts w:cs="Cambria" w:hAnsi="Cambria" w:eastAsia="Cambria" w:ascii="Cambria"/>
                <w:b w:val="1"/>
                <w:sz w:val="20"/>
              </w:rPr>
              <w:t xml:space="preserve">Planned Actions:</w:t>
            </w:r>
            <w:r>
              <w:rPr>
                <w:rFonts w:cs="Cambria" w:hAnsi="Cambria" w:eastAsia="Cambria" w:ascii="Cambria"/>
                <w:b w:val="1"/>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w:t>
            </w:r>
            <w:r>
              <w:rPr>
                <w:sz w:val="20"/>
              </w:rPr>
              <w:t xml:space="preserve">Recruitment of Project </w:t>
            </w:r>
          </w:p>
          <w:p>
            <w:pPr>
              <w:spacing w:before="0" w:after="12" w:line="259" w:lineRule="auto"/>
              <w:ind w:left="29" w:right="0" w:firstLine="0"/>
              <w:jc w:val="left"/>
            </w:pPr>
            <w:r>
              <w:rPr>
                <w:sz w:val="20"/>
              </w:rPr>
              <w:t xml:space="preserve">staff</w:t>
            </w:r>
            <w:r>
              <w:rPr>
                <w:sz w:val="20"/>
              </w:rPr>
              <w:t xml:space="preserve"> </w:t>
            </w:r>
          </w:p>
          <w:p>
            <w:pPr>
              <w:spacing w:before="0" w:after="12" w:line="259" w:lineRule="auto"/>
              <w:ind w:left="29" w:right="0" w:firstLine="0"/>
              <w:jc w:val="left"/>
            </w:pPr>
            <w:r>
              <w:rPr>
                <w:sz w:val="20"/>
              </w:rPr>
              <w:t xml:space="preserve">-</w:t>
            </w:r>
            <w:r>
              <w:rPr>
                <w:sz w:val="20"/>
              </w:rPr>
              <w:t xml:space="preserve">Procurement of project </w:t>
            </w:r>
          </w:p>
          <w:p>
            <w:pPr>
              <w:spacing w:before="0" w:after="12" w:line="259" w:lineRule="auto"/>
              <w:ind w:left="29" w:right="0" w:firstLine="0"/>
              <w:jc w:val="left"/>
            </w:pPr>
            <w:r>
              <w:rPr>
                <w:sz w:val="20"/>
              </w:rPr>
              <w:t xml:space="preserve">assets </w:t>
            </w:r>
            <w:r>
              <w:rPr>
                <w:sz w:val="20"/>
              </w:rPr>
              <w:t xml:space="preserve"> </w:t>
            </w:r>
          </w:p>
          <w:p>
            <w:pPr>
              <w:spacing w:before="0" w:after="0" w:line="279" w:lineRule="auto"/>
              <w:ind w:left="29" w:right="0" w:firstLine="0"/>
              <w:jc w:val="left"/>
            </w:pPr>
            <w:r>
              <w:rPr>
                <w:sz w:val="20"/>
              </w:rPr>
              <w:t xml:space="preserve">-</w:t>
            </w:r>
            <w:r>
              <w:rPr>
                <w:sz w:val="20"/>
              </w:rPr>
              <w:t xml:space="preserve">Identify, select, assess and 	deliver 	capacity development interventions 	for </w:t>
            </w:r>
          </w:p>
          <w:p>
            <w:pPr>
              <w:spacing w:before="0" w:after="0" w:line="271" w:lineRule="auto"/>
              <w:ind w:left="29" w:right="0" w:firstLine="0"/>
            </w:pPr>
            <w:r>
              <w:rPr>
                <w:sz w:val="20"/>
              </w:rPr>
              <w:t xml:space="preserve">implementing partners</w:t>
            </w:r>
            <w:r>
              <w:rPr>
                <w:sz w:val="20"/>
              </w:rPr>
              <w:t xml:space="preserve"> -</w:t>
            </w:r>
            <w:r>
              <w:rPr>
                <w:sz w:val="20"/>
              </w:rPr>
              <w:t xml:space="preserve">Establish project </w:t>
            </w:r>
          </w:p>
          <w:p>
            <w:pPr>
              <w:spacing w:before="0" w:after="5" w:line="271" w:lineRule="auto"/>
              <w:ind w:left="29" w:right="0" w:firstLine="0"/>
              <w:jc w:val="left"/>
            </w:pPr>
            <w:r>
              <w:rPr>
                <w:sz w:val="20"/>
              </w:rPr>
              <w:t xml:space="preserve">management arrangements</w:t>
            </w:r>
            <w:r>
              <w:rPr>
                <w:sz w:val="20"/>
              </w:rPr>
              <w:t xml:space="preserve"> </w:t>
            </w:r>
          </w:p>
          <w:p>
            <w:pPr>
              <w:spacing w:before="0" w:after="0" w:line="271" w:lineRule="auto"/>
              <w:ind w:left="29" w:right="108" w:firstLine="0"/>
            </w:pPr>
            <w:r>
              <w:rPr>
                <w:sz w:val="20"/>
              </w:rPr>
              <w:t xml:space="preserve">-</w:t>
            </w:r>
            <w:r>
              <w:rPr>
                <w:sz w:val="20"/>
              </w:rPr>
              <w:t xml:space="preserve">Monitor programme implementation and provide oversight </w:t>
            </w:r>
          </w:p>
          <w:p>
            <w:pPr>
              <w:spacing w:before="0" w:after="0" w:line="259" w:lineRule="auto"/>
              <w:ind w:left="29" w:right="0" w:firstLine="0"/>
              <w:jc w:val="left"/>
            </w:pPr>
            <w:r>
              <w:rPr>
                <w:sz w:val="20"/>
              </w:rPr>
              <w:t xml:space="preserve">functions</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7" w:line="259" w:lineRule="auto"/>
              <w:ind w:left="29" w:right="0" w:firstLine="0"/>
              <w:jc w:val="left"/>
            </w:pPr>
            <w:r>
              <w:rPr>
                <w:sz w:val="20"/>
              </w:rPr>
              <w:t xml:space="preserve"> </w:t>
            </w:r>
          </w:p>
          <w:p>
            <w:pPr>
              <w:spacing w:before="0" w:after="0" w:line="259" w:lineRule="auto"/>
              <w:ind w:left="29"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7" w:line="259" w:lineRule="auto"/>
              <w:ind w:left="29" w:right="0" w:firstLine="0"/>
              <w:jc w:val="left"/>
            </w:pPr>
            <w:r>
              <w:rPr>
                <w:sz w:val="20"/>
              </w:rPr>
              <w:t xml:space="preserve"> </w:t>
            </w:r>
          </w:p>
          <w:p>
            <w:pPr>
              <w:spacing w:before="0" w:after="0" w:line="259" w:lineRule="auto"/>
              <w:ind w:left="29" w:right="0" w:firstLine="0"/>
              <w:jc w:val="left"/>
            </w:pPr>
            <w:r>
              <w:rPr>
                <w:sz w:val="20"/>
              </w:rPr>
              <w:t xml:space="preserve">X</w:t>
            </w:r>
            <w:r>
              <w:rPr>
                <w:sz w:val="20"/>
              </w:rPr>
              <w:t xml:space="preserve"> </w:t>
            </w:r>
          </w:p>
        </w:tc>
        <w:tc>
          <w:tcPr>
            <w:tcW w:w="336" w:type="dxa"/>
            <w:tcBorders>
              <w:top w:val="single" w:sz="4" w:color="000000"/>
              <w:left w:val="single" w:sz="4" w:color="000000"/>
              <w:bottom w:val="single" w:sz="4" w:color="000000"/>
              <w:right w:val="single" w:sz="4" w:color="000000"/>
            </w:tcBorders>
            <w:vAlign w:val="top"/>
          </w:tcPr>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2" w:line="259" w:lineRule="auto"/>
              <w:ind w:left="29" w:right="0" w:firstLine="0"/>
              <w:jc w:val="left"/>
            </w:pPr>
            <w:r>
              <w:rPr>
                <w:sz w:val="20"/>
              </w:rPr>
              <w:t xml:space="preserve"> </w:t>
            </w:r>
          </w:p>
          <w:p>
            <w:pPr>
              <w:spacing w:before="0" w:after="16" w:line="259" w:lineRule="auto"/>
              <w:ind w:left="29" w:right="0" w:firstLine="0"/>
              <w:jc w:val="left"/>
            </w:pPr>
            <w:r>
              <w:rPr>
                <w:sz w:val="20"/>
              </w:rPr>
              <w:t xml:space="preserve">X</w:t>
            </w:r>
            <w:r>
              <w:rPr>
                <w:sz w:val="20"/>
              </w:rPr>
              <w:t xml:space="preserve"> </w:t>
            </w:r>
          </w:p>
          <w:p>
            <w:pPr>
              <w:spacing w:before="0" w:after="12" w:line="259" w:lineRule="auto"/>
              <w:ind w:left="29" w:right="0" w:firstLine="0"/>
              <w:jc w:val="left"/>
            </w:pPr>
            <w:r>
              <w:rPr>
                <w:sz w:val="20"/>
              </w:rPr>
              <w:t xml:space="preserve"> </w:t>
            </w:r>
          </w:p>
          <w:p>
            <w:pPr>
              <w:spacing w:before="0" w:after="7" w:line="259" w:lineRule="auto"/>
              <w:ind w:left="29" w:right="0" w:firstLine="0"/>
              <w:jc w:val="left"/>
            </w:pPr>
            <w:r>
              <w:rPr>
                <w:sz w:val="20"/>
              </w:rPr>
              <w:t xml:space="preserve"> </w:t>
            </w:r>
          </w:p>
          <w:p>
            <w:pPr>
              <w:spacing w:before="0" w:after="0" w:line="259" w:lineRule="auto"/>
              <w:ind w:left="29" w:right="0" w:firstLine="0"/>
              <w:jc w:val="left"/>
            </w:pPr>
            <w:r>
              <w:rPr>
                <w:sz w:val="20"/>
              </w:rPr>
              <w:t xml:space="preserve">X</w:t>
            </w:r>
            <w:r>
              <w:rPr>
                <w:sz w:val="20"/>
              </w:rPr>
              <w:t xml:space="preserve"> </w:t>
            </w:r>
          </w:p>
        </w:tc>
        <w:tc>
          <w:tcPr>
            <w:tcW w:w="341" w:type="dxa"/>
            <w:tcBorders>
              <w:top w:val="single" w:sz="4" w:color="000000"/>
              <w:left w:val="single" w:sz="4" w:color="000000"/>
              <w:bottom w:val="single" w:sz="4" w:color="000000"/>
              <w:right w:val="single" w:sz="4" w:color="000000"/>
            </w:tcBorders>
            <w:vAlign w:val="top"/>
          </w:tcPr>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6"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X</w:t>
            </w: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6" w:line="259" w:lineRule="auto"/>
              <w:ind w:left="34" w:right="0" w:firstLine="0"/>
              <w:jc w:val="left"/>
            </w:pPr>
            <w:r>
              <w:rPr>
                <w:sz w:val="20"/>
              </w:rPr>
              <w:t xml:space="preserve">X</w:t>
            </w: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2" w:line="259" w:lineRule="auto"/>
              <w:ind w:left="34" w:right="0" w:firstLine="0"/>
              <w:jc w:val="left"/>
            </w:pPr>
            <w:r>
              <w:rPr>
                <w:sz w:val="20"/>
              </w:rPr>
              <w:t xml:space="preserve"> </w:t>
            </w:r>
          </w:p>
          <w:p>
            <w:pPr>
              <w:spacing w:before="0" w:after="16" w:line="259" w:lineRule="auto"/>
              <w:ind w:left="34" w:right="0" w:firstLine="0"/>
              <w:jc w:val="left"/>
            </w:pPr>
            <w:r>
              <w:rPr>
                <w:sz w:val="20"/>
              </w:rPr>
              <w:t xml:space="preserve">X</w:t>
            </w:r>
            <w:r>
              <w:rPr>
                <w:sz w:val="20"/>
              </w:rPr>
              <w:t xml:space="preserve"> </w:t>
            </w:r>
          </w:p>
          <w:p>
            <w:pPr>
              <w:spacing w:before="0" w:after="12" w:line="259" w:lineRule="auto"/>
              <w:ind w:left="34" w:right="0" w:firstLine="0"/>
              <w:jc w:val="left"/>
            </w:pPr>
            <w:r>
              <w:rPr>
                <w:sz w:val="20"/>
              </w:rPr>
              <w:t xml:space="preserve"> </w:t>
            </w:r>
          </w:p>
          <w:p>
            <w:pPr>
              <w:spacing w:before="0" w:after="7" w:line="259" w:lineRule="auto"/>
              <w:ind w:left="34" w:right="0" w:firstLine="0"/>
              <w:jc w:val="left"/>
            </w:pPr>
            <w:r>
              <w:rPr>
                <w:sz w:val="20"/>
              </w:rPr>
              <w:t xml:space="preserve"> </w:t>
            </w:r>
          </w:p>
          <w:p>
            <w:pPr>
              <w:spacing w:before="0" w:after="0" w:line="259" w:lineRule="auto"/>
              <w:ind w:left="34" w:right="0" w:firstLine="0"/>
              <w:jc w:val="left"/>
            </w:pPr>
            <w:r>
              <w:rPr>
                <w:sz w:val="20"/>
              </w:rPr>
              <w:t xml:space="preserve">X</w:t>
            </w:r>
            <w:r>
              <w:rPr>
                <w:sz w:val="20"/>
              </w:rPr>
              <w:t xml:space="preserve"> </w:t>
            </w:r>
          </w:p>
        </w:tc>
        <w:tc>
          <w:tcPr>
            <w:tcW w:w="22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02"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70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244" w:hRule="atLeast"/>
        </w:trPr>
        <w:tc>
          <w:tcPr>
            <w:tcW w:w="4624" w:type="dxa"/>
            <w:gridSpan w:val="3"/>
            <w:tcBorders>
              <w:top w:val="single" w:sz="4" w:color="000000"/>
              <w:left w:val="single" w:sz="4" w:color="000000"/>
              <w:bottom w:val="single" w:sz="4" w:color="000000"/>
              <w:right w:val="nil"/>
            </w:tcBorders>
            <w:shd w:val="clear" w:fill="d9d9d9"/>
            <w:vAlign w:val="top"/>
          </w:tcPr>
          <w:p>
            <w:pPr>
              <w:spacing w:before="0" w:after="0" w:line="259" w:lineRule="auto"/>
              <w:ind w:left="30" w:right="0" w:firstLine="0"/>
              <w:jc w:val="left"/>
            </w:pPr>
            <w:r>
              <w:rPr>
                <w:rFonts w:cs="Cambria" w:hAnsi="Cambria" w:eastAsia="Cambria" w:ascii="Cambria"/>
                <w:b w:val="1"/>
                <w:sz w:val="20"/>
              </w:rPr>
              <w:t xml:space="preserve">Sub Total</w:t>
            </w:r>
            <w:r>
              <w:rPr>
                <w:rFonts w:cs="Cambria" w:hAnsi="Cambria" w:eastAsia="Cambria" w:ascii="Cambria"/>
                <w:b w:val="1"/>
                <w:sz w:val="20"/>
              </w:rPr>
              <w:t xml:space="preserve"> – </w:t>
            </w:r>
            <w:r>
              <w:rPr>
                <w:rFonts w:cs="Cambria" w:hAnsi="Cambria" w:eastAsia="Cambria" w:ascii="Cambria"/>
                <w:b w:val="1"/>
                <w:sz w:val="20"/>
              </w:rPr>
              <w:t xml:space="preserve">Project Management</w:t>
            </w:r>
            <w:r>
              <w:rPr>
                <w:rFonts w:cs="Cambria" w:hAnsi="Cambria" w:eastAsia="Cambria" w:ascii="Cambria"/>
                <w:b w:val="1"/>
                <w:sz w:val="20"/>
              </w:rPr>
              <w:t xml:space="preserve"> </w:t>
            </w:r>
          </w:p>
        </w:tc>
        <w:tc>
          <w:tcPr>
            <w:tcW w:w="341"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341"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336"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341" w:type="dxa"/>
            <w:tcBorders>
              <w:top w:val="single" w:sz="4" w:color="000000"/>
              <w:left w:val="nil"/>
              <w:bottom w:val="single" w:sz="4" w:color="000000"/>
              <w:right w:val="nil"/>
            </w:tcBorders>
            <w:shd w:val="clear" w:fill="d9d9d9"/>
            <w:vAlign w:val="top"/>
          </w:tcPr>
          <w:p>
            <w:pPr>
              <w:bidi w:val="0"/>
              <w:spacing w:before="0" w:after="160" w:line="259" w:lineRule="auto"/>
              <w:ind w:left="0" w:right="0" w:firstLine="0"/>
              <w:jc w:val="left"/>
            </w:pPr>
          </w:p>
        </w:tc>
        <w:tc>
          <w:tcPr>
            <w:tcW w:w="5375" w:type="dxa"/>
            <w:gridSpan w:val="3"/>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619" w:type="dxa"/>
            <w:tcBorders>
              <w:top w:val="single" w:sz="4" w:color="000000"/>
              <w:left w:val="single" w:sz="4" w:color="000000"/>
              <w:bottom w:val="single" w:sz="4" w:color="000000"/>
              <w:right w:val="single" w:sz="4" w:color="000000"/>
            </w:tcBorders>
            <w:vAlign w:val="top"/>
          </w:tcPr>
          <w:p>
            <w:pPr>
              <w:spacing w:before="0" w:after="0" w:line="259" w:lineRule="auto"/>
              <w:ind w:left="29" w:right="0" w:firstLine="0"/>
              <w:jc w:val="left"/>
            </w:pPr>
            <w:r>
              <w:rPr>
                <w:sz w:val="20"/>
              </w:rPr>
              <w:t xml:space="preserve">490,000</w:t>
            </w:r>
            <w:r>
              <w:rPr>
                <w:sz w:val="20"/>
              </w:rPr>
              <w:t xml:space="preserve"> </w:t>
            </w:r>
          </w:p>
        </w:tc>
      </w:tr>
      <w:tr>
        <w:trPr>
          <w:trHeight w:val="306" w:hRule="atLeast"/>
        </w:trPr>
        <w:tc>
          <w:tcPr>
            <w:tcW w:w="2089"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30" w:right="0" w:firstLine="0"/>
              <w:jc w:val="left"/>
            </w:pPr>
            <w:r>
              <w:rPr>
                <w:rFonts w:cs="Cambria" w:hAnsi="Cambria" w:eastAsia="Cambria" w:ascii="Cambria"/>
                <w:b w:val="1"/>
                <w:sz w:val="22"/>
              </w:rPr>
              <w:t xml:space="preserve">OVERAL TOTAL</w:t>
            </w:r>
            <w:r>
              <w:rPr>
                <w:rFonts w:cs="Cambria" w:hAnsi="Cambria" w:eastAsia="Cambria" w:ascii="Cambria"/>
                <w:b w:val="1"/>
                <w:sz w:val="22"/>
              </w:rPr>
              <w:t xml:space="preserve"> </w:t>
            </w:r>
          </w:p>
        </w:tc>
        <w:tc>
          <w:tcPr>
            <w:tcW w:w="2534" w:type="dxa"/>
            <w:gridSpan w:val="2"/>
            <w:tcBorders>
              <w:top w:val="single" w:sz="4" w:color="000000"/>
              <w:left w:val="single" w:sz="4" w:color="000000"/>
              <w:bottom w:val="single" w:sz="4" w:color="000000"/>
              <w:right w:val="nil"/>
            </w:tcBorders>
            <w:vAlign w:val="top"/>
          </w:tcPr>
          <w:p>
            <w:pPr>
              <w:spacing w:before="0" w:after="0" w:line="259" w:lineRule="auto"/>
              <w:ind w:left="29" w:right="0" w:firstLine="0"/>
              <w:jc w:val="left"/>
            </w:pPr>
            <w:r>
              <w:rPr>
                <w:sz w:val="22"/>
              </w:rPr>
              <w:t xml:space="preserve"> </w:t>
            </w:r>
          </w:p>
        </w:tc>
        <w:tc>
          <w:tcPr>
            <w:tcW w:w="341" w:type="dxa"/>
            <w:tcBorders>
              <w:top w:val="single" w:sz="4" w:color="000000"/>
              <w:left w:val="nil"/>
              <w:bottom w:val="single" w:sz="4" w:color="000000"/>
              <w:right w:val="nil"/>
            </w:tcBorders>
            <w:vAlign w:val="top"/>
          </w:tcPr>
          <w:p>
            <w:pPr>
              <w:spacing w:before="0" w:after="0" w:line="259" w:lineRule="auto"/>
              <w:ind w:left="0" w:right="-6" w:firstLine="0"/>
              <w:jc w:val="right"/>
            </w:pPr>
            <w:r>
              <w:rPr>
                <w:sz w:val="22"/>
              </w:rPr>
              <w:t xml:space="preserve"> </w:t>
            </w:r>
          </w:p>
        </w:tc>
        <w:tc>
          <w:tcPr>
            <w:tcW w:w="341"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336" w:type="dxa"/>
            <w:tcBorders>
              <w:top w:val="single" w:sz="4" w:color="000000"/>
              <w:left w:val="nil"/>
              <w:bottom w:val="single" w:sz="4" w:color="000000"/>
              <w:right w:val="nil"/>
            </w:tcBorders>
            <w:vAlign w:val="top"/>
          </w:tcPr>
          <w:p>
            <w:pPr>
              <w:spacing w:before="0" w:after="0" w:line="259" w:lineRule="auto"/>
              <w:ind w:left="1" w:right="0" w:firstLine="0"/>
              <w:jc w:val="center"/>
            </w:pPr>
            <w:r>
              <w:rPr>
                <w:sz w:val="22"/>
              </w:rPr>
              <w:t xml:space="preserve"> </w:t>
            </w:r>
          </w:p>
        </w:tc>
        <w:tc>
          <w:tcPr>
            <w:tcW w:w="341" w:type="dxa"/>
            <w:tcBorders>
              <w:top w:val="single" w:sz="4" w:color="000000"/>
              <w:left w:val="nil"/>
              <w:bottom w:val="single" w:sz="4" w:color="000000"/>
              <w:right w:val="nil"/>
            </w:tcBorders>
            <w:vAlign w:val="top"/>
          </w:tcPr>
          <w:p>
            <w:pPr>
              <w:bidi w:val="0"/>
              <w:spacing w:before="0" w:after="160" w:line="259" w:lineRule="auto"/>
              <w:ind w:left="0" w:right="0" w:firstLine="0"/>
              <w:jc w:val="left"/>
            </w:pPr>
          </w:p>
        </w:tc>
        <w:tc>
          <w:tcPr>
            <w:tcW w:w="3667" w:type="dxa"/>
            <w:gridSpan w:val="2"/>
            <w:tcBorders>
              <w:top w:val="single" w:sz="4" w:color="000000"/>
              <w:left w:val="nil"/>
              <w:bottom w:val="single" w:sz="4" w:color="000000"/>
              <w:right w:val="single" w:sz="4" w:color="000000"/>
            </w:tcBorders>
            <w:vAlign w:val="top"/>
          </w:tcPr>
          <w:p>
            <w:pPr>
              <w:spacing w:before="0" w:after="0" w:line="259" w:lineRule="auto"/>
              <w:ind w:left="0" w:right="0" w:firstLine="0"/>
              <w:jc w:val="left"/>
            </w:pPr>
            <w:r>
              <w:rPr>
                <w:sz w:val="22"/>
              </w:rPr>
              <w:t xml:space="preserve"> 	 	 	 </w:t>
            </w:r>
          </w:p>
        </w:tc>
        <w:tc>
          <w:tcPr>
            <w:tcW w:w="1708"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31" w:right="0" w:firstLine="0"/>
              <w:jc w:val="left"/>
            </w:pPr>
            <w:r>
              <w:rPr>
                <w:sz w:val="22"/>
              </w:rPr>
              <w:t xml:space="preserve"> </w:t>
            </w:r>
          </w:p>
        </w:tc>
        <w:tc>
          <w:tcPr>
            <w:tcW w:w="1619" w:type="dxa"/>
            <w:tcBorders>
              <w:top w:val="single" w:sz="4" w:color="000000"/>
              <w:left w:val="single" w:sz="4" w:color="000000"/>
              <w:bottom w:val="single" w:sz="4" w:color="000000"/>
              <w:right w:val="single" w:sz="4" w:color="000000"/>
            </w:tcBorders>
            <w:shd w:val="clear" w:fill="cccccc"/>
            <w:vAlign w:val="top"/>
          </w:tcPr>
          <w:p>
            <w:pPr>
              <w:spacing w:before="0" w:after="0" w:line="259" w:lineRule="auto"/>
              <w:ind w:left="29" w:right="0" w:firstLine="0"/>
              <w:jc w:val="left"/>
            </w:pPr>
            <w:r>
              <w:rPr>
                <w:rFonts w:cs="Cambria" w:hAnsi="Cambria" w:eastAsia="Cambria" w:ascii="Cambria"/>
                <w:b w:val="1"/>
                <w:sz w:val="22"/>
              </w:rPr>
              <w:t xml:space="preserve">2,290,000</w:t>
            </w:r>
            <w:r>
              <w:rPr>
                <w:rFonts w:cs="Cambria" w:hAnsi="Cambria" w:eastAsia="Cambria" w:ascii="Cambria"/>
                <w:b w:val="1"/>
                <w:sz w:val="22"/>
              </w:rPr>
              <w:t xml:space="preserve"> </w:t>
            </w:r>
          </w:p>
        </w:tc>
      </w:tr>
    </w:tbl>
    <w:p>
      <w:pPr>
        <w:spacing w:before="0" w:after="16" w:line="259" w:lineRule="auto"/>
        <w:ind w:left="0" w:right="0" w:firstLine="0"/>
        <w:jc w:val="left"/>
      </w:pPr>
      <w:r>
        <w:rPr>
          <w:sz w:val="22"/>
        </w:rPr>
        <w:t xml:space="preserve"> </w:t>
      </w:r>
    </w:p>
    <w:p>
      <w:pPr>
        <w:spacing w:before="0" w:after="16" w:line="259" w:lineRule="auto"/>
        <w:ind w:left="0" w:right="0" w:firstLine="0"/>
        <w:jc w:val="left"/>
      </w:pPr>
      <w:r>
        <w:rPr>
          <w:sz w:val="22"/>
        </w:rPr>
        <w:t xml:space="preserve"> </w:t>
      </w:r>
    </w:p>
    <w:p>
      <w:pPr>
        <w:spacing w:before="0" w:after="16" w:line="259" w:lineRule="auto"/>
        <w:ind w:left="0" w:right="0" w:firstLine="0"/>
        <w:jc w:val="left"/>
      </w:pPr>
      <w:r>
        <w:rPr>
          <w:sz w:val="22"/>
        </w:rPr>
        <w:t xml:space="preserve"> </w:t>
      </w:r>
    </w:p>
    <w:p>
      <w:pPr>
        <w:spacing w:before="0" w:after="11" w:line="259" w:lineRule="auto"/>
        <w:ind w:left="0" w:right="0" w:firstLine="0"/>
        <w:jc w:val="left"/>
      </w:pPr>
      <w:r>
        <w:rPr>
          <w:sz w:val="22"/>
        </w:rPr>
        <w:t xml:space="preserve"> </w:t>
      </w:r>
    </w:p>
    <w:p>
      <w:pPr>
        <w:spacing w:before="0" w:after="24" w:line="259" w:lineRule="auto"/>
        <w:ind w:left="0" w:right="0" w:firstLine="0"/>
        <w:jc w:val="left"/>
      </w:pPr>
      <w:r>
        <w:rPr>
          <w:sz w:val="22"/>
        </w:rPr>
        <w:t xml:space="preserve"> </w:t>
      </w:r>
    </w:p>
    <w:p>
      <w:pPr>
        <w:spacing w:before="0" w:after="0" w:line="259" w:lineRule="auto"/>
        <w:ind w:left="0" w:right="0" w:firstLine="0"/>
      </w:pPr>
      <w:r>
        <w:rPr>
          <w:sz w:val="22"/>
        </w:rPr>
        <w:t xml:space="preserve"> 	 </w:t>
      </w:r>
    </w:p>
    <w:p>
      <w:pPr>
        <w:sectPr>
          <w:footerReference w:type="even" r:id="rId9"/>
          <w:footerReference w:type="default" r:id="rId8"/>
          <w:footerReference w:type="first" r:id="rId7"/>
          <w:pgSz w:w="15840" w:h="12240" w:orient="landscape"/>
          <w:pgMar w:footer="762" w:left="1440" w:top="1445" w:right="1435" w:bottom="1443"/>
          <w:pgNumType w:fmt="decimal"/>
          <w:cols/>
        </w:sectPr>
      </w:pPr>
    </w:p>
    <w:p>
      <w:pPr>
        <w:pStyle w:val="heading1"/>
        <w:tabs>
          <w:tab w:val="center" w:pos="2245"/>
        </w:tabs>
        <w:spacing w:before="0" w:after="0" w:line="259" w:lineRule="auto"/>
        <w:ind w:left="-15" w:firstLine="0"/>
      </w:pPr>
      <w:bookmarkStart w:id="179052" w:name="_Toc179052"/>
      <w:r>
        <w:rPr/>
        <w:t xml:space="preserve">5</w:t>
      </w:r>
      <w:r>
        <w:rPr>
          <w:rFonts w:cs="Arial" w:hAnsi="Arial" w:eastAsia="Arial" w:ascii="Arial"/>
        </w:rPr>
        <w:t xml:space="preserve"> 	</w:t>
      </w:r>
      <w:r>
        <w:rPr/>
        <w:t xml:space="preserve">Partnership strategy</w:t>
      </w:r>
      <w:r>
        <w:rPr/>
        <w:t xml:space="preserve"> </w:t>
      </w:r>
      <w:bookmarkEnd w:id="179052"/>
    </w:p>
    <w:p>
      <w:pPr>
        <w:spacing w:before="0" w:after="15" w:line="259" w:lineRule="auto"/>
        <w:ind w:left="0" w:right="0" w:firstLine="0"/>
        <w:jc w:val="left"/>
      </w:pPr>
      <w:r>
        <w:rPr/>
        <w:t xml:space="preserve"> </w:t>
      </w:r>
    </w:p>
    <w:p>
      <w:pPr>
        <w:pStyle w:val="normal"/>
        <w:spacing w:before="0" w:after="5" w:line="268" w:lineRule="auto"/>
        <w:ind w:left="-5" w:right="0"/>
      </w:pPr>
      <w:r>
        <w:rPr/>
        <w:t xml:space="preserve">UNDP will work closely with the Government of Uganda </w:t>
      </w:r>
      <w:r>
        <w:rPr/>
        <w:t xml:space="preserve"> </w:t>
      </w:r>
      <w:r>
        <w:rPr/>
        <w:t xml:space="preserve">mainly through the Office of the Prime Minister</w:t>
      </w:r>
      <w:r>
        <w:rPr/>
        <w:t xml:space="preserve"> </w:t>
      </w:r>
      <w:r>
        <w:rPr/>
        <w:t xml:space="preserve">(OPM)</w:t>
      </w:r>
      <w:r>
        <w:rPr/>
        <w:t xml:space="preserve"> </w:t>
      </w:r>
      <w:r>
        <w:rPr/>
        <w:t xml:space="preserve">and selected districts local governments of Northern Uganda. The Ministry of Finance, Planning and economic Development will be the Executing Entity. Also, partnerships will be forged for specific interventions with key line ministries</w:t>
      </w:r>
      <w:r>
        <w:rPr/>
        <w:t xml:space="preserve"> </w:t>
      </w:r>
      <w:r>
        <w:rPr/>
        <w:t xml:space="preserve">including Ministry of Local Government</w:t>
      </w:r>
      <w:r>
        <w:rPr/>
        <w:t xml:space="preserve"> </w:t>
      </w:r>
      <w:r>
        <w:rPr/>
        <w:t xml:space="preserve">(MLOG)</w:t>
      </w:r>
      <w:r>
        <w:rPr/>
        <w:t xml:space="preserve">, </w:t>
      </w:r>
      <w:r>
        <w:rPr/>
        <w:t xml:space="preserve">Ministry of Gender Labour and Social Development (MGLSD), Ministry of Lands, Housing</w:t>
      </w:r>
      <w:r>
        <w:rPr/>
        <w:t xml:space="preserve"> </w:t>
      </w:r>
      <w:r>
        <w:rPr/>
        <w:t xml:space="preserve">and Urban Development (MLHUD), Ministry of Education</w:t>
      </w:r>
      <w:r>
        <w:rPr/>
        <w:t xml:space="preserve"> </w:t>
      </w:r>
      <w:r>
        <w:rPr/>
        <w:t xml:space="preserve">and Sports (MES</w:t>
      </w:r>
      <w:r>
        <w:rPr/>
        <w:t xml:space="preserve">)</w:t>
      </w:r>
      <w:r>
        <w:rPr/>
        <w:t xml:space="preserve">, Ministry of Internal Affairs (MIA), Ministry of Agriculture Animal Industry and Fisheries (MAAIF) and other</w:t>
      </w:r>
      <w:r>
        <w:rPr/>
        <w:t xml:space="preserve"> </w:t>
      </w:r>
      <w:r>
        <w:rPr/>
        <w:t xml:space="preserve">stakeholders</w:t>
      </w:r>
      <w:r>
        <w:rPr/>
        <w:t xml:space="preserve"> </w:t>
      </w:r>
      <w:r>
        <w:rPr/>
        <w:t xml:space="preserve">as deemed necessary.  Some of the specific interventions will be implemented by competent International and national NGOs</w:t>
      </w:r>
      <w:r>
        <w:rPr/>
        <w:t xml:space="preserve">. </w:t>
      </w:r>
      <w:r>
        <w:rPr/>
        <w:t xml:space="preserve">UNDP will as well work with local authorities and communities and their representatives to deliver timely and efficient services.  </w:t>
      </w:r>
      <w:r>
        <w:rPr/>
        <w:t xml:space="preserve"> </w:t>
      </w:r>
    </w:p>
    <w:p>
      <w:pPr>
        <w:spacing w:before="0" w:after="119" w:line="259" w:lineRule="auto"/>
        <w:ind w:left="0" w:right="0" w:firstLine="0"/>
        <w:jc w:val="left"/>
      </w:pPr>
      <w:r>
        <w:rPr>
          <w:rFonts w:cs="Cambria" w:hAnsi="Cambria" w:eastAsia="Cambria" w:ascii="Cambria"/>
          <w:b w:val="1"/>
          <w:sz w:val="22"/>
        </w:rPr>
        <w:t xml:space="preserve"> </w:t>
      </w:r>
    </w:p>
    <w:p>
      <w:pPr>
        <w:pStyle w:val="heading1"/>
        <w:tabs>
          <w:tab w:val="center" w:pos="2750"/>
        </w:tabs>
        <w:spacing w:before="0" w:after="0" w:line="259" w:lineRule="auto"/>
        <w:ind w:left="-15" w:firstLine="0"/>
      </w:pPr>
      <w:bookmarkStart w:id="179053" w:name="_Toc179053"/>
      <w:r>
        <w:rPr/>
        <w:t xml:space="preserve">6</w:t>
      </w:r>
      <w:r>
        <w:rPr/>
        <w:t xml:space="preserve"> 	</w:t>
      </w:r>
      <w:r>
        <w:rPr/>
        <w:t xml:space="preserve">Management arrangements</w:t>
      </w:r>
      <w:r>
        <w:rPr/>
        <w:t xml:space="preserve"> </w:t>
      </w:r>
      <w:bookmarkEnd w:id="179053"/>
    </w:p>
    <w:p>
      <w:pPr>
        <w:spacing w:before="0" w:after="35" w:line="259" w:lineRule="auto"/>
        <w:ind w:left="0" w:right="0" w:firstLine="0"/>
        <w:jc w:val="left"/>
      </w:pPr>
      <w:r>
        <w:rPr>
          <w:sz w:val="22"/>
        </w:rPr>
        <w:t xml:space="preserve"> </w:t>
      </w:r>
    </w:p>
    <w:p>
      <w:pPr>
        <w:pStyle w:val="normal"/>
        <w:spacing w:before="0" w:after="5" w:line="268" w:lineRule="auto"/>
        <w:ind w:left="-5" w:right="0"/>
      </w:pPr>
      <w:r>
        <w:rPr/>
        <w:t xml:space="preserve">To facilitate management, monitoring and reporting of the project, the management arrangements for this project are illustrated in Figure </w:t>
      </w:r>
      <w:r>
        <w:rPr/>
        <w:t xml:space="preserve">4</w:t>
      </w:r>
      <w:r>
        <w:rPr/>
        <w:t xml:space="preserve"> </w:t>
      </w:r>
      <w:r>
        <w:rPr/>
        <w:t xml:space="preserve">below and consist of the following key components:</w:t>
      </w:r>
      <w:r>
        <w:rPr/>
        <w:t xml:space="preserve"> </w:t>
      </w:r>
    </w:p>
    <w:p>
      <w:pPr>
        <w:pStyle w:val="normal"/>
        <w:numPr>
          <w:ilvl w:val="0"/>
          <w:numId w:val="7"/>
        </w:numPr>
        <w:spacing w:before="0" w:after="5" w:line="268" w:lineRule="auto"/>
        <w:ind w:left="720" w:right="0" w:hanging="360"/>
      </w:pPr>
      <w:r>
        <w:rPr/>
        <w:t xml:space="preserve">Project board</w:t>
      </w:r>
      <w:r>
        <w:rPr/>
        <w:t xml:space="preserve"> </w:t>
      </w:r>
      <w:r>
        <w:rPr/>
        <w:t xml:space="preserve">chaired by the Office of the Prime Minister with participation of the Ministry of Finance, Planning and Economic Development as the Executing Entity, the project beneficiaries represented by the line ministries</w:t>
      </w:r>
      <w:r>
        <w:rPr/>
        <w:t xml:space="preserve"> </w:t>
      </w:r>
      <w:r>
        <w:rPr/>
        <w:t xml:space="preserve">(MLOG, MGLSD, MIA</w:t>
      </w:r>
      <w:r>
        <w:rPr/>
        <w:t xml:space="preserve">,</w:t>
      </w:r>
      <w:r>
        <w:rPr/>
        <w:t xml:space="preserve"> </w:t>
      </w:r>
      <w:r>
        <w:rPr/>
        <w:t xml:space="preserve">MES</w:t>
      </w:r>
      <w:r>
        <w:rPr/>
        <w:t xml:space="preserve">,</w:t>
      </w:r>
      <w:r>
        <w:rPr/>
        <w:t xml:space="preserve"> </w:t>
      </w:r>
      <w:r>
        <w:rPr/>
        <w:t xml:space="preserve">MAAIF</w:t>
      </w:r>
      <w:r>
        <w:rPr/>
        <w:t xml:space="preserve"> </w:t>
      </w:r>
      <w:r>
        <w:rPr/>
        <w:t xml:space="preserve">and MLHUD) and representation from civil society. The project board will provide overall direction and strategic guidance and agrees to counter measures/management actions to address specific risks raised by the Project Manager, approve project geographical coverage and beneficiary selection criteria, review and adopt the project’s implementation modality and annual work plans and co</w:t>
      </w:r>
      <w:r>
        <w:rPr/>
        <w:t xml:space="preserve">-</w:t>
      </w:r>
      <w:r>
        <w:rPr/>
        <w:t xml:space="preserve">opts</w:t>
      </w:r>
      <w:r>
        <w:rPr/>
        <w:t xml:space="preserve"> </w:t>
      </w:r>
      <w:r>
        <w:rPr/>
        <w:t xml:space="preserve">as member any stakeholder/donor on need basis.</w:t>
      </w:r>
      <w:r>
        <w:rPr/>
        <w:t xml:space="preserve">  </w:t>
      </w:r>
      <w:r>
        <w:rPr/>
        <w:t xml:space="preserve">The project board shall at a minimum convened</w:t>
      </w:r>
      <w:r>
        <w:rPr/>
        <w:t xml:space="preserve"> </w:t>
      </w:r>
      <w:r>
        <w:rPr/>
        <w:t xml:space="preserve">twice a year and as deemed necessary</w:t>
      </w:r>
      <w:r>
        <w:rPr/>
        <w:t xml:space="preserve">.</w:t>
      </w:r>
      <w:r>
        <w:rPr/>
        <w:t xml:space="preserve">  </w:t>
      </w:r>
    </w:p>
    <w:p>
      <w:pPr>
        <w:pStyle w:val="normal"/>
        <w:numPr>
          <w:ilvl w:val="0"/>
          <w:numId w:val="7"/>
        </w:numPr>
        <w:spacing w:before="0" w:after="5" w:line="268" w:lineRule="auto"/>
        <w:ind w:left="720" w:right="0" w:hanging="360"/>
      </w:pPr>
      <w:r>
        <w:rPr/>
        <w:t xml:space="preserve">The project assurance functions rests with UNDP to follow up on management actions, keeping track of progress benchmarks, perform regular monitoring activities, ensuring funds are made available to the project towards the intended outputs and resources entrusted to the project are utilized appropriately. </w:t>
      </w:r>
      <w:r>
        <w:rPr/>
        <w:t xml:space="preserve"> </w:t>
      </w:r>
    </w:p>
    <w:p>
      <w:pPr>
        <w:pStyle w:val="normal"/>
        <w:numPr>
          <w:ilvl w:val="0"/>
          <w:numId w:val="7"/>
        </w:numPr>
        <w:spacing w:before="0" w:after="5" w:line="268" w:lineRule="auto"/>
        <w:ind w:left="720" w:right="0" w:hanging="360"/>
      </w:pPr>
      <w:r>
        <w:rPr/>
        <w:t xml:space="preserve">Project Management: day</w:t>
      </w:r>
      <w:r>
        <w:rPr/>
        <w:t xml:space="preserve">-</w:t>
      </w:r>
      <w:r>
        <w:rPr/>
        <w:t xml:space="preserve">to</w:t>
      </w:r>
      <w:r>
        <w:rPr/>
        <w:t xml:space="preserve">-</w:t>
      </w:r>
      <w:r>
        <w:rPr/>
        <w:t xml:space="preserve">day management of the project carried out by a National Project Manager, supported by a Project Associate</w:t>
      </w:r>
      <w:r>
        <w:rPr/>
        <w:t xml:space="preserve">.</w:t>
      </w:r>
      <w:r>
        <w:rPr/>
        <w:t xml:space="preserve">  </w:t>
      </w:r>
      <w:r>
        <w:rPr/>
        <w:t xml:space="preserve">Subject</w:t>
      </w:r>
      <w:r>
        <w:rPr/>
        <w:t xml:space="preserve">-</w:t>
      </w:r>
    </w:p>
    <w:p>
      <w:pPr>
        <w:pStyle w:val="normal"/>
        <w:spacing w:before="0" w:after="5" w:line="268" w:lineRule="auto"/>
        <w:ind w:left="730" w:right="0"/>
      </w:pPr>
      <w:r>
        <w:rPr/>
        <w:t xml:space="preserve">matter/technical specialists including Rule of Law Specialist will be recruited and shall support implementation of project interventions. </w:t>
      </w:r>
      <w:r>
        <w:rPr/>
        <w:t xml:space="preserve"> </w:t>
      </w:r>
      <w:r>
        <w:rPr/>
        <w:t xml:space="preserve">3 </w:t>
      </w:r>
      <w:r>
        <w:rPr/>
        <w:t xml:space="preserve">Area Project Coordinators will also be recruited to support project interventions in the three regions</w:t>
      </w:r>
      <w:r>
        <w:rPr/>
        <w:t xml:space="preserve"> </w:t>
      </w:r>
      <w:r>
        <w:rPr/>
        <w:t xml:space="preserve">of Lango, </w:t>
      </w:r>
      <w:r>
        <w:rPr/>
        <w:t xml:space="preserve">Acholi, and Karamoja. The project management will also ensure knowledge sharing </w:t>
      </w:r>
      <w:r>
        <w:rPr/>
        <w:t xml:space="preserve">o</w:t>
      </w:r>
      <w:r>
        <w:rPr/>
        <w:t xml:space="preserve">f successful practices across regions. The National Project Manager</w:t>
      </w:r>
      <w:r>
        <w:rPr/>
        <w:t xml:space="preserve"> </w:t>
      </w:r>
      <w:r>
        <w:rPr/>
        <w:t xml:space="preserve">and Area Project Coordinators will be recruited and supervised by UNDP. </w:t>
      </w:r>
      <w:r>
        <w:rPr/>
        <w:t xml:space="preserve"> </w:t>
      </w:r>
    </w:p>
    <w:p>
      <w:pPr>
        <w:pStyle w:val="normal"/>
        <w:numPr>
          <w:ilvl w:val="0"/>
          <w:numId w:val="7"/>
        </w:numPr>
        <w:spacing w:before="0" w:after="5" w:line="268" w:lineRule="auto"/>
        <w:ind w:left="720" w:right="0" w:hanging="360"/>
      </w:pPr>
      <w:r>
        <w:rPr/>
        <w:t xml:space="preserve">Actual project implementation will be done in partnership with competent NGOs that will be identified before the commencement of the project. The NGOs to be partnered with will demonstrate their presence in the respective sub regions by producing letter of understanding between them and the respective local governments.</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t xml:space="preserve">Moreover: the project foresees developing and instituting the following</w:t>
      </w:r>
      <w:r>
        <w:rPr/>
        <w:t xml:space="preserve">:</w:t>
      </w:r>
      <w:r>
        <w:rPr/>
        <w:t xml:space="preserve"> </w:t>
      </w:r>
    </w:p>
    <w:p>
      <w:pPr>
        <w:spacing w:before="0" w:after="20" w:line="259" w:lineRule="auto"/>
        <w:ind w:left="0" w:right="0" w:firstLine="0"/>
        <w:jc w:val="left"/>
      </w:pPr>
      <w:r>
        <w:rPr/>
        <w:t xml:space="preserve">  </w:t>
      </w:r>
    </w:p>
    <w:p>
      <w:pPr>
        <w:pStyle w:val="normal"/>
        <w:numPr>
          <w:ilvl w:val="0"/>
          <w:numId w:val="7"/>
        </w:numPr>
        <w:spacing w:before="0" w:after="5" w:line="268" w:lineRule="auto"/>
        <w:ind w:left="720" w:right="0" w:hanging="360"/>
      </w:pPr>
      <w:r>
        <w:rPr/>
        <w:t xml:space="preserve">Project Communications: development of viable communication strategy that will give full acknowledgement and visibility of the donor, design targeted messages to manage expectations, support monitoring and ensure transparency and accountability.</w:t>
      </w:r>
      <w:r>
        <w:rPr/>
        <w:t xml:space="preserve">  </w:t>
      </w:r>
      <w:r>
        <w:rPr/>
        <w:t xml:space="preserve">Additionally, due support to publications, press releases, and development of inter</w:t>
      </w:r>
      <w:r>
        <w:rPr/>
        <w:t xml:space="preserve">-</w:t>
      </w:r>
      <w:r>
        <w:rPr/>
        <w:t xml:space="preserve">active database/project management information system.</w:t>
      </w:r>
      <w:r>
        <w:rPr/>
        <w:t xml:space="preserve"> </w:t>
      </w:r>
    </w:p>
    <w:p>
      <w:pPr>
        <w:pStyle w:val="normal"/>
        <w:numPr>
          <w:ilvl w:val="0"/>
          <w:numId w:val="7"/>
        </w:numPr>
        <w:spacing w:before="0" w:after="5" w:line="268" w:lineRule="auto"/>
        <w:ind w:left="720" w:right="0" w:hanging="360"/>
      </w:pPr>
      <w:r>
        <w:rPr/>
        <w:t xml:space="preserve">Procurement of goods and services: and the recruitment of personnel shall be provided in accordance with UNDP guidelines, procedures and regulations.</w:t>
      </w:r>
      <w:r>
        <w:rPr/>
        <w:t xml:space="preserve">   </w:t>
      </w:r>
    </w:p>
    <w:p>
      <w:pPr>
        <w:spacing w:before="0" w:after="0" w:line="259" w:lineRule="auto"/>
        <w:ind w:left="720" w:right="0" w:firstLine="0"/>
        <w:jc w:val="left"/>
      </w:pPr>
      <w:r>
        <w:rPr>
          <w:sz w:val="22"/>
        </w:rPr>
        <w:t xml:space="preserve"> </w:t>
      </w:r>
    </w:p>
    <w:p>
      <w:pPr>
        <w:spacing w:before="0" w:after="0" w:line="259" w:lineRule="auto"/>
        <w:ind w:left="-126" w:right="-112" w:firstLine="0"/>
        <w:jc w:val="left"/>
      </w:pPr>
      <w:r>
        <w:drawing>
          <wp:inline distT="0" distB="0" distL="0" distR="0">
            <wp:extent cx="6099049" cy="4242816"/>
            <wp:effectExtent l="0" t="0" r="0" b="0"/>
            <wp:docPr id="173726" name="Picture 173726"/>
            <wp:cNvGraphicFramePr/>
            <a:graphic>
              <a:graphicData uri="http://schemas.openxmlformats.org/drawingml/2006/picture">
                <pic:pic xmlns:pic="http://schemas.openxmlformats.org/drawingml/2006/picture">
                  <pic:nvPicPr>
                    <pic:cNvPr id="173726" name="Picture 173726"/>
                    <pic:cNvPicPr/>
                  </pic:nvPicPr>
                  <pic:blipFill>
                    <a:blip r:embed="rId81"/>
                    <a:stretch>
                      <a:fillRect/>
                    </a:stretch>
                  </pic:blipFill>
                  <pic:spPr>
                    <a:xfrm>
                      <a:off x="0" y="0"/>
                      <a:ext cx="6099049" cy="4242816"/>
                    </a:xfrm>
                    <a:prstGeom prst="rect">
                      <a:avLst/>
                    </a:prstGeom>
                  </pic:spPr>
                </pic:pic>
              </a:graphicData>
            </a:graphic>
          </wp:inline>
        </w:drawing>
      </w:r>
    </w:p>
    <w:p>
      <w:pPr>
        <w:spacing w:before="0" w:after="15" w:line="259" w:lineRule="auto"/>
        <w:ind w:left="0" w:right="0" w:firstLine="0"/>
        <w:jc w:val="left"/>
      </w:pPr>
      <w:r>
        <w:rPr>
          <w:rFonts w:cs="Cambria" w:hAnsi="Cambria" w:eastAsia="Cambria" w:ascii="Cambria"/>
          <w:b w:val="1"/>
        </w:rPr>
        <w:t xml:space="preserve"> </w:t>
      </w:r>
    </w:p>
    <w:p>
      <w:pPr>
        <w:pStyle w:val="normal"/>
        <w:spacing w:before="0" w:after="5" w:line="268" w:lineRule="auto"/>
        <w:ind w:left="-5" w:right="0"/>
      </w:pPr>
      <w:r>
        <w:rPr>
          <w:rFonts w:cs="Cambria" w:hAnsi="Cambria" w:eastAsia="Cambria" w:ascii="Cambria"/>
          <w:b w:val="1"/>
        </w:rPr>
        <w:t xml:space="preserve">Monitoring, reporting and evaluation</w:t>
      </w:r>
      <w:r>
        <w:rPr>
          <w:rFonts w:cs="Cambria" w:hAnsi="Cambria" w:eastAsia="Cambria" w:ascii="Cambria"/>
          <w:b w:val="1"/>
        </w:rPr>
        <w:t xml:space="preserve">:</w:t>
      </w:r>
      <w:r>
        <w:rPr/>
        <w:t xml:space="preserve"> </w:t>
      </w:r>
      <w:r>
        <w:rPr/>
        <w:t xml:space="preserve">As part of project start</w:t>
      </w:r>
      <w:r>
        <w:rPr/>
        <w:t xml:space="preserve">-</w:t>
      </w:r>
      <w:r>
        <w:rPr/>
        <w:t xml:space="preserve">up activities, UNDP in collaboration</w:t>
      </w:r>
      <w:r>
        <w:rPr/>
        <w:t xml:space="preserve"> </w:t>
      </w:r>
      <w:r>
        <w:rPr/>
        <w:t xml:space="preserve">with its partners will develop a monitoring and evaluation plan which outlines a set of performance outcome and output indicators; giving detail on indicator definitions and data sources, research methodology and who will be responsible and involved at each stage of monitoring and evaluation ensuring availability of baseline information for all interventions.</w:t>
      </w:r>
      <w:r>
        <w:rPr/>
        <w:t xml:space="preserve">   </w:t>
      </w:r>
    </w:p>
    <w:p>
      <w:pPr>
        <w:spacing w:before="0" w:after="100" w:line="259" w:lineRule="auto"/>
        <w:ind w:left="0" w:right="0" w:firstLine="0"/>
        <w:jc w:val="left"/>
      </w:pPr>
      <w:r>
        <w:rPr/>
        <w:t xml:space="preserve"> </w:t>
      </w:r>
    </w:p>
    <w:p>
      <w:pPr>
        <w:pStyle w:val="heading1"/>
        <w:tabs>
          <w:tab w:val="center" w:pos="3540"/>
        </w:tabs>
        <w:spacing w:before="0" w:after="0" w:line="259" w:lineRule="auto"/>
        <w:ind w:left="-15" w:firstLine="0"/>
      </w:pPr>
      <w:bookmarkStart w:id="179054" w:name="_Toc179054"/>
      <w:r>
        <w:rPr/>
        <w:t xml:space="preserve">7</w:t>
      </w:r>
      <w:r>
        <w:rPr/>
        <w:t xml:space="preserve"> 	</w:t>
      </w:r>
      <w:r>
        <w:rPr/>
        <w:t xml:space="preserve">Monitoring and evaluation framework</w:t>
      </w:r>
      <w:r>
        <w:rPr/>
        <w:t xml:space="preserve"> </w:t>
      </w:r>
      <w:bookmarkEnd w:id="179054"/>
    </w:p>
    <w:p>
      <w:pPr>
        <w:spacing w:before="0" w:after="20"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Quarterly progress reporting</w:t>
      </w:r>
      <w:r>
        <w:rPr>
          <w:rFonts w:cs="Cambria" w:hAnsi="Cambria" w:eastAsia="Cambria" w:ascii="Cambria"/>
          <w:b w:val="1"/>
        </w:rPr>
        <w:t xml:space="preserve">:</w:t>
      </w:r>
      <w:r>
        <w:rPr/>
        <w:t xml:space="preserve"> </w:t>
      </w:r>
      <w:r>
        <w:rPr/>
        <w:t xml:space="preserve">A</w:t>
      </w:r>
      <w:r>
        <w:rPr/>
        <w:t xml:space="preserve"> </w:t>
      </w:r>
      <w:r>
        <w:rPr/>
        <w:t xml:space="preserve">quality</w:t>
      </w:r>
      <w:r>
        <w:rPr/>
        <w:t xml:space="preserve"> </w:t>
      </w:r>
      <w:r>
        <w:rPr/>
        <w:t xml:space="preserve">assessment shall record progress towards the completion of</w:t>
      </w:r>
      <w:r>
        <w:rPr/>
        <w:t xml:space="preserve"> </w:t>
      </w:r>
      <w:r>
        <w:rPr/>
        <w:t xml:space="preserve">key results, based on quality criteria and methods captured in the Quality Management table.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An Issue Log</w:t>
      </w:r>
      <w:r>
        <w:rPr>
          <w:rFonts w:cs="Cambria" w:hAnsi="Cambria" w:eastAsia="Cambria" w:ascii="Cambria"/>
          <w:b w:val="1"/>
        </w:rPr>
        <w:t xml:space="preserve">:</w:t>
      </w:r>
      <w:r>
        <w:rPr/>
        <w:t xml:space="preserve"> </w:t>
      </w:r>
      <w:r>
        <w:rPr/>
        <w:t xml:space="preserve">An issue log</w:t>
      </w:r>
      <w:r>
        <w:rPr/>
        <w:t xml:space="preserve"> </w:t>
      </w:r>
      <w:r>
        <w:rPr/>
        <w:t xml:space="preserve">shall be</w:t>
      </w:r>
      <w:r>
        <w:rPr/>
        <w:t xml:space="preserve"> </w:t>
      </w:r>
      <w:r>
        <w:rPr/>
        <w:t xml:space="preserve">activated in Atlas and updated</w:t>
      </w:r>
      <w:r>
        <w:rPr/>
        <w:t xml:space="preserve"> </w:t>
      </w:r>
      <w:r>
        <w:rPr/>
        <w:t xml:space="preserve">by the Project Manager to facilitate tracking and resolution of potential problems or requests for change. </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Risk Log</w:t>
      </w:r>
      <w:r>
        <w:rPr>
          <w:rFonts w:cs="Cambria" w:hAnsi="Cambria" w:eastAsia="Cambria" w:ascii="Cambria"/>
          <w:b w:val="1"/>
        </w:rPr>
        <w:t xml:space="preserve">:</w:t>
      </w:r>
      <w:r>
        <w:rPr/>
        <w:t xml:space="preserve"> </w:t>
      </w:r>
      <w:r>
        <w:rPr/>
        <w:t xml:space="preserve">A risk log shall be</w:t>
      </w:r>
      <w:r>
        <w:rPr/>
        <w:t xml:space="preserve"> </w:t>
      </w:r>
      <w:r>
        <w:rPr/>
        <w:t xml:space="preserve">activated in UNDPs project management system (Atlas) and will be regularly updated by reviewing the external environment that may affect the project implementation. Based on the above information recorded</w:t>
      </w:r>
      <w:r>
        <w:rPr/>
        <w:t xml:space="preserve"> </w:t>
      </w:r>
      <w:r>
        <w:rPr/>
        <w:t xml:space="preserve">in Atlas, Bi</w:t>
      </w:r>
      <w:r>
        <w:rPr/>
        <w:t xml:space="preserve"/>
      </w:r>
      <w:r>
        <w:rPr/>
        <w:t xml:space="preserve">annual</w:t>
      </w:r>
      <w:r>
        <w:rPr/>
        <w:t xml:space="preserve"> </w:t>
      </w:r>
      <w:r>
        <w:rPr/>
        <w:t xml:space="preserve">Progress</w:t>
      </w:r>
      <w:r>
        <w:rPr/>
        <w:t xml:space="preserve"> </w:t>
      </w:r>
      <w:r>
        <w:rPr/>
        <w:t xml:space="preserve">Reports will be submitted by the Project Manager</w:t>
      </w:r>
      <w:r>
        <w:rPr/>
        <w:t xml:space="preserve"> </w:t>
      </w:r>
      <w:r>
        <w:rPr/>
        <w:t xml:space="preserve">to the Project Board through</w:t>
      </w:r>
      <w:r>
        <w:rPr/>
        <w:t xml:space="preserve"> </w:t>
      </w:r>
      <w:r>
        <w:rPr/>
        <w:t xml:space="preserve">Project Assurance.</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Field visits and quarterly reports</w:t>
      </w:r>
      <w:r>
        <w:rPr/>
        <w:t xml:space="preserve">: The Project Manager will prepare regular progress reports for the Project Review Board (PRB), accompanied by financial reports. The progress report will consist of a brief summary of progress in relation to the work plan and an update on the financial situation. This summary will also be used for feedback to the PRB for making decisions and introducing corrective actions.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Review Meetings</w:t>
      </w:r>
      <w:r>
        <w:rPr/>
        <w:t xml:space="preserve">:</w:t>
      </w:r>
      <w:r>
        <w:rPr/>
        <w:t xml:space="preserve"> </w:t>
      </w:r>
      <w:r>
        <w:rPr/>
        <w:t xml:space="preserve">The Project Manager will be responsible for organizing these meetings and for following up on the recommendations and decisions taken in the meetings. The manager will prepare a brief action</w:t>
      </w:r>
      <w:r>
        <w:rPr/>
        <w:t xml:space="preserve">-</w:t>
      </w:r>
      <w:r>
        <w:rPr/>
        <w:t xml:space="preserve">oriented report on the review meeting, in coordination with the Team Leader for Crisis Prevention and Recovery Unit (CPRU), and send it to participants in the meetings for their approval or comments.</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Annual Project Report</w:t>
      </w:r>
      <w:r>
        <w:rPr/>
        <w:t xml:space="preserve">:</w:t>
      </w:r>
      <w:r>
        <w:rPr/>
        <w:t xml:space="preserve"> </w:t>
      </w:r>
      <w:r>
        <w:rPr/>
        <w:t xml:space="preserve">The Project Manager will ensure the preparation of the Annual Project Report (APR), in consultation with the various stakeholders. These reports while serving the purposes of monitoring performance also will cover lessons to help in assessing the various implementation modalities, including its implications</w:t>
      </w:r>
      <w:r>
        <w:rPr/>
        <w:t xml:space="preserve"> </w:t>
      </w:r>
      <w:r>
        <w:rPr/>
        <w:t xml:space="preserve">in terms of capacity </w:t>
      </w:r>
      <w:r>
        <w:rPr/>
        <w:t xml:space="preserve">building and ownership.</w:t>
      </w:r>
      <w:r>
        <w:rPr/>
        <w:t xml:space="preserve"> </w:t>
      </w:r>
      <w:r>
        <w:rPr/>
        <w:t xml:space="preserve">The Annual Project Report will be shared widely with all stakeholders including district authorities and political leaders</w:t>
      </w:r>
      <w:r>
        <w:rPr>
          <w:sz w:val="22"/>
        </w:rPr>
        <w:t xml:space="preserve">.</w:t>
      </w:r>
      <w:r>
        <w:rPr>
          <w:sz w:val="22"/>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Annual Work</w:t>
      </w:r>
      <w:r>
        <w:rPr>
          <w:rFonts w:cs="Cambria" w:hAnsi="Cambria" w:eastAsia="Cambria" w:ascii="Cambria"/>
          <w:b w:val="1"/>
        </w:rPr>
        <w:t xml:space="preserve">-</w:t>
      </w:r>
      <w:r>
        <w:rPr>
          <w:rFonts w:cs="Cambria" w:hAnsi="Cambria" w:eastAsia="Cambria" w:ascii="Cambria"/>
          <w:b w:val="1"/>
        </w:rPr>
        <w:t xml:space="preserve">Plan and Budget</w:t>
      </w:r>
      <w:r>
        <w:rPr>
          <w:rFonts w:cs="Cambria" w:hAnsi="Cambria" w:eastAsia="Cambria" w:ascii="Cambria"/>
          <w:b w:val="1"/>
        </w:rPr>
        <w:t xml:space="preserve">:</w:t>
      </w:r>
      <w:r>
        <w:rPr/>
        <w:t xml:space="preserve"> </w:t>
      </w:r>
      <w:r>
        <w:rPr/>
        <w:t xml:space="preserve">The annual work plan and budget will serve as the primary reference documents for the purpose of monitoring the achievement of results. The project manager is tasked with the responsibility of implementing the project in accordance with these documents.</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Monitoring visits by UNDP</w:t>
      </w:r>
      <w:r>
        <w:rPr>
          <w:rFonts w:cs="Cambria" w:hAnsi="Cambria" w:eastAsia="Cambria" w:ascii="Cambria"/>
          <w:b w:val="1"/>
        </w:rPr>
        <w:t xml:space="preserve">:</w:t>
      </w:r>
      <w:r>
        <w:rPr/>
        <w:t xml:space="preserve"> </w:t>
      </w:r>
      <w:r>
        <w:rPr/>
        <w:t xml:space="preserve">The project will be subject to</w:t>
      </w:r>
      <w:r>
        <w:rPr/>
        <w:t xml:space="preserve"> </w:t>
      </w:r>
      <w:r>
        <w:rPr/>
        <w:t xml:space="preserve">monitoring visits undertaken by UNDP staff and/or an external monitoring agent who will be sub</w:t>
      </w:r>
      <w:r>
        <w:rPr/>
        <w:t xml:space="preserve">- </w:t>
      </w:r>
      <w:r>
        <w:rPr/>
        <w:t xml:space="preserve">contracted.</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Lessons Learnt</w:t>
      </w:r>
      <w:r>
        <w:rPr>
          <w:rFonts w:cs="Cambria" w:hAnsi="Cambria" w:eastAsia="Cambria" w:ascii="Cambria"/>
          <w:b w:val="1"/>
        </w:rPr>
        <w:t xml:space="preserve">:</w:t>
      </w:r>
      <w:r>
        <w:rPr/>
        <w:t xml:space="preserve"> </w:t>
      </w:r>
      <w:r>
        <w:rPr/>
        <w:t xml:space="preserve">A project Lesson</w:t>
      </w:r>
      <w:r>
        <w:rPr/>
        <w:t xml:space="preserve">-</w:t>
      </w:r>
      <w:r>
        <w:rPr/>
        <w:t xml:space="preserve">learned log shall be activated and regularly updated to ensure on</w:t>
      </w:r>
      <w:r>
        <w:rPr/>
        <w:t xml:space="preserve">-</w:t>
      </w:r>
      <w:r>
        <w:rPr/>
        <w:t xml:space="preserve">going learning and adaptation within the organization, as well as to facilitate the preparation of the Lessons</w:t>
      </w:r>
      <w:r>
        <w:rPr/>
        <w:t xml:space="preserve">-</w:t>
      </w:r>
      <w:r>
        <w:rPr/>
        <w:t xml:space="preserve">learned Report at the end of the project.</w:t>
      </w:r>
      <w:r>
        <w:rPr/>
        <w:t xml:space="preserve"> </w:t>
      </w:r>
    </w:p>
    <w:p>
      <w:pPr>
        <w:spacing w:before="0" w:after="15"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Review</w:t>
      </w:r>
      <w:r>
        <w:rPr>
          <w:rFonts w:cs="Cambria" w:hAnsi="Cambria" w:eastAsia="Cambria" w:ascii="Cambria"/>
          <w:b w:val="1"/>
        </w:rPr>
        <w:t xml:space="preserve">:</w:t>
      </w:r>
      <w:r>
        <w:rPr/>
        <w:t xml:space="preserve"> </w:t>
      </w:r>
      <w:r>
        <w:rPr/>
        <w:t xml:space="preserve">Project performance will be reviewed upon completion of the project. An Annual Review Report shall be prepared by the Project manager and shared with the Project Board/Outcome Board</w:t>
      </w:r>
      <w:r>
        <w:rPr/>
        <w:t xml:space="preserve"> </w:t>
      </w:r>
      <w:r>
        <w:rPr/>
        <w:t xml:space="preserve">and other stakeholders including political leaders</w:t>
      </w:r>
      <w:r>
        <w:rPr/>
        <w:t xml:space="preserve">.</w:t>
      </w:r>
      <w:r>
        <w:rPr/>
        <w:t xml:space="preserve"> </w:t>
      </w:r>
    </w:p>
    <w:p>
      <w:pPr>
        <w:spacing w:before="0" w:after="20" w:line="259" w:lineRule="auto"/>
        <w:ind w:left="0" w:right="0" w:firstLine="0"/>
        <w:jc w:val="left"/>
      </w:pPr>
      <w:r>
        <w:rPr/>
        <w:t xml:space="preserve"> </w:t>
      </w:r>
    </w:p>
    <w:p>
      <w:pPr>
        <w:pStyle w:val="normal"/>
        <w:spacing w:before="0" w:after="5" w:line="268" w:lineRule="auto"/>
        <w:ind w:left="-5" w:right="0"/>
      </w:pPr>
      <w:r>
        <w:rPr>
          <w:rFonts w:cs="Cambria" w:hAnsi="Cambria" w:eastAsia="Cambria" w:ascii="Cambria"/>
          <w:b w:val="1"/>
        </w:rPr>
        <w:t xml:space="preserve">Evaluation and Audit</w:t>
      </w:r>
      <w:r>
        <w:rPr>
          <w:rFonts w:cs="Cambria" w:hAnsi="Cambria" w:eastAsia="Cambria" w:ascii="Cambria"/>
          <w:b w:val="1"/>
        </w:rPr>
        <w:t xml:space="preserve">:</w:t>
      </w:r>
      <w:r>
        <w:rPr/>
        <w:t xml:space="preserve"> </w:t>
      </w:r>
      <w:r>
        <w:rPr/>
        <w:t xml:space="preserve">The project will be part of the Country office outcome evaluations. The audit of the project will be made through the regular external (UN Board of Auditors) or internal audits (audits managed by UNDP’s Office of Audit and Performance Review</w:t>
      </w:r>
      <w:r>
        <w:rPr/>
        <w:t xml:space="preserve"> </w:t>
      </w:r>
    </w:p>
    <w:p>
      <w:pPr>
        <w:spacing w:before="0" w:after="15" w:line="259" w:lineRule="auto"/>
        <w:ind w:left="0" w:right="0" w:firstLine="0"/>
        <w:jc w:val="left"/>
      </w:pPr>
      <w:r>
        <w:rPr/>
        <w:t xml:space="preserve"> </w:t>
      </w:r>
    </w:p>
    <w:p>
      <w:pPr>
        <w:spacing w:before="0" w:after="1" w:line="259" w:lineRule="auto"/>
        <w:ind w:left="0" w:right="0" w:firstLine="0"/>
        <w:jc w:val="left"/>
      </w:pPr>
      <w:r>
        <w:rPr>
          <w:rFonts w:cs="Cambria" w:hAnsi="Cambria" w:eastAsia="Cambria" w:ascii="Cambria"/>
          <w:b w:val="1"/>
        </w:rPr>
        <w:t xml:space="preserve">Quality Management for Project Activity Results</w:t>
      </w:r>
      <w:r>
        <w:rPr>
          <w:rFonts w:cs="Cambria" w:hAnsi="Cambria" w:eastAsia="Cambria" w:ascii="Cambria"/>
          <w:b w:val="1"/>
        </w:rPr>
        <w:t xml:space="preserve">: </w:t>
      </w:r>
      <w:r>
        <w:rPr>
          <w:rFonts w:cs="Cambria" w:hAnsi="Cambria" w:eastAsia="Cambria" w:ascii="Cambria"/>
          <w:i w:val="1"/>
        </w:rPr>
        <w:t xml:space="preserve"> </w:t>
      </w:r>
    </w:p>
    <w:p>
      <w:pPr>
        <w:spacing w:before="0" w:after="0" w:line="259" w:lineRule="auto"/>
        <w:ind w:left="0" w:right="0" w:firstLine="0"/>
        <w:jc w:val="left"/>
      </w:pPr>
      <w:r>
        <w:rPr>
          <w:rFonts w:cs="Cambria" w:hAnsi="Cambria" w:eastAsia="Cambria" w:ascii="Cambria"/>
          <w:i w:val="1"/>
          <w:sz w:val="22"/>
        </w:rPr>
        <w:t xml:space="preserve"> </w:t>
      </w:r>
    </w:p>
    <w:tbl>
      <w:tblPr>
        <w:tblStyle w:val="TableGrid"/>
        <w:tblW w:w="9384" w:type="dxa"/>
        <w:tblInd w:w="-115" w:type="dxa"/>
        <w:tblCellMar>
          <w:top w:w="74" w:type="dxa"/>
          <w:left w:w="110" w:type="dxa"/>
          <w:bottom w:w="0" w:type="dxa"/>
          <w:right w:w="66" w:type="dxa"/>
        </w:tblCellMar>
      </w:tblPr>
      <w:tblGrid>
        <w:gridCol w:w="1910"/>
        <w:gridCol w:w="4776"/>
        <w:gridCol w:w="2698"/>
      </w:tblGrid>
      <w:tr>
        <w:trPr>
          <w:trHeight w:val="643" w:hRule="atLeast"/>
        </w:trPr>
        <w:tc>
          <w:tcPr>
            <w:tcW w:w="938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1:</w:t>
            </w:r>
            <w:r>
              <w:rPr>
                <w:rFonts w:cs="Cambria" w:hAnsi="Cambria" w:eastAsia="Cambria" w:ascii="Cambria"/>
                <w:b w:val="1"/>
                <w:sz w:val="20"/>
              </w:rPr>
              <w:t xml:space="preserve"> </w:t>
            </w:r>
            <w:r>
              <w:rPr>
                <w:sz w:val="22"/>
              </w:rPr>
              <w:t xml:space="preserve">Community justice &amp; security, and social cohesion increased for peaceful resolution of disputes, in particular as related to land and women’s issues</w:t>
            </w:r>
            <w:r>
              <w:rPr>
                <w:rFonts w:cs="Cambria" w:hAnsi="Cambria" w:eastAsia="Cambria" w:ascii="Cambria"/>
                <w:b w:val="1"/>
                <w:sz w:val="20"/>
              </w:rPr>
              <w:t xml:space="preserve"> </w:t>
            </w:r>
          </w:p>
        </w:tc>
      </w:tr>
      <w:tr>
        <w:trPr>
          <w:trHeight w:val="595" w:hRule="atLeast"/>
        </w:trPr>
        <w:tc>
          <w:tcPr>
            <w:tcW w:w="191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rFonts w:cs="Cambria" w:hAnsi="Cambria" w:eastAsia="Cambria" w:ascii="Cambria"/>
                <w:b w:val="1"/>
                <w:sz w:val="20"/>
              </w:rPr>
              <w:t xml:space="preserve">Activity Result 1</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776" w:type="dxa"/>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Community security and confidence building</w:t>
            </w:r>
            <w:r>
              <w:rPr>
                <w:rFonts w:cs="Cambria" w:hAnsi="Cambria" w:eastAsia="Cambria" w:ascii="Cambria"/>
                <w:i w:val="1"/>
                <w:sz w:val="20"/>
              </w:rPr>
              <w:t xml:space="preserve"> </w:t>
            </w:r>
          </w:p>
        </w:tc>
        <w:tc>
          <w:tcPr>
            <w:tcW w:w="2698"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5" w:right="0" w:firstLine="0"/>
              <w:jc w:val="left"/>
            </w:pPr>
            <w:r>
              <w:rPr>
                <w:sz w:val="20"/>
              </w:rPr>
              <w:t xml:space="preserve">End Date:</w:t>
            </w:r>
            <w:r>
              <w:rPr>
                <w:sz w:val="20"/>
              </w:rPr>
              <w:t xml:space="preserve"> </w:t>
            </w:r>
            <w:r>
              <w:rPr>
                <w:sz w:val="20"/>
              </w:rPr>
              <w:t xml:space="preserve">December 2014</w:t>
            </w:r>
            <w:r>
              <w:rPr>
                <w:sz w:val="20"/>
              </w:rPr>
              <w:t xml:space="preserve"> </w:t>
            </w:r>
          </w:p>
        </w:tc>
      </w:tr>
      <w:tr>
        <w:trPr>
          <w:trHeight w:val="562"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2"/>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To contribute to peaceful resolution of disputes for recovery efforts</w:t>
            </w:r>
            <w:r>
              <w:rPr>
                <w:sz w:val="20"/>
              </w:rPr>
              <w:t xml:space="preserve"> </w:t>
            </w:r>
          </w:p>
        </w:tc>
      </w:tr>
      <w:tr>
        <w:trPr>
          <w:trHeight w:val="2482"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2"/>
            <w:tcBorders>
              <w:top w:val="single" w:sz="4" w:color="000000"/>
              <w:left w:val="single" w:sz="4" w:color="000000"/>
              <w:bottom w:val="single" w:sz="4" w:color="000000"/>
              <w:right w:val="single" w:sz="4" w:color="000000"/>
            </w:tcBorders>
            <w:vAlign w:val="top"/>
          </w:tcPr>
          <w:p>
            <w:pPr>
              <w:spacing w:before="0" w:after="14"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numPr>
                <w:ilvl w:val="0"/>
                <w:numId w:val="28"/>
              </w:numPr>
              <w:spacing w:before="0" w:after="23" w:line="259" w:lineRule="auto"/>
              <w:ind w:left="720" w:right="0" w:hanging="360"/>
              <w:jc w:val="left"/>
            </w:pPr>
            <w:r>
              <w:rPr>
                <w:sz w:val="18"/>
              </w:rPr>
              <w:t xml:space="preserve">Establish participatory assessments (baseline), including annual data </w:t>
            </w:r>
            <w:r>
              <w:rPr>
                <w:sz w:val="18"/>
              </w:rPr>
              <w:t xml:space="preserve"> </w:t>
            </w:r>
          </w:p>
          <w:p>
            <w:pPr>
              <w:numPr>
                <w:ilvl w:val="0"/>
                <w:numId w:val="28"/>
              </w:numPr>
              <w:spacing w:before="0" w:after="3" w:line="272" w:lineRule="auto"/>
              <w:ind w:left="720" w:right="0" w:hanging="360"/>
              <w:jc w:val="left"/>
            </w:pPr>
            <w:r>
              <w:rPr>
                <w:sz w:val="18"/>
              </w:rPr>
              <w:t xml:space="preserve">Assist local authorities to feed in data into national policy making processes (on legal aid /on policing/ SGBV /on AVR / on Land /traditional justice etc.).</w:t>
            </w:r>
            <w:r>
              <w:rPr>
                <w:sz w:val="18"/>
              </w:rPr>
              <w:t xml:space="preserve"> </w:t>
            </w:r>
          </w:p>
          <w:p>
            <w:pPr>
              <w:numPr>
                <w:ilvl w:val="0"/>
                <w:numId w:val="28"/>
              </w:numPr>
              <w:spacing w:before="0" w:after="25" w:line="259" w:lineRule="auto"/>
              <w:ind w:left="720" w:right="0" w:hanging="360"/>
              <w:jc w:val="left"/>
            </w:pPr>
            <w:r>
              <w:rPr>
                <w:sz w:val="18"/>
              </w:rPr>
              <w:t xml:space="preserve">Develop and agree conditions for the partnership between UNDP and police</w:t>
            </w:r>
            <w:r>
              <w:rPr>
                <w:sz w:val="18"/>
                <w:vertAlign w:val="superscript"/>
              </w:rPr>
              <w:footnoteReference w:id="66"/>
            </w:r>
            <w:r>
              <w:rPr>
                <w:sz w:val="18"/>
              </w:rPr>
              <w:t xml:space="preserve">. </w:t>
            </w:r>
            <w:r>
              <w:rPr>
                <w:sz w:val="18"/>
              </w:rPr>
              <w:t xml:space="preserve"> </w:t>
            </w:r>
          </w:p>
          <w:p>
            <w:pPr>
              <w:numPr>
                <w:ilvl w:val="0"/>
                <w:numId w:val="28"/>
              </w:numPr>
              <w:spacing w:before="0" w:after="0" w:line="277" w:lineRule="auto"/>
              <w:ind w:left="720" w:right="0" w:hanging="360"/>
              <w:jc w:val="left"/>
            </w:pPr>
            <w:r>
              <w:rPr>
                <w:sz w:val="18"/>
              </w:rPr>
              <w:t xml:space="preserve">Capacity development assessments of needs essential for increasing police reach&amp; community policing in remote areas.</w:t>
            </w:r>
            <w:r>
              <w:rPr>
                <w:sz w:val="18"/>
              </w:rPr>
              <w:t xml:space="preserve"> </w:t>
            </w:r>
          </w:p>
          <w:p>
            <w:pPr>
              <w:numPr>
                <w:ilvl w:val="0"/>
                <w:numId w:val="28"/>
              </w:numPr>
              <w:spacing w:before="0" w:after="23" w:line="259" w:lineRule="auto"/>
              <w:ind w:left="720" w:right="0" w:hanging="360"/>
              <w:jc w:val="left"/>
            </w:pPr>
            <w:r>
              <w:rPr>
                <w:sz w:val="18"/>
              </w:rPr>
              <w:t xml:space="preserve">Develop &amp; implement capacity development plan.  </w:t>
            </w:r>
            <w:r>
              <w:rPr>
                <w:sz w:val="18"/>
              </w:rPr>
              <w:t xml:space="preserve"> </w:t>
            </w:r>
          </w:p>
          <w:p>
            <w:pPr>
              <w:numPr>
                <w:ilvl w:val="0"/>
                <w:numId w:val="28"/>
              </w:numPr>
              <w:spacing w:before="0" w:after="0" w:line="259" w:lineRule="auto"/>
              <w:ind w:left="720" w:right="0" w:hanging="360"/>
              <w:jc w:val="left"/>
            </w:pPr>
            <w:r>
              <w:rPr>
                <w:sz w:val="18"/>
              </w:rPr>
              <w:t xml:space="preserve">Provision of technical advice; materials, equipment (bikes/motorbikes etc.) and infrastructure rehabilitation essential for police service increase.</w:t>
            </w:r>
            <w:r>
              <w:rPr>
                <w:sz w:val="18"/>
              </w:rPr>
              <w:t xml:space="preserve"> </w:t>
            </w:r>
          </w:p>
        </w:tc>
      </w:tr>
    </w:tbl>
    <w:p>
      <w:pPr>
        <w:spacing w:before="0" w:after="0" w:line="259" w:lineRule="auto"/>
        <w:ind w:left="-1440" w:right="97" w:firstLine="0"/>
        <w:jc w:val="left"/>
      </w:pPr>
    </w:p>
    <w:tbl>
      <w:tblPr>
        <w:tblStyle w:val="TableGrid"/>
        <w:tblW w:w="9384" w:type="dxa"/>
        <w:tblInd w:w="-115" w:type="dxa"/>
        <w:tblCellMar>
          <w:top w:w="74" w:type="dxa"/>
          <w:left w:w="110" w:type="dxa"/>
          <w:bottom w:w="0" w:type="dxa"/>
          <w:right w:w="67" w:type="dxa"/>
        </w:tblCellMar>
      </w:tblPr>
      <w:tblGrid>
        <w:gridCol w:w="1910"/>
        <w:gridCol w:w="1723"/>
        <w:gridCol w:w="3230"/>
        <w:gridCol w:w="2520"/>
      </w:tblGrid>
      <w:tr>
        <w:trPr>
          <w:trHeight w:val="2256" w:hRule="atLeast"/>
        </w:trPr>
        <w:tc>
          <w:tcPr>
            <w:tcW w:w="191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7474" w:type="dxa"/>
            <w:gridSpan w:val="3"/>
            <w:tcBorders>
              <w:top w:val="single" w:sz="4" w:color="000000"/>
              <w:left w:val="single" w:sz="4" w:color="000000"/>
              <w:bottom w:val="single" w:sz="4" w:color="000000"/>
              <w:right w:val="single" w:sz="4" w:color="000000"/>
            </w:tcBorders>
            <w:vAlign w:val="top"/>
          </w:tcPr>
          <w:p>
            <w:pPr>
              <w:numPr>
                <w:ilvl w:val="0"/>
                <w:numId w:val="29"/>
              </w:numPr>
              <w:spacing w:before="0" w:after="3" w:line="272" w:lineRule="auto"/>
              <w:ind w:left="720" w:right="0" w:hanging="360"/>
              <w:jc w:val="left"/>
            </w:pPr>
            <w:r>
              <w:rPr>
                <w:sz w:val="18"/>
              </w:rPr>
              <w:t xml:space="preserve">Provide joint trainings (experiential </w:t>
            </w:r>
            <w:r>
              <w:rPr>
                <w:sz w:val="18"/>
              </w:rPr>
              <w:t xml:space="preserve">- </w:t>
            </w:r>
            <w:r>
              <w:rPr>
                <w:sz w:val="18"/>
              </w:rPr>
              <w:t xml:space="preserve">based on real cases) for police and prosecutors in target areas in identifying and responding to GBV cases and land related crimes (effective gender sensitive criminal investigation; referral; witness assistance and protection; prevention).</w:t>
            </w:r>
            <w:r>
              <w:rPr>
                <w:sz w:val="18"/>
              </w:rPr>
              <w:t xml:space="preserve"> </w:t>
            </w:r>
          </w:p>
          <w:p>
            <w:pPr>
              <w:numPr>
                <w:ilvl w:val="0"/>
                <w:numId w:val="29"/>
              </w:numPr>
              <w:spacing w:before="0" w:after="42" w:line="272" w:lineRule="auto"/>
              <w:ind w:left="720" w:right="0" w:hanging="360"/>
              <w:jc w:val="left"/>
            </w:pPr>
            <w:r>
              <w:rPr>
                <w:sz w:val="18"/>
              </w:rPr>
              <w:t xml:space="preserve">Facilitate dialogue </w:t>
            </w:r>
            <w:r>
              <w:rPr>
                <w:sz w:val="18"/>
              </w:rPr>
              <w:t xml:space="preserve">- </w:t>
            </w:r>
            <w:r>
              <w:rPr>
                <w:sz w:val="18"/>
              </w:rPr>
              <w:t xml:space="preserve">between police&amp; communities/between police &amp; social care providers/ and through police participation in peace rings </w:t>
            </w:r>
            <w:r>
              <w:rPr>
                <w:sz w:val="18"/>
              </w:rPr>
              <w:t xml:space="preserve">- </w:t>
            </w:r>
            <w:r>
              <w:rPr>
                <w:sz w:val="18"/>
              </w:rPr>
              <w:t xml:space="preserve">on police</w:t>
            </w:r>
            <w:r>
              <w:rPr>
                <w:sz w:val="18"/>
              </w:rPr>
              <w:t xml:space="preserve">-</w:t>
            </w:r>
            <w:r>
              <w:rPr>
                <w:sz w:val="18"/>
              </w:rPr>
              <w:t xml:space="preserve">topics such as community policing priorities, the role of women in the police service and the specific protection needs of women and children.</w:t>
            </w:r>
            <w:r>
              <w:rPr>
                <w:sz w:val="18"/>
              </w:rPr>
              <w:t xml:space="preserve"> </w:t>
            </w:r>
          </w:p>
          <w:p>
            <w:pPr>
              <w:numPr>
                <w:ilvl w:val="0"/>
                <w:numId w:val="29"/>
              </w:numPr>
              <w:spacing w:before="0" w:after="0" w:line="259" w:lineRule="auto"/>
              <w:ind w:left="720" w:right="0" w:hanging="360"/>
              <w:jc w:val="left"/>
            </w:pPr>
            <w:r>
              <w:rPr>
                <w:sz w:val="18"/>
              </w:rPr>
              <w:t xml:space="preserve">Support police in implementing agreements reached during those dialogues.</w:t>
            </w:r>
            <w:r>
              <w:rPr>
                <w:sz w:val="20"/>
              </w:rPr>
              <w:t xml:space="preserve"> </w:t>
            </w:r>
          </w:p>
        </w:tc>
      </w:tr>
      <w:tr>
        <w:trPr>
          <w:trHeight w:val="104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1"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595"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Annual increase in number and percentage of reported cases of SGBV.</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Progress reports, </w:t>
            </w:r>
            <w:r>
              <w:rPr>
                <w:sz w:val="20"/>
              </w:rPr>
              <w:t xml:space="preserve"> </w:t>
            </w:r>
          </w:p>
          <w:p>
            <w:pPr>
              <w:spacing w:before="0" w:after="0" w:line="259" w:lineRule="auto"/>
              <w:ind w:left="5" w:right="0" w:firstLine="0"/>
              <w:jc w:val="left"/>
            </w:pPr>
            <w:r>
              <w:rPr>
                <w:sz w:val="20"/>
              </w:rPr>
              <w:t xml:space="preserve">Records from police, LCs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Annual increase in number of trials and convictions of GBV cases.</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Progress reports, </w:t>
            </w:r>
            <w:r>
              <w:rPr>
                <w:sz w:val="20"/>
              </w:rPr>
              <w:t xml:space="preserve"> </w:t>
            </w:r>
          </w:p>
          <w:p>
            <w:pPr>
              <w:spacing w:before="0" w:after="0" w:line="259" w:lineRule="auto"/>
              <w:ind w:left="5" w:right="0" w:firstLine="0"/>
              <w:jc w:val="left"/>
            </w:pPr>
            <w:r>
              <w:rPr>
                <w:sz w:val="20"/>
              </w:rPr>
              <w:t xml:space="preserve">Records from police, LCs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648"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1:</w:t>
            </w:r>
            <w:r>
              <w:rPr>
                <w:rFonts w:cs="Cambria" w:hAnsi="Cambria" w:eastAsia="Cambria" w:ascii="Cambria"/>
                <w:b w:val="1"/>
                <w:sz w:val="20"/>
              </w:rPr>
              <w:t xml:space="preserve"> </w:t>
            </w:r>
            <w:r>
              <w:rPr>
                <w:sz w:val="22"/>
              </w:rPr>
              <w:t xml:space="preserve">Community justice &amp; security, and social cohesion increased for peaceful resolution of disputes, in particular as related to land and women’s issues</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2</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Legal aid assistance</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5" w:right="0" w:firstLine="0"/>
              <w:jc w:val="left"/>
            </w:pPr>
            <w:r>
              <w:rPr>
                <w:sz w:val="20"/>
              </w:rPr>
              <w:t xml:space="preserve">End Date: December</w:t>
            </w:r>
            <w:r>
              <w:rPr>
                <w:sz w:val="20"/>
              </w:rPr>
              <w:t xml:space="preserve"> </w:t>
            </w:r>
            <w:r>
              <w:rPr>
                <w:sz w:val="20"/>
              </w:rPr>
              <w:t xml:space="preserve">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27"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To empower victims of violence</w:t>
            </w:r>
            <w:r>
              <w:rPr>
                <w:sz w:val="20"/>
              </w:rPr>
              <w:t xml:space="preserve"> </w:t>
            </w:r>
          </w:p>
        </w:tc>
      </w:tr>
      <w:tr>
        <w:trPr>
          <w:trHeight w:val="4301"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58"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numPr>
                <w:ilvl w:val="0"/>
                <w:numId w:val="30"/>
              </w:numPr>
              <w:spacing w:before="0" w:after="46" w:line="272" w:lineRule="auto"/>
              <w:ind w:left="720" w:right="0" w:hanging="360"/>
              <w:jc w:val="left"/>
            </w:pPr>
            <w:r>
              <w:rPr>
                <w:sz w:val="18"/>
              </w:rPr>
              <w:t xml:space="preserve">Identify justice service providers (legal aid NGOs, paralegals, private lawyers; JLOS officials, including police officers at family protection units) and</w:t>
            </w:r>
            <w:r>
              <w:rPr>
                <w:sz w:val="18"/>
              </w:rPr>
              <w:t xml:space="preserve"> </w:t>
            </w:r>
            <w:r>
              <w:rPr>
                <w:sz w:val="18"/>
              </w:rPr>
              <w:t xml:space="preserve">conduct a capacity development assessment focused on increasing legal aid/assistance. </w:t>
            </w:r>
            <w:r>
              <w:rPr>
                <w:sz w:val="18"/>
              </w:rPr>
              <w:t xml:space="preserve"> </w:t>
            </w:r>
          </w:p>
          <w:p>
            <w:pPr>
              <w:numPr>
                <w:ilvl w:val="0"/>
                <w:numId w:val="30"/>
              </w:numPr>
              <w:spacing w:before="0" w:after="46" w:line="272" w:lineRule="auto"/>
              <w:ind w:left="720" w:right="0" w:hanging="360"/>
              <w:jc w:val="left"/>
            </w:pPr>
            <w:r>
              <w:rPr>
                <w:sz w:val="18"/>
              </w:rPr>
              <w:t xml:space="preserve">Provide funds for legal aid, assistance and counselling</w:t>
            </w:r>
            <w:r>
              <w:rPr>
                <w:sz w:val="18"/>
              </w:rPr>
              <w:t xml:space="preserve"> </w:t>
            </w:r>
            <w:r>
              <w:rPr>
                <w:sz w:val="18"/>
              </w:rPr>
              <w:t xml:space="preserve">services in target areas and facilitate taking up of cases on land, women, and unlawfully remanded prisoners.</w:t>
            </w:r>
            <w:r>
              <w:rPr>
                <w:sz w:val="18"/>
              </w:rPr>
              <w:t xml:space="preserve"> </w:t>
            </w:r>
          </w:p>
          <w:p>
            <w:pPr>
              <w:numPr>
                <w:ilvl w:val="0"/>
                <w:numId w:val="30"/>
              </w:numPr>
              <w:spacing w:before="0" w:after="0" w:line="277" w:lineRule="auto"/>
              <w:ind w:left="720" w:right="0" w:hanging="360"/>
              <w:jc w:val="left"/>
            </w:pPr>
            <w:r>
              <w:rPr>
                <w:sz w:val="18"/>
              </w:rPr>
              <w:t xml:space="preserve">Support networks of justice service providers to alleviate prison decongestion and case backlog in LCCs, with focus on land and women’s cases.</w:t>
            </w:r>
            <w:r>
              <w:rPr>
                <w:sz w:val="18"/>
              </w:rPr>
              <w:t xml:space="preserve"> </w:t>
            </w:r>
          </w:p>
          <w:p>
            <w:pPr>
              <w:numPr>
                <w:ilvl w:val="0"/>
                <w:numId w:val="30"/>
              </w:numPr>
              <w:spacing w:before="0" w:after="5" w:line="270" w:lineRule="auto"/>
              <w:ind w:left="720" w:right="0" w:hanging="360"/>
              <w:jc w:val="left"/>
            </w:pPr>
            <w:r>
              <w:rPr>
                <w:sz w:val="18"/>
              </w:rPr>
              <w:t xml:space="preserve">Facilitate dialogue between the justice networks &amp; police; justice networks &amp; traditional justice providers; justice networks &amp; social workers to discuss solutions for issues preventing access to justice.</w:t>
            </w:r>
            <w:r>
              <w:rPr>
                <w:sz w:val="18"/>
              </w:rPr>
              <w:t xml:space="preserve"> </w:t>
            </w:r>
          </w:p>
          <w:p>
            <w:pPr>
              <w:numPr>
                <w:ilvl w:val="0"/>
                <w:numId w:val="30"/>
              </w:numPr>
              <w:spacing w:before="0" w:after="0" w:line="277" w:lineRule="auto"/>
              <w:ind w:left="720" w:right="0" w:hanging="360"/>
              <w:jc w:val="left"/>
            </w:pPr>
            <w:r>
              <w:rPr>
                <w:sz w:val="18"/>
              </w:rPr>
              <w:t xml:space="preserve">Support in follow up on agreements reached during these discussions, including feeding the findings to national level JLOS.  </w:t>
            </w:r>
            <w:r>
              <w:rPr>
                <w:sz w:val="18"/>
              </w:rPr>
              <w:t xml:space="preserve"> </w:t>
            </w:r>
          </w:p>
          <w:p>
            <w:pPr>
              <w:numPr>
                <w:ilvl w:val="0"/>
                <w:numId w:val="30"/>
              </w:numPr>
              <w:spacing w:before="0" w:after="8" w:line="272" w:lineRule="auto"/>
              <w:ind w:left="720" w:right="0" w:hanging="360"/>
              <w:jc w:val="left"/>
            </w:pPr>
            <w:r>
              <w:rPr>
                <w:sz w:val="18"/>
              </w:rPr>
              <w:t xml:space="preserve">Develop partnerships among UNDP/Uganda, local JLOS service providers and universities to deploy students for paid traineeships/paralegal functions with JLOS service providers in the target areas. </w:t>
            </w:r>
            <w:r>
              <w:rPr>
                <w:sz w:val="18"/>
              </w:rPr>
              <w:t xml:space="preserve"> </w:t>
            </w:r>
          </w:p>
          <w:p>
            <w:pPr>
              <w:numPr>
                <w:ilvl w:val="0"/>
                <w:numId w:val="30"/>
              </w:numPr>
              <w:spacing w:before="0" w:after="0" w:line="259" w:lineRule="auto"/>
              <w:ind w:left="720" w:right="0" w:hanging="360"/>
              <w:jc w:val="left"/>
            </w:pPr>
            <w:r>
              <w:rPr>
                <w:sz w:val="18"/>
              </w:rPr>
              <w:t xml:space="preserve">Deploy students to target areas in particular women. </w:t>
            </w:r>
            <w:r>
              <w:rPr>
                <w:sz w:val="18"/>
              </w:rPr>
              <w:t xml:space="preserve"> </w:t>
            </w:r>
          </w:p>
        </w:tc>
      </w:tr>
      <w:tr>
        <w:trPr>
          <w:trHeight w:val="104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1"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1267"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44" w:firstLine="0"/>
            </w:pPr>
            <w:r>
              <w:rPr>
                <w:sz w:val="18"/>
              </w:rPr>
              <w:t xml:space="preserve">Annual increase in number of cases taken up and resolved by UNDP supported justice service providers, disaggregated by criminal and civil and detention, land and women’s cases.</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Progress reports, </w:t>
            </w:r>
            <w:r>
              <w:rPr>
                <w:sz w:val="20"/>
              </w:rPr>
              <w:t xml:space="preserve"> </w:t>
            </w:r>
          </w:p>
          <w:p>
            <w:pPr>
              <w:spacing w:before="0" w:after="0" w:line="259" w:lineRule="auto"/>
              <w:ind w:left="5" w:right="0" w:firstLine="0"/>
              <w:jc w:val="left"/>
            </w:pPr>
            <w:r>
              <w:rPr>
                <w:sz w:val="20"/>
              </w:rPr>
              <w:t xml:space="preserve">Records from police, LCs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bl>
    <w:p>
      <w:pPr>
        <w:spacing w:before="0" w:after="0" w:line="259" w:lineRule="auto"/>
        <w:ind w:left="-1440" w:right="97" w:firstLine="0"/>
        <w:jc w:val="left"/>
      </w:pPr>
    </w:p>
    <w:tbl>
      <w:tblPr>
        <w:tblStyle w:val="TableGrid"/>
        <w:tblW w:w="9384" w:type="dxa"/>
        <w:tblInd w:w="-115" w:type="dxa"/>
        <w:tblCellMar>
          <w:top w:w="5" w:type="dxa"/>
          <w:left w:w="110" w:type="dxa"/>
          <w:bottom w:w="0" w:type="dxa"/>
          <w:right w:w="66" w:type="dxa"/>
        </w:tblCellMar>
      </w:tblPr>
      <w:tblGrid>
        <w:gridCol w:w="1910"/>
        <w:gridCol w:w="1723"/>
        <w:gridCol w:w="3230"/>
        <w:gridCol w:w="2520"/>
      </w:tblGrid>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Reduction in case backlog on land cases with LCCs.</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Progress reports, </w:t>
            </w:r>
            <w:r>
              <w:rPr>
                <w:sz w:val="20"/>
              </w:rPr>
              <w:t xml:space="preserve"> </w:t>
            </w:r>
          </w:p>
          <w:p>
            <w:pPr>
              <w:spacing w:before="0" w:after="0" w:line="259" w:lineRule="auto"/>
              <w:ind w:left="5" w:right="0" w:firstLine="0"/>
              <w:jc w:val="left"/>
            </w:pPr>
            <w:r>
              <w:rPr>
                <w:sz w:val="20"/>
              </w:rPr>
              <w:t xml:space="preserve">Records from police, LCs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864"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Existence of legal advice and assistance services in target areas. </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24" w:line="259" w:lineRule="auto"/>
              <w:ind w:left="5" w:right="0" w:firstLine="0"/>
              <w:jc w:val="left"/>
            </w:pPr>
            <w:r>
              <w:rPr>
                <w:sz w:val="20"/>
              </w:rPr>
              <w:t xml:space="preserve">Progress reports, </w:t>
            </w:r>
            <w:r>
              <w:rPr>
                <w:sz w:val="20"/>
              </w:rPr>
              <w:t xml:space="preserve"> </w:t>
            </w:r>
          </w:p>
          <w:p>
            <w:pPr>
              <w:tabs>
                <w:tab w:val="center" w:pos="353"/>
                <w:tab w:val="center" w:pos="1145"/>
                <w:tab w:val="center" w:pos="1820"/>
                <w:tab w:val="center" w:pos="2647"/>
              </w:tabs>
              <w:spacing w:before="0" w:after="16" w:line="259" w:lineRule="auto"/>
              <w:ind w:left="0" w:right="0" w:firstLine="0"/>
              <w:jc w:val="left"/>
            </w:pPr>
            <w:r>
              <w:rPr>
                <w:rFonts w:cs="Calibri" w:hAnsi="Calibri" w:eastAsia="Calibri" w:ascii="Calibri"/>
                <w:sz w:val="22"/>
              </w:rPr>
              <w:t xml:space="preserve">	</w:t>
            </w:r>
            <w:r>
              <w:rPr>
                <w:sz w:val="20"/>
              </w:rPr>
              <w:t xml:space="preserve">Records 	from 	Legal 	sources</w:t>
            </w:r>
            <w:r>
              <w:rPr>
                <w:sz w:val="20"/>
              </w:rPr>
              <w:t xml:space="preserve">- </w:t>
            </w:r>
          </w:p>
          <w:p>
            <w:pPr>
              <w:spacing w:before="0" w:after="0" w:line="259" w:lineRule="auto"/>
              <w:ind w:left="5" w:right="0" w:firstLine="0"/>
              <w:jc w:val="left"/>
            </w:pPr>
            <w:r>
              <w:rPr>
                <w:sz w:val="20"/>
              </w:rPr>
              <w:t xml:space="preserve">police, LCs, NGOs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648"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1:</w:t>
            </w:r>
            <w:r>
              <w:rPr>
                <w:rFonts w:cs="Cambria" w:hAnsi="Cambria" w:eastAsia="Cambria" w:ascii="Cambria"/>
                <w:b w:val="1"/>
                <w:sz w:val="20"/>
              </w:rPr>
              <w:t xml:space="preserve"> </w:t>
            </w:r>
            <w:r>
              <w:rPr>
                <w:sz w:val="22"/>
              </w:rPr>
              <w:t xml:space="preserve">Community justice &amp; security, and social cohesion increased for peaceful resolution of disputes, in particular as related to land and women’s issues</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3</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libri" w:hAnsi="Calibri" w:eastAsia="Calibri" w:ascii="Calibri"/>
                <w:sz w:val="22"/>
              </w:rPr>
              <w:drawing>
                <wp:anchor simplePos="0" relativeHeight="0" locked="0" layoutInCell="1" allowOverlap="1" behindDoc="0">
                  <wp:simplePos x="0" y="0"/>
                  <wp:positionH relativeFrom="column">
                    <wp:posOffset>3142488</wp:posOffset>
                  </wp:positionH>
                  <wp:positionV relativeFrom="paragraph">
                    <wp:posOffset>-49754</wp:posOffset>
                  </wp:positionV>
                  <wp:extent cx="6096" cy="368807"/>
                  <wp:wrapSquare wrapText="bothSides"/>
                  <wp:docPr id="164271" name="Group 164271"/>
                  <wp:cNvGraphicFramePr/>
                  <a:graphic>
                    <a:graphicData uri="http://schemas.microsoft.com/office/word/2010/wordprocessingGroup">
                      <wpg:wgp>
                        <wpg:cNvGrpSpPr/>
                        <wpg:grpSpPr>
                          <a:xfrm>
                            <a:off x="0" y="0"/>
                            <a:ext cx="6096" cy="368807"/>
                            <a:chOff x="0" y="0"/>
                            <a:chExt cx="6096" cy="368807"/>
                          </a:xfrm>
                        </wpg:grpSpPr>
                        <wps:wsp>
                          <wps:cNvPr id="180736" name="Shape 180736"/>
                          <wps:cNvSpPr/>
                          <wps:spPr>
                            <a:xfrm>
                              <a:off x="0" y="0"/>
                              <a:ext cx="9144" cy="27432"/>
                            </a:xfrm>
                            <a:custGeom>
                              <a:pathLst>
                                <a:path w="9144" h="27432">
                                  <a:moveTo>
                                    <a:pt x="0" y="0"/>
                                  </a:moveTo>
                                  <a:lnTo>
                                    <a:pt x="9144" y="0"/>
                                  </a:lnTo>
                                  <a:lnTo>
                                    <a:pt x="9144" y="27432"/>
                                  </a:lnTo>
                                  <a:lnTo>
                                    <a:pt x="0" y="2743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80737" name="Shape 180737"/>
                          <wps:cNvSpPr/>
                          <wps:spPr>
                            <a:xfrm>
                              <a:off x="0" y="27431"/>
                              <a:ext cx="9144" cy="341376"/>
                            </a:xfrm>
                            <a:custGeom>
                              <a:pathLst>
                                <a:path w="9144" h="341376">
                                  <a:moveTo>
                                    <a:pt x="0" y="0"/>
                                  </a:moveTo>
                                  <a:lnTo>
                                    <a:pt x="9144" y="0"/>
                                  </a:lnTo>
                                  <a:lnTo>
                                    <a:pt x="9144" y="341376"/>
                                  </a:lnTo>
                                  <a:lnTo>
                                    <a:pt x="0" y="341376"/>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0" w:right="0" w:firstLine="0"/>
              <w:jc w:val="left"/>
            </w:pPr>
            <w:r>
              <w:rPr>
                <w:rFonts w:cs="Cambria" w:hAnsi="Cambria" w:eastAsia="Cambria" w:ascii="Cambria"/>
                <w:i w:val="1"/>
                <w:sz w:val="20"/>
              </w:rPr>
              <w:t xml:space="preserve">Conflict prevention and resolution of disputes</w:t>
            </w:r>
            <w:r>
              <w:rPr>
                <w:rFonts w:cs="Cambria" w:hAnsi="Cambria" w:eastAsia="Cambria" w:ascii="Cambria"/>
                <w:i w:val="1"/>
                <w:sz w:val="20"/>
              </w:rPr>
              <w:t xml:space="preserve"> </w:t>
            </w:r>
            <w:r>
              <w:rPr>
                <w:sz w:val="20"/>
              </w:rPr>
              <w:t xml:space="preserve">End Date:</w:t>
            </w:r>
            <w:r>
              <w:rPr>
                <w:sz w:val="20"/>
              </w:rPr>
              <w:t xml:space="preserve"> </w:t>
            </w:r>
            <w:r>
              <w:rPr>
                <w:sz w:val="20"/>
              </w:rPr>
              <w:t xml:space="preserve">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27"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Contribute to the consolidation of peace gains for recovery </w:t>
            </w:r>
            <w:r>
              <w:rPr>
                <w:sz w:val="20"/>
              </w:rPr>
              <w:t xml:space="preserve"> </w:t>
            </w:r>
          </w:p>
        </w:tc>
      </w:tr>
      <w:tr>
        <w:trPr>
          <w:trHeight w:val="4440"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19"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numPr>
                <w:ilvl w:val="0"/>
                <w:numId w:val="31"/>
              </w:numPr>
              <w:spacing w:before="0" w:after="3" w:line="272" w:lineRule="auto"/>
              <w:ind w:left="720" w:right="0" w:hanging="360"/>
              <w:jc w:val="left"/>
            </w:pPr>
            <w:r>
              <w:rPr>
                <w:sz w:val="18"/>
              </w:rPr>
              <w:t xml:space="preserve">Support further research </w:t>
            </w:r>
            <w:r>
              <w:rPr>
                <w:sz w:val="18"/>
              </w:rPr>
              <w:t xml:space="preserve">- </w:t>
            </w:r>
            <w:r>
              <w:rPr>
                <w:sz w:val="18"/>
              </w:rPr>
              <w:t xml:space="preserve">for instance on land grabbing; on blockages to accessing land rights (e.g. laws not implemented, legal advice not available, documents not translated); the relevance of Certificates of Communal Ownership (CCOs).</w:t>
            </w:r>
            <w:r>
              <w:rPr>
                <w:sz w:val="18"/>
              </w:rPr>
              <w:t xml:space="preserve"> </w:t>
            </w:r>
          </w:p>
          <w:p>
            <w:pPr>
              <w:numPr>
                <w:ilvl w:val="0"/>
                <w:numId w:val="31"/>
              </w:numPr>
              <w:spacing w:before="0" w:after="0" w:line="277" w:lineRule="auto"/>
              <w:ind w:left="720" w:right="0" w:hanging="360"/>
              <w:jc w:val="left"/>
            </w:pPr>
            <w:r>
              <w:rPr>
                <w:sz w:val="18"/>
              </w:rPr>
              <w:t xml:space="preserve">Conduct a rapid assessment focusing on priority human capacity, material and equipment needs to clear case backlog in LCCs in target areas. </w:t>
            </w:r>
            <w:r>
              <w:rPr>
                <w:sz w:val="18"/>
              </w:rPr>
              <w:t xml:space="preserve"> </w:t>
            </w:r>
          </w:p>
          <w:p>
            <w:pPr>
              <w:numPr>
                <w:ilvl w:val="0"/>
                <w:numId w:val="31"/>
              </w:numPr>
              <w:spacing w:before="0" w:after="16" w:line="259" w:lineRule="auto"/>
              <w:ind w:left="720" w:right="0" w:hanging="360"/>
              <w:jc w:val="left"/>
            </w:pPr>
            <w:r>
              <w:rPr>
                <w:sz w:val="18"/>
              </w:rPr>
              <w:t xml:space="preserve">Develop and implement capacity development plan. </w:t>
            </w:r>
            <w:r>
              <w:rPr>
                <w:sz w:val="18"/>
              </w:rPr>
              <w:t xml:space="preserve"> </w:t>
            </w:r>
          </w:p>
          <w:p>
            <w:pPr>
              <w:numPr>
                <w:ilvl w:val="0"/>
                <w:numId w:val="31"/>
              </w:numPr>
              <w:spacing w:before="0" w:after="5" w:line="267" w:lineRule="auto"/>
              <w:ind w:left="720" w:right="0" w:hanging="360"/>
              <w:jc w:val="left"/>
            </w:pPr>
            <w:r>
              <w:rPr>
                <w:sz w:val="18"/>
              </w:rPr>
              <w:t xml:space="preserve">Assess knowledge and skills (of laws/procedures) of members of the court and support trainings</w:t>
            </w:r>
            <w:r>
              <w:rPr>
                <w:sz w:val="18"/>
              </w:rPr>
              <w:t xml:space="preserve"> </w:t>
            </w:r>
            <w:r>
              <w:rPr>
                <w:sz w:val="18"/>
              </w:rPr>
              <w:t xml:space="preserve">in identified need areas. </w:t>
            </w:r>
            <w:r>
              <w:rPr>
                <w:sz w:val="18"/>
              </w:rPr>
              <w:t xml:space="preserve"> </w:t>
            </w:r>
          </w:p>
          <w:p>
            <w:pPr>
              <w:numPr>
                <w:ilvl w:val="0"/>
                <w:numId w:val="31"/>
              </w:numPr>
              <w:spacing w:before="0" w:after="2" w:line="273" w:lineRule="auto"/>
              <w:ind w:left="720" w:right="0" w:hanging="360"/>
              <w:jc w:val="left"/>
            </w:pPr>
            <w:r>
              <w:rPr>
                <w:sz w:val="18"/>
              </w:rPr>
              <w:t xml:space="preserve">Assess the number of women in the members of the LCCs and support initiatives increasing women’s participation (LCC Act Section 4). </w:t>
            </w:r>
            <w:r>
              <w:rPr>
                <w:sz w:val="18"/>
              </w:rPr>
              <w:t xml:space="preserve"> </w:t>
            </w:r>
          </w:p>
          <w:p>
            <w:pPr>
              <w:numPr>
                <w:ilvl w:val="0"/>
                <w:numId w:val="31"/>
              </w:numPr>
              <w:spacing w:before="0" w:after="8" w:line="272" w:lineRule="auto"/>
              <w:ind w:left="720" w:right="0" w:hanging="360"/>
              <w:jc w:val="left"/>
            </w:pPr>
            <w:r>
              <w:rPr>
                <w:sz w:val="18"/>
              </w:rPr>
              <w:t xml:space="preserve">Support development and maintenance of a record keeping system for number and types of complaints, disaggregated data on complainants, and type and speed of resolution by District LC focal points and LC Chairs.</w:t>
            </w:r>
            <w:r>
              <w:rPr>
                <w:sz w:val="18"/>
              </w:rPr>
              <w:t xml:space="preserve"> </w:t>
            </w:r>
          </w:p>
          <w:p>
            <w:pPr>
              <w:numPr>
                <w:ilvl w:val="0"/>
                <w:numId w:val="31"/>
              </w:numPr>
              <w:spacing w:before="0" w:after="25" w:line="272" w:lineRule="auto"/>
              <w:ind w:left="720" w:right="0" w:hanging="360"/>
              <w:jc w:val="left"/>
            </w:pPr>
            <w:r>
              <w:rPr>
                <w:sz w:val="18"/>
              </w:rPr>
              <w:t xml:space="preserve">Support development of legal reference documents including</w:t>
            </w:r>
            <w:r>
              <w:rPr>
                <w:sz w:val="18"/>
              </w:rPr>
              <w:t xml:space="preserve"> </w:t>
            </w:r>
            <w:r>
              <w:rPr>
                <w:sz w:val="18"/>
              </w:rPr>
              <w:t xml:space="preserve">translation into local language where necessary.</w:t>
            </w:r>
            <w:r>
              <w:rPr>
                <w:sz w:val="18"/>
              </w:rPr>
              <w:t xml:space="preserve"> </w:t>
            </w:r>
          </w:p>
          <w:p>
            <w:pPr>
              <w:numPr>
                <w:ilvl w:val="0"/>
                <w:numId w:val="31"/>
              </w:numPr>
              <w:spacing w:before="0" w:after="0" w:line="259" w:lineRule="auto"/>
              <w:ind w:left="720" w:right="0" w:hanging="360"/>
              <w:jc w:val="left"/>
            </w:pPr>
            <w:r>
              <w:rPr>
                <w:sz w:val="18"/>
              </w:rPr>
              <w:t xml:space="preserve">Facilitate placement of students</w:t>
            </w:r>
            <w:r>
              <w:rPr>
                <w:sz w:val="18"/>
              </w:rPr>
              <w:t xml:space="preserve"> </w:t>
            </w:r>
            <w:r>
              <w:rPr>
                <w:sz w:val="18"/>
              </w:rPr>
              <w:t xml:space="preserve">and paralegals to strengthen the capacities of the LCCs.</w:t>
            </w:r>
            <w:r>
              <w:rPr>
                <w:sz w:val="20"/>
              </w:rPr>
              <w:t xml:space="preserve"> </w:t>
            </w:r>
          </w:p>
        </w:tc>
      </w:tr>
      <w:tr>
        <w:trPr>
          <w:trHeight w:val="104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2"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595"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Annual increase of police presence in target areas</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20"/>
              </w:rPr>
              <w:t xml:space="preserve">Records on police deployment</w:t>
            </w:r>
            <w:r>
              <w:rPr>
                <w:sz w:val="20"/>
              </w:rPr>
              <w:t xml:space="preserve"> </w:t>
            </w:r>
            <w:r>
              <w:rPr>
                <w:sz w:val="20"/>
              </w:rPr>
              <w:t xml:space="preserve">to the region</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590"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rFonts w:cs="Cambria" w:hAnsi="Cambria" w:eastAsia="Cambria" w:ascii="Cambria"/>
                <w:b w:val="1"/>
                <w:sz w:val="20"/>
              </w:rPr>
              <w:t xml:space="preserve">OUTPUT 1:</w:t>
            </w:r>
            <w:r>
              <w:rPr>
                <w:rFonts w:cs="Cambria" w:hAnsi="Cambria" w:eastAsia="Cambria" w:ascii="Cambria"/>
                <w:b w:val="1"/>
                <w:sz w:val="20"/>
              </w:rPr>
              <w:t xml:space="preserve"> </w:t>
            </w:r>
            <w:r>
              <w:rPr>
                <w:sz w:val="20"/>
              </w:rPr>
              <w:t xml:space="preserve">Community justice &amp; security, and social cohesion</w:t>
            </w:r>
            <w:r>
              <w:rPr>
                <w:sz w:val="20"/>
              </w:rPr>
              <w:t xml:space="preserve"> </w:t>
            </w:r>
            <w:r>
              <w:rPr>
                <w:sz w:val="20"/>
              </w:rPr>
              <w:t xml:space="preserve">increased for peaceful resolution of disputes, in particular as related to land and women’s issues</w:t>
            </w:r>
            <w:r>
              <w:rPr>
                <w:rFonts w:cs="Cambria" w:hAnsi="Cambria" w:eastAsia="Cambria" w:ascii="Cambria"/>
                <w:b w:val="1"/>
                <w:sz w:val="20"/>
              </w:rPr>
              <w:t xml:space="preserve"> </w:t>
            </w:r>
          </w:p>
        </w:tc>
      </w:tr>
      <w:tr>
        <w:trPr>
          <w:trHeight w:val="595" w:hRule="atLeast"/>
        </w:trPr>
        <w:tc>
          <w:tcPr>
            <w:tcW w:w="191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rFonts w:cs="Cambria" w:hAnsi="Cambria" w:eastAsia="Cambria" w:ascii="Cambria"/>
                <w:b w:val="1"/>
                <w:sz w:val="20"/>
              </w:rPr>
              <w:t xml:space="preserve">Activity Result 4</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2"/>
            <w:tcBorders>
              <w:top w:val="single" w:sz="4" w:color="000000"/>
              <w:left w:val="single" w:sz="4" w:color="000000"/>
              <w:bottom w:val="single" w:sz="4" w:color="000000"/>
              <w:right w:val="single" w:sz="4" w:color="000000"/>
            </w:tcBorders>
            <w:vAlign w:val="top"/>
          </w:tcPr>
          <w:p>
            <w:pPr>
              <w:spacing w:before="0" w:after="16"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Link formal and informal justice systems</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Start Date: January 2013</w:t>
            </w:r>
            <w:r>
              <w:rPr>
                <w:sz w:val="20"/>
              </w:rPr>
              <w:t xml:space="preserve"> </w:t>
            </w:r>
          </w:p>
          <w:p>
            <w:pPr>
              <w:spacing w:before="0" w:after="0" w:line="259" w:lineRule="auto"/>
              <w:ind w:left="5" w:right="0" w:firstLine="0"/>
              <w:jc w:val="left"/>
            </w:pPr>
            <w:r>
              <w:rPr>
                <w:sz w:val="20"/>
              </w:rPr>
              <w:t xml:space="preserve">End Date: 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Improve communication and information exchange between the justice systems </w:t>
            </w:r>
            <w:r>
              <w:rPr>
                <w:sz w:val="20"/>
              </w:rPr>
              <w:t xml:space="preserve"> </w:t>
            </w:r>
          </w:p>
        </w:tc>
      </w:tr>
      <w:tr>
        <w:trPr>
          <w:trHeight w:val="1022"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14"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spacing w:before="0" w:after="0" w:line="259" w:lineRule="auto"/>
              <w:ind w:left="720" w:right="0" w:hanging="360"/>
              <w:jc w:val="left"/>
            </w:pPr>
            <w:r>
              <w:rPr>
                <w:rFonts w:cs="Arial" w:hAnsi="Arial" w:eastAsia="Arial" w:ascii="Arial"/>
                <w:sz w:val="18"/>
              </w:rPr>
              <w:t xml:space="preserve">- 	</w:t>
            </w:r>
            <w:r>
              <w:rPr>
                <w:sz w:val="18"/>
              </w:rPr>
              <w:t xml:space="preserve">Support further research in follow up on the recommendations of conducted JLOS studies and UN PB studies, including research on linkages between peace rings (NUREP) and LCCs. </w:t>
            </w:r>
            <w:r>
              <w:rPr>
                <w:sz w:val="18"/>
              </w:rPr>
              <w:t xml:space="preserve"> </w:t>
            </w:r>
          </w:p>
        </w:tc>
      </w:tr>
    </w:tbl>
    <w:p>
      <w:pPr>
        <w:spacing w:before="0" w:after="0" w:line="259" w:lineRule="auto"/>
        <w:ind w:left="-1440" w:right="97" w:firstLine="0"/>
        <w:jc w:val="left"/>
      </w:pPr>
    </w:p>
    <w:tbl>
      <w:tblPr>
        <w:tblStyle w:val="TableGrid"/>
        <w:tblW w:w="9384" w:type="dxa"/>
        <w:tblInd w:w="-115" w:type="dxa"/>
        <w:tblCellMar>
          <w:top w:w="74" w:type="dxa"/>
          <w:left w:w="110" w:type="dxa"/>
          <w:bottom w:w="0" w:type="dxa"/>
          <w:right w:w="66" w:type="dxa"/>
        </w:tblCellMar>
      </w:tblPr>
      <w:tblGrid>
        <w:gridCol w:w="1910"/>
        <w:gridCol w:w="1723"/>
        <w:gridCol w:w="3230"/>
        <w:gridCol w:w="2520"/>
      </w:tblGrid>
      <w:tr>
        <w:trPr>
          <w:trHeight w:val="2506" w:hRule="atLeast"/>
        </w:trPr>
        <w:tc>
          <w:tcPr>
            <w:tcW w:w="191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7474" w:type="dxa"/>
            <w:gridSpan w:val="3"/>
            <w:tcBorders>
              <w:top w:val="single" w:sz="4" w:color="000000"/>
              <w:left w:val="single" w:sz="4" w:color="000000"/>
              <w:bottom w:val="single" w:sz="4" w:color="000000"/>
              <w:right w:val="single" w:sz="4" w:color="000000"/>
            </w:tcBorders>
            <w:vAlign w:val="top"/>
          </w:tcPr>
          <w:p>
            <w:pPr>
              <w:numPr>
                <w:ilvl w:val="0"/>
                <w:numId w:val="32"/>
              </w:numPr>
              <w:spacing w:before="0" w:after="2" w:line="273" w:lineRule="auto"/>
              <w:ind w:left="720" w:right="0" w:hanging="360"/>
              <w:jc w:val="left"/>
            </w:pPr>
            <w:r>
              <w:rPr>
                <w:sz w:val="18"/>
              </w:rPr>
              <w:t xml:space="preserve">Support record keeping of cases resolved through traditional institutions, in collaboration</w:t>
            </w:r>
            <w:r>
              <w:rPr>
                <w:sz w:val="18"/>
              </w:rPr>
              <w:t xml:space="preserve"> </w:t>
            </w:r>
            <w:r>
              <w:rPr>
                <w:sz w:val="18"/>
              </w:rPr>
              <w:t xml:space="preserve">with Uganda Data Center. </w:t>
            </w:r>
            <w:r>
              <w:rPr>
                <w:sz w:val="18"/>
              </w:rPr>
              <w:t xml:space="preserve"> </w:t>
            </w:r>
          </w:p>
          <w:p>
            <w:pPr>
              <w:numPr>
                <w:ilvl w:val="0"/>
                <w:numId w:val="32"/>
              </w:numPr>
              <w:spacing w:before="0" w:after="8" w:line="272" w:lineRule="auto"/>
              <w:ind w:left="720" w:right="0" w:hanging="360"/>
              <w:jc w:val="left"/>
            </w:pPr>
            <w:r>
              <w:rPr>
                <w:sz w:val="18"/>
              </w:rPr>
              <w:t xml:space="preserve">Undertake facilitated discussions between LCC officials, peace actors and traditional justice actors for joint understanding of each other’s practices and joint problem solving. </w:t>
            </w:r>
            <w:r>
              <w:rPr>
                <w:sz w:val="18"/>
              </w:rPr>
              <w:t xml:space="preserve"> </w:t>
            </w:r>
          </w:p>
          <w:p>
            <w:pPr>
              <w:numPr>
                <w:ilvl w:val="0"/>
                <w:numId w:val="32"/>
              </w:numPr>
              <w:spacing w:before="0" w:after="11" w:line="259" w:lineRule="auto"/>
              <w:ind w:left="720" w:right="0" w:hanging="360"/>
              <w:jc w:val="left"/>
            </w:pPr>
            <w:r>
              <w:rPr>
                <w:sz w:val="18"/>
              </w:rPr>
              <w:t xml:space="preserve">Support implementation of agreements reached during discussions. </w:t>
            </w:r>
            <w:r>
              <w:rPr>
                <w:sz w:val="18"/>
              </w:rPr>
              <w:t xml:space="preserve"> </w:t>
            </w:r>
          </w:p>
          <w:p>
            <w:pPr>
              <w:numPr>
                <w:ilvl w:val="0"/>
                <w:numId w:val="32"/>
              </w:numPr>
              <w:spacing w:before="0" w:after="19" w:line="273" w:lineRule="auto"/>
              <w:ind w:left="720" w:right="0" w:hanging="360"/>
              <w:jc w:val="left"/>
            </w:pPr>
            <w:r>
              <w:rPr>
                <w:sz w:val="18"/>
              </w:rPr>
              <w:t xml:space="preserve">Develop capacities of traditional justice actors on formal land rights and citizens’ rights, especially on issues pertaining to women and youth; customary law, ADR and record keeping</w:t>
            </w:r>
            <w:r>
              <w:rPr>
                <w:sz w:val="18"/>
              </w:rPr>
              <w:t xml:space="preserve"> </w:t>
            </w:r>
          </w:p>
          <w:p>
            <w:pPr>
              <w:spacing w:before="0" w:after="0" w:line="259" w:lineRule="auto"/>
              <w:ind w:left="720" w:right="0" w:firstLine="0"/>
              <w:jc w:val="left"/>
            </w:pP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2"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78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46" w:firstLine="0"/>
            </w:pPr>
            <w:r>
              <w:rPr>
                <w:sz w:val="18"/>
              </w:rPr>
              <w:t xml:space="preserve">Annual increase of number of people reached by justice and law enforcement services. </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Records from Police, LC courts, </w:t>
            </w:r>
          </w:p>
          <w:p>
            <w:pPr>
              <w:spacing w:before="0" w:after="0" w:line="259" w:lineRule="auto"/>
              <w:ind w:left="5" w:right="0" w:firstLine="0"/>
              <w:jc w:val="left"/>
            </w:pPr>
            <w:r>
              <w:rPr>
                <w:sz w:val="20"/>
              </w:rPr>
              <w:t xml:space="preserve">NGOs and other sources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Annual increase of people’s perception of security in target areas. </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20"/>
              </w:rPr>
              <w:t xml:space="preserve">Focus group discussions, call in to radio talk shows, </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322"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2: Employment creation and economic recovery </w:t>
            </w:r>
            <w:r>
              <w:rPr>
                <w:rFonts w:cs="Cambria" w:hAnsi="Cambria" w:eastAsia="Cambria" w:ascii="Cambria"/>
                <w:b w:val="1"/>
                <w:sz w:val="20"/>
              </w:rPr>
              <w:t xml:space="preserve"> </w:t>
            </w:r>
          </w:p>
        </w:tc>
      </w:tr>
      <w:tr>
        <w:trPr>
          <w:trHeight w:val="595"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1</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0"/>
              </w:rPr>
              <w:t xml:space="preserve">Employment creation and income generation</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 January 2013</w:t>
            </w:r>
            <w:r>
              <w:rPr>
                <w:sz w:val="20"/>
              </w:rPr>
              <w:t xml:space="preserve"> </w:t>
            </w:r>
          </w:p>
          <w:p>
            <w:pPr>
              <w:spacing w:before="0" w:after="0" w:line="259" w:lineRule="auto"/>
              <w:ind w:left="5" w:right="0" w:firstLine="0"/>
              <w:jc w:val="left"/>
            </w:pPr>
            <w:r>
              <w:rPr>
                <w:sz w:val="20"/>
              </w:rPr>
              <w:t xml:space="preserve">End Date: 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20"/>
              </w:rPr>
              <w:t xml:space="preserve">To improve the livelihoods of youth in Northern Uganda</w:t>
            </w:r>
            <w:r>
              <w:rPr>
                <w:sz w:val="20"/>
              </w:rPr>
              <w:t xml:space="preserve"> </w:t>
            </w:r>
          </w:p>
        </w:tc>
      </w:tr>
      <w:tr>
        <w:trPr>
          <w:trHeight w:val="2237"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numPr>
                <w:ilvl w:val="0"/>
                <w:numId w:val="33"/>
              </w:numPr>
              <w:spacing w:before="0" w:after="0" w:line="270" w:lineRule="auto"/>
              <w:ind w:left="0" w:right="0" w:firstLine="0"/>
            </w:pPr>
            <w:r>
              <w:rPr>
                <w:sz w:val="18"/>
              </w:rPr>
              <w:t xml:space="preserve">Based on market and</w:t>
            </w:r>
            <w:r>
              <w:rPr>
                <w:sz w:val="18"/>
              </w:rPr>
              <w:t xml:space="preserve"> </w:t>
            </w:r>
            <w:r>
              <w:rPr>
                <w:sz w:val="18"/>
              </w:rPr>
              <w:t xml:space="preserve">sectoral assessments leading to diversification of income and creation of employment, design employment creation schemes targeting youth (young women and men) while promoting green jobs;</w:t>
            </w:r>
            <w:r>
              <w:rPr>
                <w:sz w:val="18"/>
              </w:rPr>
              <w:t xml:space="preserve"> </w:t>
            </w:r>
          </w:p>
          <w:p>
            <w:pPr>
              <w:numPr>
                <w:ilvl w:val="0"/>
                <w:numId w:val="33"/>
              </w:numPr>
              <w:spacing w:before="0" w:after="0" w:line="273" w:lineRule="auto"/>
              <w:ind w:left="0" w:right="0" w:firstLine="0"/>
            </w:pPr>
            <w:r>
              <w:rPr>
                <w:sz w:val="18"/>
              </w:rPr>
              <w:t xml:space="preserve">Design schemes that reinforce reintegration endeavours of returnees, ex</w:t>
            </w:r>
            <w:r>
              <w:rPr>
                <w:sz w:val="18"/>
              </w:rPr>
              <w:t xml:space="preserve">-</w:t>
            </w:r>
            <w:r>
              <w:rPr>
                <w:sz w:val="18"/>
              </w:rPr>
              <w:t xml:space="preserve">warriors and associates; </w:t>
            </w:r>
            <w:r>
              <w:rPr>
                <w:sz w:val="18"/>
              </w:rPr>
              <w:t xml:space="preserve"> </w:t>
            </w:r>
          </w:p>
          <w:p>
            <w:pPr>
              <w:numPr>
                <w:ilvl w:val="0"/>
                <w:numId w:val="33"/>
              </w:numPr>
              <w:spacing w:before="0" w:after="0" w:line="273" w:lineRule="auto"/>
              <w:ind w:left="0" w:right="0" w:firstLine="0"/>
            </w:pPr>
            <w:r>
              <w:rPr>
                <w:sz w:val="18"/>
              </w:rPr>
              <w:t xml:space="preserve">Carry out as needed, targeted training and skills development that will allow for increased employability for youth and job placement;</w:t>
            </w:r>
            <w:r>
              <w:rPr>
                <w:sz w:val="18"/>
              </w:rPr>
              <w:t xml:space="preserve"> </w:t>
            </w:r>
          </w:p>
          <w:p>
            <w:pPr>
              <w:numPr>
                <w:ilvl w:val="0"/>
                <w:numId w:val="33"/>
              </w:numPr>
              <w:spacing w:before="0" w:after="0" w:line="259" w:lineRule="auto"/>
              <w:ind w:left="0" w:right="0" w:firstLine="0"/>
            </w:pPr>
            <w:r>
              <w:rPr>
                <w:sz w:val="18"/>
              </w:rPr>
              <w:t xml:space="preserve">Rehabilitation of public/ community</w:t>
            </w:r>
            <w:r>
              <w:rPr>
                <w:sz w:val="18"/>
              </w:rPr>
              <w:t xml:space="preserve">-</w:t>
            </w:r>
            <w:r>
              <w:rPr>
                <w:sz w:val="18"/>
              </w:rPr>
              <w:t xml:space="preserve">based infrastructure that can generate income and</w:t>
            </w:r>
            <w:r>
              <w:rPr>
                <w:sz w:val="18"/>
              </w:rPr>
              <w:t xml:space="preserve"> </w:t>
            </w:r>
            <w:r>
              <w:rPr>
                <w:sz w:val="18"/>
              </w:rPr>
              <w:t xml:space="preserve">create jobs</w:t>
            </w:r>
            <w:r>
              <w:rPr>
                <w:sz w:val="18"/>
              </w:rPr>
              <w:t xml:space="preserve">.</w:t>
            </w: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2"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859"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494" w:right="53" w:hanging="360"/>
            </w:pPr>
            <w:r>
              <w:rPr>
                <w:rFonts w:cs="Arial" w:hAnsi="Arial" w:eastAsia="Arial" w:ascii="Arial"/>
                <w:sz w:val="20"/>
              </w:rPr>
              <w:t xml:space="preserve">- </w:t>
            </w:r>
            <w:r>
              <w:rPr>
                <w:sz w:val="20"/>
              </w:rPr>
              <w:t xml:space="preserve">Number of employment opportunities created for young men and women and ex</w:t>
            </w:r>
            <w:r>
              <w:rPr>
                <w:sz w:val="20"/>
              </w:rPr>
              <w:t xml:space="preserve">-</w:t>
            </w:r>
            <w:r>
              <w:rPr>
                <w:sz w:val="20"/>
              </w:rPr>
              <w:t xml:space="preserve">warriors</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Progress and field visit reports</w:t>
            </w:r>
            <w:r>
              <w:rPr>
                <w:sz w:val="20"/>
              </w:rPr>
              <w:t xml:space="preserve"> </w:t>
            </w:r>
          </w:p>
          <w:p>
            <w:pPr>
              <w:spacing w:before="0" w:after="12" w:line="259" w:lineRule="auto"/>
              <w:ind w:left="5" w:right="0" w:firstLine="0"/>
              <w:jc w:val="left"/>
            </w:pPr>
            <w:r>
              <w:rPr>
                <w:sz w:val="20"/>
              </w:rPr>
              <w:t xml:space="preserve">Databases</w:t>
            </w:r>
            <w:r>
              <w:rPr>
                <w:sz w:val="20"/>
              </w:rPr>
              <w:t xml:space="preserve"> </w:t>
            </w:r>
          </w:p>
          <w:p>
            <w:pPr>
              <w:spacing w:before="0" w:after="0" w:line="259" w:lineRule="auto"/>
              <w:ind w:left="5" w:right="0" w:firstLine="0"/>
              <w:jc w:val="left"/>
            </w:pPr>
            <w:r>
              <w:rPr>
                <w:sz w:val="20"/>
              </w:rPr>
              <w:t xml:space="preserve">Case studies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and annually</w:t>
            </w:r>
            <w:r>
              <w:rPr>
                <w:sz w:val="20"/>
              </w:rPr>
              <w:t xml:space="preserve"> </w:t>
            </w:r>
          </w:p>
        </w:tc>
      </w:tr>
      <w:tr>
        <w:trPr>
          <w:trHeight w:val="864"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37" w:lineRule="auto"/>
              <w:ind w:left="494" w:right="0" w:hanging="360"/>
            </w:pPr>
            <w:r>
              <w:rPr>
                <w:rFonts w:cs="Arial" w:hAnsi="Arial" w:eastAsia="Arial" w:ascii="Arial"/>
                <w:sz w:val="20"/>
              </w:rPr>
              <w:t xml:space="preserve">- </w:t>
            </w:r>
            <w:r>
              <w:rPr>
                <w:sz w:val="20"/>
              </w:rPr>
              <w:t xml:space="preserve">Number of social, economic and productive infrastructure </w:t>
            </w:r>
          </w:p>
          <w:p>
            <w:pPr>
              <w:spacing w:before="0" w:after="0" w:line="259" w:lineRule="auto"/>
              <w:ind w:left="494" w:right="0" w:firstLine="0"/>
              <w:jc w:val="left"/>
            </w:pPr>
            <w:r>
              <w:rPr>
                <w:sz w:val="20"/>
              </w:rPr>
              <w:t xml:space="preserve">rehabilitated, upgraded</w:t>
            </w:r>
            <w:r>
              <w:rPr>
                <w:sz w:val="20"/>
              </w:rPr>
              <w:t xml:space="preserve"> </w:t>
            </w:r>
          </w:p>
        </w:tc>
        <w:tc>
          <w:tcPr>
            <w:tcW w:w="323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Site progress reports</w:t>
            </w:r>
            <w:r>
              <w:rPr>
                <w:sz w:val="20"/>
              </w:rPr>
              <w:t xml:space="preserve"> </w:t>
            </w:r>
          </w:p>
          <w:p>
            <w:pPr>
              <w:spacing w:before="0" w:after="0" w:line="259" w:lineRule="auto"/>
              <w:ind w:left="5" w:right="0" w:firstLine="0"/>
            </w:pPr>
            <w:r>
              <w:rPr>
                <w:sz w:val="20"/>
              </w:rPr>
              <w:t xml:space="preserve">Hand over notes and certification of completion of works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and annually</w:t>
            </w:r>
            <w:r>
              <w:rPr>
                <w:sz w:val="20"/>
              </w:rPr>
              <w:t xml:space="preserve"> </w:t>
            </w:r>
          </w:p>
        </w:tc>
      </w:tr>
      <w:tr>
        <w:trPr>
          <w:trHeight w:val="322"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2: Employment creation and economic recovery</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2</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0"/>
              </w:rPr>
              <w:t xml:space="preserve">Enterprises development and economic diversification </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 January 2013</w:t>
            </w:r>
            <w:r>
              <w:rPr>
                <w:sz w:val="20"/>
              </w:rPr>
              <w:t xml:space="preserve"> </w:t>
            </w:r>
          </w:p>
          <w:p>
            <w:pPr>
              <w:spacing w:before="0" w:after="0" w:line="259" w:lineRule="auto"/>
              <w:ind w:left="5" w:right="0" w:firstLine="0"/>
              <w:jc w:val="left"/>
            </w:pPr>
            <w:r>
              <w:rPr>
                <w:sz w:val="20"/>
              </w:rPr>
              <w:t xml:space="preserve">End Date: 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18"/>
              </w:rPr>
              <w:t xml:space="preserve">To empower youth (young men and women) economically and enhance economic diversification</w:t>
            </w:r>
            <w:r>
              <w:rPr>
                <w:sz w:val="20"/>
              </w:rPr>
              <w:t xml:space="preserve"> </w:t>
            </w:r>
          </w:p>
        </w:tc>
      </w:tr>
    </w:tbl>
    <w:p>
      <w:pPr>
        <w:spacing w:before="0" w:after="0" w:line="259" w:lineRule="auto"/>
        <w:ind w:left="-1440" w:right="97" w:firstLine="0"/>
        <w:jc w:val="left"/>
      </w:pPr>
    </w:p>
    <w:tbl>
      <w:tblPr>
        <w:tblStyle w:val="TableGrid"/>
        <w:tblW w:w="9384" w:type="dxa"/>
        <w:tblInd w:w="-115" w:type="dxa"/>
        <w:tblCellMar>
          <w:top w:w="74" w:type="dxa"/>
          <w:left w:w="110" w:type="dxa"/>
          <w:bottom w:w="0" w:type="dxa"/>
          <w:right w:w="69" w:type="dxa"/>
        </w:tblCellMar>
      </w:tblPr>
      <w:tblGrid>
        <w:gridCol w:w="1910"/>
        <w:gridCol w:w="1723"/>
        <w:gridCol w:w="2962"/>
        <w:gridCol w:w="269"/>
        <w:gridCol w:w="2520"/>
      </w:tblGrid>
      <w:tr>
        <w:trPr>
          <w:trHeight w:val="2237"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numPr>
                <w:ilvl w:val="0"/>
                <w:numId w:val="34"/>
              </w:numPr>
              <w:spacing w:before="0" w:after="0" w:line="273" w:lineRule="auto"/>
              <w:ind w:left="0" w:right="0" w:firstLine="0"/>
              <w:jc w:val="left"/>
            </w:pPr>
            <w:r>
              <w:rPr>
                <w:sz w:val="18"/>
              </w:rPr>
              <w:t xml:space="preserve">Conduct further analysis and mapping of potential value chains while promoting</w:t>
            </w:r>
            <w:r>
              <w:rPr>
                <w:sz w:val="18"/>
              </w:rPr>
              <w:t xml:space="preserve"> </w:t>
            </w:r>
            <w:r>
              <w:rPr>
                <w:sz w:val="18"/>
              </w:rPr>
              <w:t xml:space="preserve">bio</w:t>
            </w:r>
            <w:r>
              <w:rPr>
                <w:sz w:val="18"/>
              </w:rPr>
              <w:t xml:space="preserve">-</w:t>
            </w:r>
            <w:r>
              <w:rPr>
                <w:sz w:val="18"/>
              </w:rPr>
              <w:t xml:space="preserve">trade concepts;</w:t>
            </w:r>
            <w:r>
              <w:rPr>
                <w:sz w:val="18"/>
              </w:rPr>
              <w:t xml:space="preserve"> </w:t>
            </w:r>
          </w:p>
          <w:p>
            <w:pPr>
              <w:numPr>
                <w:ilvl w:val="0"/>
                <w:numId w:val="34"/>
              </w:numPr>
              <w:spacing w:before="0" w:after="0" w:line="273" w:lineRule="auto"/>
              <w:ind w:left="0" w:right="0" w:firstLine="0"/>
              <w:jc w:val="left"/>
            </w:pPr>
            <w:r>
              <w:rPr>
                <w:sz w:val="18"/>
              </w:rPr>
              <w:t xml:space="preserve">Invest in micro and small enterprise development according to market needs while targeting skilled and trained youth;</w:t>
            </w:r>
            <w:r>
              <w:rPr>
                <w:sz w:val="18"/>
              </w:rPr>
              <w:t xml:space="preserve"> </w:t>
            </w:r>
          </w:p>
          <w:p>
            <w:pPr>
              <w:numPr>
                <w:ilvl w:val="0"/>
                <w:numId w:val="34"/>
              </w:numPr>
              <w:spacing w:before="0" w:after="12" w:line="259" w:lineRule="auto"/>
              <w:ind w:left="0" w:right="0" w:firstLine="0"/>
              <w:jc w:val="left"/>
            </w:pPr>
            <w:r>
              <w:rPr>
                <w:sz w:val="18"/>
              </w:rPr>
              <w:t xml:space="preserve">Provide as needed start</w:t>
            </w:r>
            <w:r>
              <w:rPr>
                <w:sz w:val="18"/>
              </w:rPr>
              <w:t xml:space="preserve">-</w:t>
            </w:r>
            <w:r>
              <w:rPr>
                <w:sz w:val="18"/>
              </w:rPr>
              <w:t xml:space="preserve">up packages according to stringent criteria;</w:t>
            </w:r>
            <w:r>
              <w:rPr>
                <w:sz w:val="18"/>
              </w:rPr>
              <w:t xml:space="preserve"> </w:t>
            </w:r>
          </w:p>
          <w:p>
            <w:pPr>
              <w:numPr>
                <w:ilvl w:val="0"/>
                <w:numId w:val="34"/>
              </w:numPr>
              <w:spacing w:before="0" w:after="5" w:line="267" w:lineRule="auto"/>
              <w:ind w:left="0" w:right="0" w:firstLine="0"/>
              <w:jc w:val="left"/>
            </w:pPr>
            <w:r>
              <w:rPr>
                <w:sz w:val="18"/>
              </w:rPr>
              <w:t xml:space="preserve">Carry out at least one value chain analysis of potential products (in agriculture, mining, or service</w:t>
            </w:r>
            <w:r>
              <w:rPr>
                <w:sz w:val="18"/>
              </w:rPr>
              <w:t xml:space="preserve">.</w:t>
            </w:r>
            <w:r>
              <w:rPr>
                <w:sz w:val="18"/>
              </w:rPr>
              <w:t xml:space="preserve">etc);</w:t>
            </w:r>
            <w:r>
              <w:rPr>
                <w:sz w:val="18"/>
              </w:rPr>
              <w:t xml:space="preserve"> </w:t>
            </w:r>
          </w:p>
          <w:p>
            <w:pPr>
              <w:numPr>
                <w:ilvl w:val="0"/>
                <w:numId w:val="34"/>
              </w:numPr>
              <w:spacing w:before="0" w:after="27" w:line="259" w:lineRule="auto"/>
              <w:ind w:left="0" w:right="0" w:firstLine="0"/>
              <w:jc w:val="left"/>
            </w:pPr>
            <w:r>
              <w:rPr>
                <w:sz w:val="18"/>
              </w:rPr>
              <w:t xml:space="preserve">Promote access to finance and business development;</w:t>
            </w:r>
            <w:r>
              <w:rPr>
                <w:sz w:val="18"/>
              </w:rPr>
              <w:t xml:space="preserve"> </w:t>
            </w:r>
          </w:p>
          <w:p>
            <w:pPr>
              <w:numPr>
                <w:ilvl w:val="0"/>
                <w:numId w:val="34"/>
              </w:numPr>
              <w:spacing w:before="0" w:after="0" w:line="259" w:lineRule="auto"/>
              <w:ind w:left="0" w:right="0" w:firstLine="0"/>
              <w:jc w:val="left"/>
            </w:pPr>
            <w:r>
              <w:rPr>
                <w:sz w:val="18"/>
              </w:rPr>
              <w:t xml:space="preserve">Promote saving schemes and mentor established MSEs;</w:t>
            </w: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58"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864"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50" w:firstLine="0"/>
            </w:pPr>
            <w:r>
              <w:rPr>
                <w:rFonts w:cs="Cambria" w:hAnsi="Cambria" w:eastAsia="Cambria" w:ascii="Cambria"/>
                <w:i w:val="1"/>
                <w:sz w:val="20"/>
              </w:rPr>
              <w:t xml:space="preserve">Number of youth targeted with specialized/tailored vocational training and skills enhancement schemes</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Databases </w:t>
            </w:r>
            <w:r>
              <w:rPr>
                <w:sz w:val="20"/>
              </w:rPr>
              <w:t xml:space="preserve"> </w:t>
            </w:r>
          </w:p>
          <w:p>
            <w:pPr>
              <w:spacing w:before="0" w:after="12" w:line="259" w:lineRule="auto"/>
              <w:ind w:left="5" w:right="0" w:firstLine="0"/>
              <w:jc w:val="left"/>
            </w:pPr>
            <w:r>
              <w:rPr>
                <w:sz w:val="20"/>
              </w:rPr>
              <w:t xml:space="preserve">Progress reports</w:t>
            </w:r>
            <w:r>
              <w:rPr>
                <w:sz w:val="20"/>
              </w:rPr>
              <w:t xml:space="preserve"> </w:t>
            </w:r>
          </w:p>
          <w:p>
            <w:pPr>
              <w:spacing w:before="0" w:after="0" w:line="259" w:lineRule="auto"/>
              <w:ind w:left="5" w:right="0" w:firstLine="0"/>
              <w:jc w:val="left"/>
            </w:pPr>
            <w:r>
              <w:rPr>
                <w:sz w:val="20"/>
              </w:rPr>
              <w:t xml:space="preserve">Training institutions records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and annually</w:t>
            </w:r>
            <w:r>
              <w:rPr>
                <w:sz w:val="20"/>
              </w:rPr>
              <w:t xml:space="preserve"> </w:t>
            </w:r>
          </w:p>
        </w:tc>
      </w:tr>
      <w:tr>
        <w:trPr>
          <w:trHeight w:val="1397"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49" w:firstLine="0"/>
            </w:pPr>
            <w:r>
              <w:rPr>
                <w:rFonts w:cs="Cambria" w:hAnsi="Cambria" w:eastAsia="Cambria" w:ascii="Cambria"/>
                <w:i w:val="1"/>
                <w:sz w:val="20"/>
              </w:rPr>
              <w:t xml:space="preserve">Number of micro and small enterprises established/developed across productive sectors</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Documentation per enterprise</w:t>
            </w:r>
            <w:r>
              <w:rPr>
                <w:sz w:val="20"/>
              </w:rPr>
              <w:t xml:space="preserve"> </w:t>
            </w:r>
          </w:p>
          <w:p>
            <w:pPr>
              <w:spacing w:before="0" w:after="12" w:line="259" w:lineRule="auto"/>
              <w:ind w:left="5" w:right="0" w:firstLine="0"/>
              <w:jc w:val="left"/>
            </w:pPr>
            <w:r>
              <w:rPr>
                <w:sz w:val="20"/>
              </w:rPr>
              <w:t xml:space="preserve">Mentoring reports</w:t>
            </w:r>
            <w:r>
              <w:rPr>
                <w:sz w:val="20"/>
              </w:rPr>
              <w:t xml:space="preserve"> </w:t>
            </w:r>
          </w:p>
          <w:p>
            <w:pPr>
              <w:spacing w:before="0" w:after="12" w:line="259" w:lineRule="auto"/>
              <w:ind w:left="5" w:right="0" w:firstLine="0"/>
              <w:jc w:val="left"/>
            </w:pPr>
            <w:r>
              <w:rPr>
                <w:sz w:val="20"/>
              </w:rPr>
              <w:t xml:space="preserve">Stories and case studies</w:t>
            </w:r>
            <w:r>
              <w:rPr>
                <w:sz w:val="20"/>
              </w:rPr>
              <w:t xml:space="preserve"> </w:t>
            </w:r>
          </w:p>
          <w:p>
            <w:pPr>
              <w:spacing w:before="0" w:after="12" w:line="259" w:lineRule="auto"/>
              <w:ind w:left="5" w:right="0" w:firstLine="0"/>
              <w:jc w:val="left"/>
            </w:pPr>
            <w:r>
              <w:rPr>
                <w:sz w:val="20"/>
              </w:rPr>
              <w:t xml:space="preserve">Databases</w:t>
            </w:r>
            <w:r>
              <w:rPr>
                <w:sz w:val="20"/>
              </w:rPr>
              <w:t xml:space="preserve"> </w:t>
            </w:r>
          </w:p>
          <w:p>
            <w:pPr>
              <w:spacing w:before="0" w:after="0" w:line="259" w:lineRule="auto"/>
              <w:ind w:left="5" w:right="0" w:firstLine="0"/>
              <w:jc w:val="left"/>
            </w:pPr>
            <w:r>
              <w:rPr>
                <w:sz w:val="20"/>
              </w:rPr>
              <w:t xml:space="preserve">Project board reports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and annually</w:t>
            </w:r>
            <w:r>
              <w:rPr>
                <w:sz w:val="20"/>
              </w:rPr>
              <w:t xml:space="preserve"> </w:t>
            </w:r>
          </w:p>
        </w:tc>
      </w:tr>
      <w:tr>
        <w:trPr>
          <w:trHeight w:val="864"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rFonts w:cs="Cambria" w:hAnsi="Cambria" w:eastAsia="Cambria" w:ascii="Cambria"/>
                <w:i w:val="1"/>
                <w:sz w:val="20"/>
              </w:rPr>
              <w:t xml:space="preserve">Number of value chains/PPP analysed and initiated;</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Experts reports</w:t>
            </w:r>
            <w:r>
              <w:rPr>
                <w:sz w:val="20"/>
              </w:rPr>
              <w:t xml:space="preserve"> </w:t>
            </w:r>
          </w:p>
          <w:p>
            <w:pPr>
              <w:spacing w:before="0" w:after="12" w:line="259" w:lineRule="auto"/>
              <w:ind w:left="5" w:right="0" w:firstLine="0"/>
              <w:jc w:val="left"/>
            </w:pPr>
            <w:r>
              <w:rPr>
                <w:sz w:val="20"/>
              </w:rPr>
              <w:t xml:space="preserve">Progress reports</w:t>
            </w:r>
            <w:r>
              <w:rPr>
                <w:sz w:val="20"/>
              </w:rPr>
              <w:t xml:space="preserve"> </w:t>
            </w:r>
          </w:p>
          <w:p>
            <w:pPr>
              <w:spacing w:before="0" w:after="0" w:line="259" w:lineRule="auto"/>
              <w:ind w:left="5" w:right="0" w:firstLine="0"/>
              <w:jc w:val="left"/>
            </w:pPr>
            <w:r>
              <w:rPr>
                <w:sz w:val="20"/>
              </w:rPr>
              <w:t xml:space="preserve">Mid</w:t>
            </w:r>
            <w:r>
              <w:rPr>
                <w:sz w:val="20"/>
              </w:rPr>
              <w:t xml:space="preserve">-</w:t>
            </w:r>
            <w:r>
              <w:rPr>
                <w:sz w:val="20"/>
              </w:rPr>
              <w:t xml:space="preserve">term evaluation report</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w:t>
            </w:r>
            <w:r>
              <w:rPr>
                <w:sz w:val="20"/>
              </w:rPr>
              <w:t xml:space="preserve">-</w:t>
            </w:r>
            <w:r>
              <w:rPr>
                <w:sz w:val="20"/>
              </w:rPr>
              <w:t xml:space="preserve">annually </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322" w:hRule="atLeast"/>
        </w:trPr>
        <w:tc>
          <w:tcPr>
            <w:tcW w:w="9384" w:type="dxa"/>
            <w:gridSpan w:val="5"/>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2: Employment creation and economic recovery</w:t>
            </w:r>
            <w:r>
              <w:rPr>
                <w:rFonts w:cs="Cambria" w:hAnsi="Cambria" w:eastAsia="Cambria" w:ascii="Cambria"/>
                <w:b w:val="1"/>
                <w:sz w:val="20"/>
              </w:rPr>
              <w:t xml:space="preserve"> </w:t>
            </w:r>
          </w:p>
        </w:tc>
      </w:tr>
      <w:tr>
        <w:trPr>
          <w:trHeight w:val="595" w:hRule="atLeast"/>
        </w:trPr>
        <w:tc>
          <w:tcPr>
            <w:tcW w:w="191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rFonts w:cs="Cambria" w:hAnsi="Cambria" w:eastAsia="Cambria" w:ascii="Cambria"/>
                <w:b w:val="1"/>
                <w:sz w:val="20"/>
              </w:rPr>
              <w:t xml:space="preserve">Activity Result 3</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0"/>
              </w:rPr>
              <w:t xml:space="preserve">Enabling Environment for Private sector development </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6" w:line="259" w:lineRule="auto"/>
              <w:ind w:left="5" w:right="0" w:firstLine="0"/>
              <w:jc w:val="left"/>
            </w:pPr>
            <w:r>
              <w:rPr>
                <w:sz w:val="20"/>
              </w:rPr>
              <w:t xml:space="preserve">Start Date: January 2013</w:t>
            </w:r>
            <w:r>
              <w:rPr>
                <w:sz w:val="20"/>
              </w:rPr>
              <w:t xml:space="preserve"> </w:t>
            </w:r>
          </w:p>
          <w:p>
            <w:pPr>
              <w:spacing w:before="0" w:after="0" w:line="259" w:lineRule="auto"/>
              <w:ind w:left="5" w:right="0" w:firstLine="0"/>
              <w:jc w:val="left"/>
            </w:pPr>
            <w:r>
              <w:rPr>
                <w:sz w:val="20"/>
              </w:rPr>
              <w:t xml:space="preserve">End Date: 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18"/>
              </w:rPr>
              <w:t xml:space="preserve">To create employment and promote local economic development</w:t>
            </w:r>
            <w:r>
              <w:rPr>
                <w:sz w:val="20"/>
              </w:rPr>
              <w:t xml:space="preserve"> </w:t>
            </w:r>
          </w:p>
        </w:tc>
      </w:tr>
      <w:tr>
        <w:trPr>
          <w:trHeight w:val="2237"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numPr>
                <w:ilvl w:val="0"/>
                <w:numId w:val="35"/>
              </w:numPr>
              <w:spacing w:before="0" w:after="5" w:line="267" w:lineRule="auto"/>
              <w:ind w:left="0" w:right="45" w:firstLine="0"/>
            </w:pPr>
            <w:r>
              <w:rPr>
                <w:sz w:val="18"/>
              </w:rPr>
              <w:t xml:space="preserve">Carryout capacity assessment of targeted private sector institutions and respond to capacity gaps where possible;</w:t>
            </w:r>
            <w:r>
              <w:rPr>
                <w:sz w:val="18"/>
              </w:rPr>
              <w:t xml:space="preserve"> </w:t>
            </w:r>
          </w:p>
          <w:p>
            <w:pPr>
              <w:numPr>
                <w:ilvl w:val="0"/>
                <w:numId w:val="35"/>
              </w:numPr>
              <w:spacing w:before="0" w:after="7" w:line="259" w:lineRule="auto"/>
              <w:ind w:left="0" w:right="45" w:firstLine="0"/>
            </w:pPr>
            <w:r>
              <w:rPr>
                <w:sz w:val="18"/>
              </w:rPr>
              <w:t xml:space="preserve">Map and analyse existing policies, strategies and legal framework; </w:t>
            </w:r>
            <w:r>
              <w:rPr>
                <w:sz w:val="18"/>
              </w:rPr>
              <w:t xml:space="preserve"> </w:t>
            </w:r>
          </w:p>
          <w:p>
            <w:pPr>
              <w:numPr>
                <w:ilvl w:val="0"/>
                <w:numId w:val="35"/>
              </w:numPr>
              <w:spacing w:before="0" w:after="2" w:line="270" w:lineRule="auto"/>
              <w:ind w:left="0" w:right="45" w:firstLine="0"/>
            </w:pPr>
            <w:r>
              <w:rPr>
                <w:sz w:val="18"/>
              </w:rPr>
              <w:t xml:space="preserve">Initiate the operationalization of at least one relevant policy/strategy/ legal framework;</w:t>
            </w:r>
            <w:r>
              <w:rPr>
                <w:sz w:val="18"/>
              </w:rPr>
              <w:t xml:space="preserve"> - </w:t>
            </w:r>
            <w:r>
              <w:rPr>
                <w:sz w:val="18"/>
              </w:rPr>
              <w:t xml:space="preserve">Promote Corporate social responsibility geared towards local “economic” development and improvement of livelihoods; </w:t>
            </w:r>
            <w:r>
              <w:rPr>
                <w:sz w:val="18"/>
              </w:rPr>
              <w:t xml:space="preserve"> </w:t>
            </w:r>
          </w:p>
          <w:p>
            <w:pPr>
              <w:numPr>
                <w:ilvl w:val="0"/>
                <w:numId w:val="35"/>
              </w:numPr>
              <w:spacing w:before="0" w:after="0" w:line="259" w:lineRule="auto"/>
              <w:ind w:left="0" w:right="45" w:firstLine="0"/>
            </w:pPr>
            <w:r>
              <w:rPr>
                <w:sz w:val="18"/>
              </w:rPr>
              <w:t xml:space="preserve">Support and enhance the capacity of targeted micro</w:t>
            </w:r>
            <w:r>
              <w:rPr>
                <w:sz w:val="18"/>
              </w:rPr>
              <w:t xml:space="preserve">-</w:t>
            </w:r>
            <w:r>
              <w:rPr>
                <w:sz w:val="18"/>
              </w:rPr>
              <w:t xml:space="preserve">financial institutions to deliver quality services timely and efficiently while targeting the marginalized and disadvantaged people including young men and women;</w:t>
            </w: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859"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49" w:firstLine="0"/>
            </w:pPr>
            <w:r>
              <w:rPr>
                <w:rFonts w:cs="Cambria" w:hAnsi="Cambria" w:eastAsia="Cambria" w:ascii="Cambria"/>
                <w:i w:val="1"/>
                <w:sz w:val="20"/>
              </w:rPr>
              <w:t xml:space="preserve">At least one relevant policy/strategy is put in practice after revision and/or update</w:t>
            </w: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Counterpart reports</w:t>
            </w:r>
            <w:r>
              <w:rPr>
                <w:sz w:val="20"/>
              </w:rPr>
              <w:t xml:space="preserve"> </w:t>
            </w:r>
          </w:p>
          <w:p>
            <w:pPr>
              <w:spacing w:before="0" w:after="0" w:line="259" w:lineRule="auto"/>
              <w:ind w:left="5" w:right="0" w:firstLine="0"/>
              <w:jc w:val="left"/>
            </w:pPr>
            <w:r>
              <w:rPr>
                <w:sz w:val="20"/>
              </w:rPr>
              <w:t xml:space="preserve">Workshop reports</w:t>
            </w:r>
            <w:r>
              <w:rPr>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Biannually and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i w:val="1"/>
                <w:sz w:val="20"/>
              </w:rPr>
              <w:t xml:space="preserve">Number of institutions targeted with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Training records</w:t>
            </w:r>
            <w:r>
              <w:rPr>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Biannually and annually</w:t>
            </w:r>
            <w:r>
              <w:rPr>
                <w:sz w:val="20"/>
              </w:rPr>
              <w:t xml:space="preserve"> </w:t>
            </w:r>
          </w:p>
        </w:tc>
      </w:tr>
    </w:tbl>
    <w:p>
      <w:pPr>
        <w:spacing w:before="0" w:after="0" w:line="259" w:lineRule="auto"/>
        <w:ind w:left="-1440" w:right="97" w:firstLine="0"/>
        <w:jc w:val="left"/>
      </w:pPr>
    </w:p>
    <w:tbl>
      <w:tblPr>
        <w:tblStyle w:val="TableGrid"/>
        <w:tblW w:w="9384" w:type="dxa"/>
        <w:tblInd w:w="-115" w:type="dxa"/>
        <w:tblCellMar>
          <w:top w:w="74" w:type="dxa"/>
          <w:left w:w="110" w:type="dxa"/>
          <w:bottom w:w="0" w:type="dxa"/>
          <w:right w:w="71" w:type="dxa"/>
        </w:tblCellMar>
      </w:tblPr>
      <w:tblGrid>
        <w:gridCol w:w="1910"/>
        <w:gridCol w:w="1723"/>
        <w:gridCol w:w="2962"/>
        <w:gridCol w:w="2789"/>
      </w:tblGrid>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i w:val="1"/>
                <w:sz w:val="20"/>
              </w:rPr>
              <w:t xml:space="preserve">capacity development;</w:t>
            </w:r>
            <w:r>
              <w:rPr>
                <w:rFonts w:cs="Cambria" w:hAnsi="Cambria" w:eastAsia="Cambria" w:ascii="Cambria"/>
                <w:i w:val="1"/>
                <w:sz w:val="20"/>
              </w:rPr>
              <w:t xml:space="preserve"> </w:t>
            </w:r>
          </w:p>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Training material</w:t>
            </w:r>
            <w:r>
              <w:rPr>
                <w:sz w:val="20"/>
              </w:rPr>
              <w:t xml:space="preserve"> </w:t>
            </w:r>
          </w:p>
          <w:p>
            <w:pPr>
              <w:spacing w:before="0" w:after="0" w:line="259" w:lineRule="auto"/>
              <w:ind w:left="5" w:right="0" w:firstLine="0"/>
              <w:jc w:val="left"/>
            </w:pPr>
            <w:r>
              <w:rPr>
                <w:sz w:val="20"/>
              </w:rPr>
              <w:t xml:space="preserve">Evaluation reports</w:t>
            </w: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32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322"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2: Employment creation and economic recovery</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4</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685" w:type="dxa"/>
            <w:gridSpan w:val="2"/>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20"/>
              </w:rPr>
              <w:t xml:space="preserve">Markets construction and development </w:t>
            </w:r>
            <w:r>
              <w:rPr>
                <w:rFonts w:cs="Cambria" w:hAnsi="Cambria" w:eastAsia="Cambria" w:ascii="Cambria"/>
                <w:i w:val="1"/>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 January 2013</w:t>
            </w:r>
            <w:r>
              <w:rPr>
                <w:sz w:val="20"/>
              </w:rPr>
              <w:t xml:space="preserve"> </w:t>
            </w:r>
          </w:p>
          <w:p>
            <w:pPr>
              <w:spacing w:before="0" w:after="0" w:line="259" w:lineRule="auto"/>
              <w:ind w:left="5" w:right="0" w:firstLine="0"/>
              <w:jc w:val="left"/>
            </w:pPr>
            <w:r>
              <w:rPr>
                <w:sz w:val="20"/>
              </w:rPr>
              <w:t xml:space="preserve">End Date: December 2014 </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mbria" w:hAnsi="Cambria" w:eastAsia="Cambria" w:ascii="Cambria"/>
                <w:i w:val="1"/>
                <w:sz w:val="18"/>
              </w:rPr>
              <w:t xml:space="preserve">To contribute to livelihood security and reduction of poverty</w:t>
            </w:r>
            <w:r>
              <w:rPr>
                <w:sz w:val="20"/>
              </w:rPr>
              <w:t xml:space="preserve"> </w:t>
            </w:r>
          </w:p>
        </w:tc>
      </w:tr>
      <w:tr>
        <w:trPr>
          <w:trHeight w:val="2237"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numPr>
                <w:ilvl w:val="0"/>
                <w:numId w:val="36"/>
              </w:numPr>
              <w:spacing w:before="0" w:after="0" w:line="273" w:lineRule="auto"/>
              <w:ind w:left="0" w:right="0" w:firstLine="0"/>
            </w:pPr>
            <w:r>
              <w:rPr>
                <w:sz w:val="18"/>
              </w:rPr>
              <w:t xml:space="preserve">Within the scope of district development plans, support the establishment/ rehabilitation  of markets;</w:t>
            </w:r>
            <w:r>
              <w:rPr>
                <w:sz w:val="18"/>
              </w:rPr>
              <w:t xml:space="preserve"> </w:t>
            </w:r>
          </w:p>
          <w:p>
            <w:pPr>
              <w:numPr>
                <w:ilvl w:val="0"/>
                <w:numId w:val="36"/>
              </w:numPr>
              <w:spacing w:before="0" w:after="12" w:line="259" w:lineRule="auto"/>
              <w:ind w:left="0" w:right="0" w:firstLine="0"/>
            </w:pPr>
            <w:r>
              <w:rPr>
                <w:sz w:val="18"/>
              </w:rPr>
              <w:t xml:space="preserve">Support the formulation of district trade promotion and development strategies; </w:t>
            </w:r>
            <w:r>
              <w:rPr>
                <w:sz w:val="18"/>
              </w:rPr>
              <w:t xml:space="preserve"> </w:t>
            </w:r>
          </w:p>
          <w:p>
            <w:pPr>
              <w:numPr>
                <w:ilvl w:val="0"/>
                <w:numId w:val="36"/>
              </w:numPr>
              <w:spacing w:before="0" w:after="5" w:line="267" w:lineRule="auto"/>
              <w:ind w:left="0" w:right="0" w:firstLine="0"/>
            </w:pPr>
            <w:r>
              <w:rPr>
                <w:sz w:val="18"/>
              </w:rPr>
              <w:t xml:space="preserve">Encourage public private partnerships  for the betterment of livelihoods of disadvantaged groups with focus on women;</w:t>
            </w:r>
            <w:r>
              <w:rPr>
                <w:sz w:val="18"/>
              </w:rPr>
              <w:t xml:space="preserve"> </w:t>
            </w:r>
          </w:p>
          <w:p>
            <w:pPr>
              <w:numPr>
                <w:ilvl w:val="0"/>
                <w:numId w:val="36"/>
              </w:numPr>
              <w:spacing w:before="0" w:after="0" w:line="259" w:lineRule="auto"/>
              <w:ind w:left="0" w:right="0" w:firstLine="0"/>
            </w:pPr>
            <w:r>
              <w:rPr>
                <w:sz w:val="18"/>
              </w:rPr>
              <w:t xml:space="preserve">Support the private sector in capacity development schemes that encourage the participation of youth and marginalized groups in domestic trade, promotion of access to banking and financial services; as well as  empower the private sector to negotiate the construction and establishment of proper roads system that will allow for efficient and effective transportation;</w:t>
            </w:r>
            <w:r>
              <w:rPr>
                <w:sz w:val="18"/>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864"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rFonts w:cs="Cambria" w:hAnsi="Cambria" w:eastAsia="Cambria" w:ascii="Cambria"/>
                <w:i w:val="1"/>
                <w:sz w:val="20"/>
              </w:rPr>
              <w:t xml:space="preserve">Number of markets established, rehabilitated or upgraded;</w:t>
            </w:r>
            <w:r>
              <w:rPr>
                <w:sz w:val="20"/>
              </w:rPr>
              <w:t xml:space="preserve"> </w:t>
            </w:r>
            <w:r>
              <w:rPr>
                <w:rFonts w:cs="Cambria" w:hAnsi="Cambria" w:eastAsia="Cambria" w:ascii="Cambria"/>
                <w:i w:val="1"/>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Progress and site reports;</w:t>
            </w:r>
            <w:r>
              <w:rPr>
                <w:sz w:val="20"/>
              </w:rPr>
              <w:t xml:space="preserve"> </w:t>
            </w:r>
          </w:p>
          <w:p>
            <w:pPr>
              <w:spacing w:before="0" w:after="16" w:line="259" w:lineRule="auto"/>
              <w:ind w:left="5" w:right="0" w:firstLine="0"/>
              <w:jc w:val="left"/>
            </w:pPr>
            <w:r>
              <w:rPr>
                <w:sz w:val="20"/>
              </w:rPr>
              <w:t xml:space="preserve">Still photos and video clips</w:t>
            </w:r>
            <w:r>
              <w:rPr>
                <w:sz w:val="20"/>
              </w:rPr>
              <w:t xml:space="preserve"> </w:t>
            </w:r>
          </w:p>
          <w:p>
            <w:pPr>
              <w:spacing w:before="0" w:after="0" w:line="259" w:lineRule="auto"/>
              <w:ind w:left="5" w:right="0" w:firstLine="0"/>
              <w:jc w:val="left"/>
            </w:pPr>
            <w:r>
              <w:rPr>
                <w:sz w:val="20"/>
              </w:rPr>
              <w:t xml:space="preserve">Actual markets</w:t>
            </w: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and Annually</w:t>
            </w:r>
            <w:r>
              <w:rPr>
                <w:sz w:val="20"/>
              </w:rPr>
              <w:t xml:space="preserve"> </w:t>
            </w:r>
          </w:p>
        </w:tc>
      </w:tr>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tabs>
                <w:tab w:val="center" w:pos="324"/>
                <w:tab w:val="center" w:pos="1239"/>
                <w:tab w:val="center" w:pos="2290"/>
                <w:tab w:val="center" w:pos="3248"/>
              </w:tabs>
              <w:spacing w:before="0" w:after="16" w:line="259" w:lineRule="auto"/>
              <w:ind w:left="0" w:right="0" w:firstLine="0"/>
              <w:jc w:val="left"/>
            </w:pPr>
            <w:r>
              <w:rPr>
                <w:rFonts w:cs="Calibri" w:hAnsi="Calibri" w:eastAsia="Calibri" w:ascii="Calibri"/>
                <w:sz w:val="22"/>
              </w:rPr>
              <w:t xml:space="preserve">	</w:t>
            </w:r>
            <w:r>
              <w:rPr>
                <w:sz w:val="20"/>
              </w:rPr>
              <w:t xml:space="preserve">District 	Trade 	promotion</w:t>
            </w:r>
            <w:r>
              <w:rPr>
                <w:sz w:val="20"/>
              </w:rPr>
              <w:t xml:space="preserve"> 	</w:t>
            </w:r>
            <w:r>
              <w:rPr>
                <w:sz w:val="20"/>
              </w:rPr>
              <w:t xml:space="preserve">and </w:t>
            </w:r>
          </w:p>
          <w:p>
            <w:pPr>
              <w:spacing w:before="0" w:after="0" w:line="259" w:lineRule="auto"/>
              <w:ind w:left="5" w:right="0" w:firstLine="0"/>
              <w:jc w:val="left"/>
            </w:pPr>
            <w:r>
              <w:rPr>
                <w:sz w:val="20"/>
              </w:rPr>
              <w:t xml:space="preserve">development strategy</w:t>
            </w:r>
            <w:r>
              <w:rPr>
                <w:sz w:val="20"/>
              </w:rPr>
              <w:t xml:space="preserve"> </w:t>
            </w:r>
            <w:r>
              <w:rPr>
                <w:sz w:val="20"/>
              </w:rPr>
              <w:t xml:space="preserve">implemented</w:t>
            </w: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Validation workshop</w:t>
            </w:r>
            <w:r>
              <w:rPr>
                <w:sz w:val="20"/>
              </w:rPr>
              <w:t xml:space="preserve"> </w:t>
            </w:r>
          </w:p>
          <w:p>
            <w:pPr>
              <w:spacing w:before="0" w:after="0" w:line="259" w:lineRule="auto"/>
              <w:ind w:left="5" w:right="0" w:firstLine="0"/>
              <w:jc w:val="left"/>
            </w:pPr>
            <w:r>
              <w:rPr>
                <w:sz w:val="20"/>
              </w:rPr>
              <w:t xml:space="preserve">Actual strategy</w:t>
            </w: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Capacity development of private sector </w:t>
            </w: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32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322" w:hRule="atLeast"/>
        </w:trPr>
        <w:tc>
          <w:tcPr>
            <w:tcW w:w="9384" w:type="dxa"/>
            <w:gridSpan w:val="4"/>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OUTPUT 3:</w:t>
            </w:r>
            <w:r>
              <w:rPr>
                <w:sz w:val="20"/>
              </w:rPr>
              <w:t xml:space="preserve"> </w:t>
            </w:r>
            <w:r>
              <w:rPr>
                <w:sz w:val="20"/>
              </w:rPr>
              <w:t xml:space="preserve">Building a peaceful and sustainable mining in Northern Uganda</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1</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685"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Research and dialogues</w:t>
            </w:r>
            <w:r>
              <w:rPr>
                <w:rFonts w:cs="Cambria" w:hAnsi="Cambria" w:eastAsia="Cambria" w:ascii="Cambria"/>
                <w:i w:val="1"/>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5" w:right="0" w:firstLine="0"/>
              <w:jc w:val="left"/>
            </w:pPr>
            <w:r>
              <w:rPr>
                <w:sz w:val="20"/>
              </w:rPr>
              <w:t xml:space="preserve">End Date:</w:t>
            </w:r>
            <w:r>
              <w:rPr>
                <w:sz w:val="20"/>
              </w:rPr>
              <w:t xml:space="preserve"> </w:t>
            </w:r>
            <w:r>
              <w:rPr>
                <w:sz w:val="20"/>
              </w:rPr>
              <w:t xml:space="preserve">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27"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To empower communities on sustainable natural resources management</w:t>
            </w:r>
            <w:r>
              <w:rPr>
                <w:sz w:val="20"/>
              </w:rPr>
              <w:t xml:space="preserve"> </w:t>
            </w:r>
          </w:p>
        </w:tc>
      </w:tr>
      <w:tr>
        <w:trPr>
          <w:trHeight w:val="1051"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3"/>
            <w:tcBorders>
              <w:top w:val="single" w:sz="4" w:color="000000"/>
              <w:left w:val="single" w:sz="4" w:color="000000"/>
              <w:bottom w:val="single" w:sz="4" w:color="000000"/>
              <w:right w:val="single" w:sz="4" w:color="000000"/>
            </w:tcBorders>
            <w:vAlign w:val="top"/>
          </w:tcPr>
          <w:p>
            <w:pPr>
              <w:spacing w:before="0" w:after="19"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spacing w:before="0" w:after="25" w:line="272" w:lineRule="auto"/>
              <w:ind w:left="720" w:right="0" w:hanging="360"/>
              <w:jc w:val="left"/>
            </w:pPr>
            <w:r>
              <w:rPr>
                <w:rFonts w:cs="Arial" w:hAnsi="Arial" w:eastAsia="Arial" w:ascii="Arial"/>
                <w:sz w:val="18"/>
              </w:rPr>
              <w:t xml:space="preserve">- 	</w:t>
            </w:r>
            <w:r>
              <w:rPr>
                <w:sz w:val="18"/>
              </w:rPr>
              <w:t xml:space="preserve">Research and develop productive sectors for enhanced economic development and sustainable management of natural resources.</w:t>
            </w:r>
            <w:r>
              <w:rPr>
                <w:sz w:val="18"/>
              </w:rPr>
              <w:t xml:space="preserve"> </w:t>
            </w:r>
          </w:p>
          <w:p>
            <w:pPr>
              <w:spacing w:before="0" w:after="0" w:line="259" w:lineRule="auto"/>
              <w:ind w:left="0" w:right="0" w:firstLine="0"/>
              <w:jc w:val="left"/>
            </w:pP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73"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p>
            <w:pPr>
              <w:spacing w:before="0" w:after="0" w:line="259" w:lineRule="auto"/>
              <w:ind w:left="0" w:right="5" w:firstLine="0"/>
              <w:jc w:val="right"/>
            </w:pPr>
            <w:r>
              <w:rPr>
                <w:rFonts w:cs="Cambria" w:hAnsi="Cambria" w:eastAsia="Cambria" w:ascii="Cambria"/>
                <w:b w:val="1"/>
                <w:sz w:val="18"/>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Number of community dialogues and actions</w:t>
            </w: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Reports</w:t>
            </w: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Number of reports disseminated</w:t>
            </w: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Reports</w:t>
            </w: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Quarterly, annually</w:t>
            </w:r>
            <w:r>
              <w:rPr>
                <w:sz w:val="20"/>
              </w:rPr>
              <w:t xml:space="preserve"> </w:t>
            </w:r>
          </w:p>
        </w:tc>
      </w:tr>
      <w:tr>
        <w:trPr>
          <w:trHeight w:val="32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bl>
    <w:p>
      <w:pPr>
        <w:spacing w:before="0" w:after="0" w:line="259" w:lineRule="auto"/>
        <w:ind w:left="-1440" w:right="97" w:firstLine="0"/>
        <w:jc w:val="left"/>
      </w:pPr>
    </w:p>
    <w:tbl>
      <w:tblPr>
        <w:tblStyle w:val="TableGrid"/>
        <w:tblW w:w="9384" w:type="dxa"/>
        <w:tblInd w:w="-115" w:type="dxa"/>
        <w:tblCellMar>
          <w:top w:w="74" w:type="dxa"/>
          <w:left w:w="110" w:type="dxa"/>
          <w:bottom w:w="0" w:type="dxa"/>
          <w:right w:w="66" w:type="dxa"/>
        </w:tblCellMar>
      </w:tblPr>
      <w:tblGrid>
        <w:gridCol w:w="1910"/>
        <w:gridCol w:w="1723"/>
        <w:gridCol w:w="2962"/>
        <w:gridCol w:w="269"/>
        <w:gridCol w:w="2520"/>
      </w:tblGrid>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962"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595" w:hRule="atLeast"/>
        </w:trPr>
        <w:tc>
          <w:tcPr>
            <w:tcW w:w="9384" w:type="dxa"/>
            <w:gridSpan w:val="5"/>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rFonts w:cs="Cambria" w:hAnsi="Cambria" w:eastAsia="Cambria" w:ascii="Cambria"/>
                <w:b w:val="1"/>
                <w:sz w:val="20"/>
              </w:rPr>
              <w:t xml:space="preserve">OUTPUT </w:t>
            </w:r>
            <w:r>
              <w:rPr>
                <w:rFonts w:cs="Cambria" w:hAnsi="Cambria" w:eastAsia="Cambria" w:ascii="Cambria"/>
                <w:b w:val="1"/>
                <w:sz w:val="20"/>
              </w:rPr>
              <w:t xml:space="preserve">3: </w:t>
            </w:r>
            <w:r>
              <w:rPr>
                <w:rFonts w:cs="Cambria" w:hAnsi="Cambria" w:eastAsia="Cambria" w:ascii="Cambria"/>
                <w:b w:val="1"/>
                <w:sz w:val="20"/>
              </w:rPr>
              <w:t xml:space="preserve">Capacities of local authorities and civil society strengthened in civic engagement, coordination, and planning for economic recovery and peace consolidation</w:t>
            </w:r>
            <w:r>
              <w:rPr>
                <w:rFonts w:cs="Cambria" w:hAnsi="Cambria" w:eastAsia="Cambria" w:ascii="Cambria"/>
                <w:b w:val="1"/>
                <w:sz w:val="20"/>
              </w:rPr>
              <w:t xml:space="preserve"> </w:t>
            </w:r>
          </w:p>
        </w:tc>
      </w:tr>
      <w:tr>
        <w:trPr>
          <w:trHeight w:val="590"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1</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685"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Delivery of social services</w:t>
            </w:r>
            <w:r>
              <w:rPr>
                <w:rFonts w:cs="Cambria" w:hAnsi="Cambria" w:eastAsia="Cambria" w:ascii="Cambria"/>
                <w:i w:val="1"/>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5" w:right="0" w:firstLine="0"/>
              <w:jc w:val="left"/>
            </w:pPr>
            <w:r>
              <w:rPr>
                <w:sz w:val="20"/>
              </w:rPr>
              <w:t xml:space="preserve">End Date:</w:t>
            </w:r>
            <w:r>
              <w:rPr>
                <w:sz w:val="20"/>
              </w:rPr>
              <w:t xml:space="preserve"> </w:t>
            </w:r>
            <w:r>
              <w:rPr>
                <w:sz w:val="20"/>
              </w:rPr>
              <w:t xml:space="preserve">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spacing w:before="0" w:after="27"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To contribute to systems strengthening for delivery of quality services for recovery</w:t>
            </w:r>
            <w:r>
              <w:rPr>
                <w:sz w:val="20"/>
              </w:rPr>
              <w:t xml:space="preserve"> </w:t>
            </w:r>
          </w:p>
        </w:tc>
      </w:tr>
      <w:tr>
        <w:trPr>
          <w:trHeight w:val="4934"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spacing w:before="0" w:after="14"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numPr>
                <w:ilvl w:val="0"/>
                <w:numId w:val="37"/>
              </w:numPr>
              <w:spacing w:before="0" w:after="23" w:line="259" w:lineRule="auto"/>
              <w:ind w:left="720" w:right="0" w:hanging="360"/>
              <w:jc w:val="left"/>
            </w:pPr>
            <w:r>
              <w:rPr>
                <w:sz w:val="18"/>
              </w:rPr>
              <w:t xml:space="preserve">Carry out capacity assessment for target local authorities</w:t>
            </w:r>
            <w:r>
              <w:rPr>
                <w:sz w:val="18"/>
              </w:rPr>
              <w:t xml:space="preserve"> </w:t>
            </w:r>
          </w:p>
          <w:p>
            <w:pPr>
              <w:numPr>
                <w:ilvl w:val="0"/>
                <w:numId w:val="37"/>
              </w:numPr>
              <w:spacing w:before="0" w:after="8" w:line="272" w:lineRule="auto"/>
              <w:ind w:left="720" w:right="0" w:hanging="360"/>
              <w:jc w:val="left"/>
            </w:pPr>
            <w:r>
              <w:rPr>
                <w:sz w:val="18"/>
              </w:rPr>
              <w:t xml:space="preserve">Strengthen capacity of local authorities through training, technical assistance, equipment and coaching as needed</w:t>
            </w:r>
            <w:r>
              <w:rPr>
                <w:sz w:val="18"/>
              </w:rPr>
              <w:t xml:space="preserve"> </w:t>
            </w:r>
          </w:p>
          <w:p>
            <w:pPr>
              <w:numPr>
                <w:ilvl w:val="0"/>
                <w:numId w:val="37"/>
              </w:numPr>
              <w:spacing w:before="0" w:after="0" w:line="277" w:lineRule="auto"/>
              <w:ind w:left="720" w:right="0" w:hanging="360"/>
              <w:jc w:val="left"/>
            </w:pPr>
            <w:r>
              <w:rPr>
                <w:sz w:val="18"/>
              </w:rPr>
              <w:t xml:space="preserve">Strengthen capacity of local authorities in participatory planning, including facilitation of dialogue and coordination mechanisms</w:t>
            </w:r>
            <w:r>
              <w:rPr>
                <w:sz w:val="18"/>
              </w:rPr>
              <w:t xml:space="preserve"> </w:t>
            </w:r>
          </w:p>
          <w:p>
            <w:pPr>
              <w:numPr>
                <w:ilvl w:val="0"/>
                <w:numId w:val="37"/>
              </w:numPr>
              <w:spacing w:before="0" w:after="0" w:line="277" w:lineRule="auto"/>
              <w:ind w:left="720" w:right="0" w:hanging="360"/>
              <w:jc w:val="left"/>
            </w:pPr>
            <w:r>
              <w:rPr>
                <w:sz w:val="18"/>
              </w:rPr>
              <w:t xml:space="preserve">Strengthen capacity of local level stakeholders to promote an enabling environment for employment and private sector development (link to Output </w:t>
            </w:r>
            <w:r>
              <w:rPr>
                <w:sz w:val="18"/>
              </w:rPr>
              <w:t xml:space="preserve">2)</w:t>
            </w:r>
            <w:r>
              <w:rPr>
                <w:sz w:val="18"/>
              </w:rPr>
              <w:t xml:space="preserve"> </w:t>
            </w:r>
          </w:p>
          <w:p>
            <w:pPr>
              <w:numPr>
                <w:ilvl w:val="0"/>
                <w:numId w:val="37"/>
              </w:numPr>
              <w:spacing w:before="0" w:after="8" w:line="272" w:lineRule="auto"/>
              <w:ind w:left="720" w:right="0" w:hanging="360"/>
              <w:jc w:val="left"/>
            </w:pPr>
            <w:r>
              <w:rPr>
                <w:sz w:val="18"/>
              </w:rPr>
              <w:t xml:space="preserve">Strengthen capacity of CBOs, NGOs and other community groups in participatory planning and monitoring, including need articulation and monitoring service delivery</w:t>
            </w:r>
            <w:r>
              <w:rPr>
                <w:sz w:val="18"/>
              </w:rPr>
              <w:t xml:space="preserve"> </w:t>
            </w:r>
          </w:p>
          <w:p>
            <w:pPr>
              <w:numPr>
                <w:ilvl w:val="0"/>
                <w:numId w:val="37"/>
              </w:numPr>
              <w:spacing w:before="0" w:after="23" w:line="259" w:lineRule="auto"/>
              <w:ind w:left="720" w:right="0" w:hanging="360"/>
              <w:jc w:val="left"/>
            </w:pPr>
            <w:r>
              <w:rPr>
                <w:sz w:val="18"/>
              </w:rPr>
              <w:t xml:space="preserve">Carry out assessment to clarify roles and responsibilities in land governance</w:t>
            </w:r>
            <w:r>
              <w:rPr>
                <w:sz w:val="18"/>
              </w:rPr>
              <w:t xml:space="preserve"> </w:t>
            </w:r>
          </w:p>
          <w:p>
            <w:pPr>
              <w:numPr>
                <w:ilvl w:val="0"/>
                <w:numId w:val="37"/>
              </w:numPr>
              <w:spacing w:before="0" w:after="9" w:line="270" w:lineRule="auto"/>
              <w:ind w:left="720" w:right="0" w:hanging="360"/>
              <w:jc w:val="left"/>
            </w:pPr>
            <w:r>
              <w:rPr>
                <w:sz w:val="18"/>
              </w:rPr>
              <w:t xml:space="preserve">Strengthen capacity of all local stakeholders in land governance, including on formal and informal processes of land demarcation, titling and establishment of land rights associations; and facilitate engagement of village and parish level traditional leaders as well as clan heads and kraal leaders for peaceful demarcation of land</w:t>
            </w:r>
            <w:r>
              <w:rPr>
                <w:sz w:val="18"/>
              </w:rPr>
              <w:t xml:space="preserve">-</w:t>
            </w:r>
            <w:r>
              <w:rPr>
                <w:sz w:val="18"/>
              </w:rPr>
              <w:t xml:space="preserve">holdings.</w:t>
            </w:r>
            <w:r>
              <w:rPr>
                <w:sz w:val="18"/>
              </w:rPr>
              <w:t xml:space="preserve"> </w:t>
            </w:r>
          </w:p>
          <w:p>
            <w:pPr>
              <w:numPr>
                <w:ilvl w:val="0"/>
                <w:numId w:val="37"/>
              </w:numPr>
              <w:spacing w:before="0" w:after="18" w:line="259" w:lineRule="auto"/>
              <w:ind w:left="720" w:right="0" w:hanging="360"/>
              <w:jc w:val="left"/>
            </w:pPr>
            <w:r>
              <w:rPr>
                <w:sz w:val="18"/>
              </w:rPr>
              <w:t xml:space="preserve">Pilot district land tribunals</w:t>
            </w:r>
            <w:r>
              <w:rPr>
                <w:sz w:val="18"/>
              </w:rPr>
              <w:t xml:space="preserve"> </w:t>
            </w:r>
          </w:p>
          <w:p>
            <w:pPr>
              <w:numPr>
                <w:ilvl w:val="0"/>
                <w:numId w:val="37"/>
              </w:numPr>
              <w:spacing w:before="0" w:after="15" w:line="277" w:lineRule="auto"/>
              <w:ind w:left="720" w:right="0" w:hanging="360"/>
              <w:jc w:val="left"/>
            </w:pPr>
            <w:r>
              <w:rPr>
                <w:sz w:val="18"/>
              </w:rPr>
              <w:t xml:space="preserve">Strengthen capacity of LCCS in strategic decision</w:t>
            </w:r>
            <w:r>
              <w:rPr>
                <w:sz w:val="18"/>
              </w:rPr>
              <w:t xml:space="preserve">-</w:t>
            </w:r>
            <w:r>
              <w:rPr>
                <w:sz w:val="18"/>
              </w:rPr>
              <w:t xml:space="preserve">making and planning on justice and security  </w:t>
            </w:r>
            <w:r>
              <w:rPr>
                <w:sz w:val="18"/>
              </w:rPr>
              <w:t xml:space="preserve"> </w:t>
            </w:r>
          </w:p>
          <w:p>
            <w:pPr>
              <w:spacing w:before="0" w:after="0" w:line="259" w:lineRule="auto"/>
              <w:ind w:left="0" w:right="0" w:firstLine="0"/>
              <w:jc w:val="left"/>
            </w:pPr>
            <w:r>
              <w:rPr>
                <w:sz w:val="20"/>
              </w:rPr>
              <w:t xml:space="preserve"> </w:t>
            </w:r>
          </w:p>
        </w:tc>
      </w:tr>
      <w:tr>
        <w:trPr>
          <w:trHeight w:val="1046"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5" w:right="62" w:firstLine="0"/>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1133"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No of participatory plans developed</w:t>
            </w:r>
            <w:r>
              <w:rPr>
                <w:sz w:val="18"/>
              </w:rPr>
              <w:t xml:space="preserve"> </w:t>
            </w:r>
            <w:r>
              <w:rPr>
                <w:sz w:val="18"/>
              </w:rPr>
              <w:t xml:space="preserve">at the local level (sub</w:t>
            </w:r>
            <w:r>
              <w:rPr>
                <w:sz w:val="18"/>
              </w:rPr>
              <w:t xml:space="preserve">-</w:t>
            </w:r>
            <w:r>
              <w:rPr>
                <w:sz w:val="18"/>
              </w:rPr>
              <w:t xml:space="preserve">county and district)</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71" w:lineRule="auto"/>
              <w:ind w:left="5" w:right="0" w:firstLine="0"/>
              <w:jc w:val="left"/>
            </w:pPr>
            <w:r>
              <w:rPr>
                <w:sz w:val="20"/>
              </w:rPr>
              <w:t xml:space="preserve">Plans at district and sub county level</w:t>
            </w:r>
            <w:r>
              <w:rPr>
                <w:sz w:val="20"/>
              </w:rPr>
              <w:t xml:space="preserve"> </w:t>
            </w:r>
          </w:p>
          <w:p>
            <w:pPr>
              <w:spacing w:before="0" w:after="0" w:line="259" w:lineRule="auto"/>
              <w:ind w:left="5" w:right="0" w:firstLine="0"/>
              <w:jc w:val="left"/>
            </w:pPr>
            <w:r>
              <w:rPr>
                <w:sz w:val="20"/>
              </w:rPr>
              <w:t xml:space="preserve">Integration of plans in District development plans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Biannually and annually</w:t>
            </w:r>
            <w:r>
              <w:rPr>
                <w:sz w:val="20"/>
              </w:rPr>
              <w:t xml:space="preserve"> </w:t>
            </w:r>
          </w:p>
        </w:tc>
      </w:tr>
      <w:tr>
        <w:trPr>
          <w:trHeight w:val="595"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sz w:val="18"/>
              </w:rPr>
              <w:t xml:space="preserve">No of community meetings held in the target districts</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tabs>
                <w:tab w:val="center" w:pos="351"/>
                <w:tab w:val="center" w:pos="1125"/>
                <w:tab w:val="center" w:pos="1947"/>
                <w:tab w:val="center" w:pos="2845"/>
              </w:tabs>
              <w:spacing w:before="0" w:after="16" w:line="259" w:lineRule="auto"/>
              <w:ind w:left="0" w:right="0" w:firstLine="0"/>
              <w:jc w:val="left"/>
            </w:pPr>
            <w:r>
              <w:rPr>
                <w:rFonts w:cs="Calibri" w:hAnsi="Calibri" w:eastAsia="Calibri" w:ascii="Calibri"/>
                <w:sz w:val="22"/>
              </w:rPr>
              <w:t xml:space="preserve">	</w:t>
            </w:r>
            <w:r>
              <w:rPr>
                <w:sz w:val="20"/>
              </w:rPr>
              <w:t xml:space="preserve">Minutes 	of 	meetings 	and </w:t>
            </w:r>
          </w:p>
          <w:p>
            <w:pPr>
              <w:spacing w:before="0" w:after="0" w:line="259" w:lineRule="auto"/>
              <w:ind w:left="5" w:right="0" w:firstLine="0"/>
              <w:jc w:val="left"/>
            </w:pPr>
            <w:r>
              <w:rPr>
                <w:sz w:val="20"/>
              </w:rPr>
              <w:t xml:space="preserve">recommendations implemented</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Biannually and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18"/>
              </w:rPr>
              <w:t xml:space="preserve">No of capacity assessments developed</w:t>
            </w: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District development plans</w:t>
            </w: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Biannually and annually</w:t>
            </w:r>
            <w:r>
              <w:rPr>
                <w:sz w:val="20"/>
              </w:rPr>
              <w:t xml:space="preserve"> </w:t>
            </w:r>
          </w:p>
        </w:tc>
      </w:tr>
      <w:tr>
        <w:trPr>
          <w:trHeight w:val="322"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3230" w:type="dxa"/>
            <w:gridSpan w:val="2"/>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sz w:val="20"/>
              </w:rPr>
              <w:t xml:space="preserve"> </w:t>
            </w:r>
          </w:p>
        </w:tc>
      </w:tr>
      <w:tr>
        <w:trPr>
          <w:trHeight w:val="590" w:hRule="atLeast"/>
        </w:trPr>
        <w:tc>
          <w:tcPr>
            <w:tcW w:w="9384" w:type="dxa"/>
            <w:gridSpan w:val="5"/>
            <w:tcBorders>
              <w:top w:val="single" w:sz="4" w:color="000000"/>
              <w:left w:val="single" w:sz="4" w:color="000000"/>
              <w:bottom w:val="single" w:sz="4" w:color="000000"/>
              <w:right w:val="single" w:sz="4" w:color="000000"/>
            </w:tcBorders>
            <w:vAlign w:val="top"/>
          </w:tcPr>
          <w:p>
            <w:pPr>
              <w:spacing w:before="0" w:after="0" w:line="259" w:lineRule="auto"/>
              <w:ind w:left="5" w:right="0" w:firstLine="0"/>
            </w:pPr>
            <w:r>
              <w:rPr>
                <w:rFonts w:cs="Cambria" w:hAnsi="Cambria" w:eastAsia="Cambria" w:ascii="Cambria"/>
                <w:b w:val="1"/>
                <w:sz w:val="20"/>
              </w:rPr>
              <w:t xml:space="preserve">OUTPUT </w:t>
            </w:r>
            <w:r>
              <w:rPr>
                <w:rFonts w:cs="Cambria" w:hAnsi="Cambria" w:eastAsia="Cambria" w:ascii="Cambria"/>
                <w:b w:val="1"/>
                <w:sz w:val="20"/>
              </w:rPr>
              <w:t xml:space="preserve">3:</w:t>
            </w:r>
            <w:r>
              <w:rPr>
                <w:rFonts w:cs="Cambria" w:hAnsi="Cambria" w:eastAsia="Cambria" w:ascii="Cambria"/>
                <w:b w:val="1"/>
                <w:color w:val="1f497d"/>
                <w:sz w:val="20"/>
              </w:rPr>
              <w:t xml:space="preserve"> </w:t>
            </w:r>
            <w:r>
              <w:rPr>
                <w:rFonts w:cs="Cambria" w:hAnsi="Cambria" w:eastAsia="Cambria" w:ascii="Cambria"/>
                <w:b w:val="1"/>
                <w:sz w:val="20"/>
              </w:rPr>
              <w:t xml:space="preserve">Capacities of local authorities and civil society strengthened in civic engagement, coordination, and planning for economic recovery and peace consolidation</w:t>
            </w:r>
            <w:r>
              <w:rPr>
                <w:rFonts w:cs="Cambria" w:hAnsi="Cambria" w:eastAsia="Cambria" w:ascii="Cambria"/>
                <w:b w:val="1"/>
                <w:sz w:val="20"/>
              </w:rPr>
              <w:t xml:space="preserve"> </w:t>
            </w:r>
          </w:p>
        </w:tc>
      </w:tr>
      <w:tr>
        <w:trPr>
          <w:trHeight w:val="595"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rFonts w:cs="Cambria" w:hAnsi="Cambria" w:eastAsia="Cambria" w:ascii="Cambria"/>
                <w:b w:val="1"/>
                <w:sz w:val="20"/>
              </w:rPr>
              <w:t xml:space="preserve">Activity Result 2</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954" w:type="dxa"/>
            <w:gridSpan w:val="3"/>
            <w:tcBorders>
              <w:top w:val="single" w:sz="4" w:color="000000"/>
              <w:left w:val="single" w:sz="4" w:color="000000"/>
              <w:bottom w:val="single" w:sz="4" w:color="000000"/>
              <w:right w:val="single" w:sz="4" w:color="000000"/>
            </w:tcBorders>
            <w:vAlign w:val="top"/>
          </w:tcPr>
          <w:p>
            <w:pPr>
              <w:spacing w:before="0" w:after="12" w:line="259" w:lineRule="auto"/>
              <w:ind w:left="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0" w:right="0" w:firstLine="0"/>
              <w:jc w:val="left"/>
            </w:pPr>
            <w:r>
              <w:rPr>
                <w:rFonts w:cs="Cambria" w:hAnsi="Cambria" w:eastAsia="Cambria" w:ascii="Cambria"/>
                <w:i w:val="1"/>
                <w:sz w:val="20"/>
              </w:rPr>
              <w:t xml:space="preserve">Improve communication</w:t>
            </w:r>
            <w:r>
              <w:rPr>
                <w:rFonts w:cs="Cambria" w:hAnsi="Cambria" w:eastAsia="Cambria" w:ascii="Cambria"/>
                <w:i w:val="1"/>
                <w:sz w:val="20"/>
              </w:rPr>
              <w:t xml:space="preserve"> </w:t>
            </w:r>
          </w:p>
        </w:tc>
        <w:tc>
          <w:tcPr>
            <w:tcW w:w="2520" w:type="dxa"/>
            <w:tcBorders>
              <w:top w:val="single" w:sz="4" w:color="000000"/>
              <w:left w:val="single" w:sz="4" w:color="000000"/>
              <w:bottom w:val="single" w:sz="4" w:color="000000"/>
              <w:right w:val="single" w:sz="4" w:color="000000"/>
            </w:tcBorders>
            <w:vAlign w:val="top"/>
          </w:tcPr>
          <w:p>
            <w:pPr>
              <w:spacing w:before="0" w:after="12" w:line="259" w:lineRule="auto"/>
              <w:ind w:left="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5" w:right="0" w:firstLine="0"/>
              <w:jc w:val="left"/>
            </w:pPr>
            <w:r>
              <w:rPr>
                <w:sz w:val="20"/>
              </w:rPr>
              <w:t xml:space="preserve">End Date:</w:t>
            </w:r>
            <w:r>
              <w:rPr>
                <w:sz w:val="20"/>
              </w:rPr>
              <w:t xml:space="preserve"> </w:t>
            </w:r>
            <w:r>
              <w:rPr>
                <w:sz w:val="20"/>
              </w:rPr>
              <w:t xml:space="preserve">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spacing w:before="0" w:after="22" w:line="259" w:lineRule="auto"/>
              <w:ind w:left="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0" w:right="0" w:firstLine="0"/>
              <w:jc w:val="left"/>
            </w:pPr>
            <w:r>
              <w:rPr>
                <w:rFonts w:cs="Cambria" w:hAnsi="Cambria" w:eastAsia="Cambria" w:ascii="Cambria"/>
                <w:i w:val="1"/>
                <w:sz w:val="18"/>
              </w:rPr>
              <w:t xml:space="preserve">Contribute to improved communication between formal, informal and community</w:t>
            </w:r>
            <w:r>
              <w:rPr>
                <w:sz w:val="20"/>
              </w:rPr>
              <w:t xml:space="preserve"> </w:t>
            </w:r>
          </w:p>
        </w:tc>
      </w:tr>
      <w:tr>
        <w:trPr>
          <w:trHeight w:val="562"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5" w:right="0" w:firstLine="0"/>
              <w:jc w:val="left"/>
            </w:pPr>
            <w:r>
              <w:rPr>
                <w:rFonts w:cs="Cambria" w:hAnsi="Cambria" w:eastAsia="Cambria" w:ascii="Cambria"/>
                <w:i w:val="1"/>
                <w:sz w:val="18"/>
              </w:rPr>
              <w:t xml:space="preserve"> </w:t>
            </w:r>
          </w:p>
        </w:tc>
        <w:tc>
          <w:tcPr>
            <w:tcW w:w="7474" w:type="dxa"/>
            <w:gridSpan w:val="4"/>
            <w:tcBorders>
              <w:top w:val="single" w:sz="4" w:color="000000"/>
              <w:left w:val="single" w:sz="4" w:color="000000"/>
              <w:bottom w:val="single" w:sz="4" w:color="000000"/>
              <w:right w:val="single" w:sz="4" w:color="000000"/>
            </w:tcBorders>
            <w:vAlign w:val="top"/>
          </w:tcPr>
          <w:p>
            <w:pPr>
              <w:spacing w:before="0" w:after="14" w:line="259" w:lineRule="auto"/>
              <w:ind w:left="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tabs>
                <w:tab w:val="center" w:pos="390"/>
                <w:tab w:val="center" w:pos="3612"/>
              </w:tabs>
              <w:spacing w:before="0" w:after="0" w:line="259" w:lineRule="auto"/>
              <w:ind w:left="0" w:right="0" w:firstLine="0"/>
              <w:jc w:val="left"/>
            </w:pPr>
            <w:r>
              <w:rPr>
                <w:rFonts w:cs="Calibri" w:hAnsi="Calibri" w:eastAsia="Calibri" w:ascii="Calibri"/>
                <w:sz w:val="22"/>
              </w:rPr>
              <w:t xml:space="preserve">	</w:t>
            </w:r>
            <w:r>
              <w:rPr>
                <w:rFonts w:cs="Arial" w:hAnsi="Arial" w:eastAsia="Arial" w:ascii="Arial"/>
                <w:sz w:val="18"/>
              </w:rPr>
              <w:t xml:space="preserve">- 	</w:t>
            </w:r>
            <w:r>
              <w:rPr>
                <w:sz w:val="18"/>
              </w:rPr>
              <w:t xml:space="preserve">Guidelines developed to ensure transparency of local authorities’ processes</w:t>
            </w:r>
            <w:r>
              <w:rPr>
                <w:sz w:val="18"/>
              </w:rPr>
              <w:t xml:space="preserve"> </w:t>
            </w:r>
          </w:p>
        </w:tc>
      </w:tr>
    </w:tbl>
    <w:p>
      <w:pPr>
        <w:spacing w:before="0" w:after="0" w:line="259" w:lineRule="auto"/>
        <w:ind w:left="-1440" w:right="97" w:firstLine="0"/>
        <w:jc w:val="left"/>
      </w:pPr>
    </w:p>
    <w:tbl>
      <w:tblPr>
        <w:tblStyle w:val="TableGrid"/>
        <w:tblW w:w="9384" w:type="dxa"/>
        <w:tblInd w:w="-115" w:type="dxa"/>
        <w:tblCellMar>
          <w:top w:w="34" w:type="dxa"/>
          <w:left w:w="0" w:type="dxa"/>
          <w:bottom w:w="0" w:type="dxa"/>
          <w:right w:w="37" w:type="dxa"/>
        </w:tblCellMar>
      </w:tblPr>
      <w:tblGrid>
        <w:gridCol w:w="1910"/>
        <w:gridCol w:w="1723"/>
        <w:gridCol w:w="2338"/>
        <w:gridCol w:w="624"/>
        <w:gridCol w:w="547"/>
        <w:gridCol w:w="2242"/>
      </w:tblGrid>
      <w:tr>
        <w:trPr>
          <w:trHeight w:val="3475" w:hRule="atLeast"/>
        </w:trPr>
        <w:tc>
          <w:tcPr>
            <w:tcW w:w="1910"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7474" w:type="dxa"/>
            <w:gridSpan w:val="5"/>
            <w:tcBorders>
              <w:top w:val="single" w:sz="4" w:color="000000"/>
              <w:left w:val="single" w:sz="4" w:color="000000"/>
              <w:bottom w:val="single" w:sz="4" w:color="000000"/>
              <w:right w:val="single" w:sz="4" w:color="000000"/>
            </w:tcBorders>
            <w:vAlign w:val="top"/>
          </w:tcPr>
          <w:p>
            <w:pPr>
              <w:numPr>
                <w:ilvl w:val="0"/>
                <w:numId w:val="38"/>
              </w:numPr>
              <w:spacing w:before="0" w:after="0" w:line="277" w:lineRule="auto"/>
              <w:ind w:left="830" w:right="0" w:hanging="360"/>
              <w:jc w:val="left"/>
            </w:pPr>
            <w:r>
              <w:rPr>
                <w:sz w:val="18"/>
              </w:rPr>
              <w:t xml:space="preserve">Strengthen capacity of local authorities and local stakeholders to hold and participate in facilitated dialogues and meetings</w:t>
            </w:r>
            <w:r>
              <w:rPr>
                <w:sz w:val="18"/>
              </w:rPr>
              <w:t xml:space="preserve"> </w:t>
            </w:r>
          </w:p>
          <w:p>
            <w:pPr>
              <w:numPr>
                <w:ilvl w:val="0"/>
                <w:numId w:val="38"/>
              </w:numPr>
              <w:spacing w:before="0" w:after="0" w:line="277" w:lineRule="auto"/>
              <w:ind w:left="830" w:right="0" w:hanging="360"/>
              <w:jc w:val="left"/>
            </w:pPr>
            <w:r>
              <w:rPr>
                <w:sz w:val="18"/>
              </w:rPr>
              <w:t xml:space="preserve">Carry out a civic outreach campaign to ensure community and local authorities sensitization</w:t>
            </w:r>
            <w:r>
              <w:rPr>
                <w:sz w:val="18"/>
              </w:rPr>
              <w:t xml:space="preserve">   </w:t>
            </w:r>
          </w:p>
          <w:p>
            <w:pPr>
              <w:numPr>
                <w:ilvl w:val="0"/>
                <w:numId w:val="38"/>
              </w:numPr>
              <w:spacing w:before="0" w:after="8" w:line="272" w:lineRule="auto"/>
              <w:ind w:left="830" w:right="0" w:hanging="360"/>
              <w:jc w:val="left"/>
            </w:pPr>
            <w:r>
              <w:rPr>
                <w:sz w:val="18"/>
              </w:rPr>
              <w:t xml:space="preserve">Community sensitization and outreach by JLOS officials, local authorities, and local</w:t>
            </w:r>
            <w:r>
              <w:rPr>
                <w:sz w:val="18"/>
              </w:rPr>
              <w:t xml:space="preserve"> </w:t>
            </w:r>
            <w:r>
              <w:rPr>
                <w:sz w:val="18"/>
              </w:rPr>
              <w:t xml:space="preserve">Ministry of Gender on rights and available services, including the role of LCCs, especially for prisoners, women and girls and those in land disputes.</w:t>
            </w:r>
            <w:r>
              <w:rPr>
                <w:sz w:val="18"/>
              </w:rPr>
              <w:t xml:space="preserve"> </w:t>
            </w:r>
          </w:p>
          <w:p>
            <w:pPr>
              <w:numPr>
                <w:ilvl w:val="0"/>
                <w:numId w:val="38"/>
              </w:numPr>
              <w:spacing w:before="0" w:after="8" w:line="272" w:lineRule="auto"/>
              <w:ind w:left="830" w:right="0" w:hanging="360"/>
              <w:jc w:val="left"/>
            </w:pPr>
            <w:r>
              <w:rPr>
                <w:sz w:val="18"/>
              </w:rPr>
              <w:t xml:space="preserve">Support paralegal/human rights/civil society monitors to investigate and monitor JLOS sector misconduct with regard to the investigation and prosecution of GBV cases. </w:t>
            </w:r>
            <w:r>
              <w:rPr>
                <w:sz w:val="18"/>
              </w:rPr>
              <w:t xml:space="preserve"> </w:t>
            </w:r>
          </w:p>
          <w:p>
            <w:pPr>
              <w:numPr>
                <w:ilvl w:val="0"/>
                <w:numId w:val="38"/>
              </w:numPr>
              <w:spacing w:before="0" w:after="20" w:line="272" w:lineRule="auto"/>
              <w:ind w:left="830" w:right="0" w:hanging="360"/>
              <w:jc w:val="left"/>
            </w:pPr>
            <w:r>
              <w:rPr>
                <w:sz w:val="18"/>
              </w:rPr>
              <w:t xml:space="preserve">Strengthen community</w:t>
            </w:r>
            <w:r>
              <w:rPr>
                <w:sz w:val="18"/>
              </w:rPr>
              <w:t xml:space="preserve">-</w:t>
            </w:r>
            <w:r>
              <w:rPr>
                <w:sz w:val="18"/>
              </w:rPr>
              <w:t xml:space="preserve">based women’s groups and provide trainings in women’s access to justice, protection, human rights and peace</w:t>
            </w:r>
            <w:r>
              <w:rPr>
                <w:sz w:val="18"/>
              </w:rPr>
              <w:t xml:space="preserve">-</w:t>
            </w:r>
            <w:r>
              <w:rPr>
                <w:sz w:val="18"/>
              </w:rPr>
              <w:t xml:space="preserve">building, as well as community mobilization</w:t>
            </w:r>
            <w:r>
              <w:rPr>
                <w:sz w:val="18"/>
              </w:rPr>
              <w:t xml:space="preserve"> </w:t>
            </w:r>
          </w:p>
          <w:p>
            <w:pPr>
              <w:spacing w:before="0" w:after="0" w:line="259" w:lineRule="auto"/>
              <w:ind w:left="110" w:right="0" w:firstLine="0"/>
              <w:jc w:val="left"/>
            </w:pP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115" w:right="0" w:firstLine="0"/>
            </w:pPr>
            <w:r>
              <w:rPr>
                <w:rFonts w:cs="Cambria" w:hAnsi="Cambria" w:eastAsia="Cambria" w:ascii="Cambria"/>
                <w:i w:val="1"/>
                <w:sz w:val="18"/>
              </w:rPr>
              <w:t xml:space="preserve">How/with</w:t>
            </w:r>
            <w:r>
              <w:rPr>
                <w:rFonts w:cs="Cambria" w:hAnsi="Cambria" w:eastAsia="Cambria" w:ascii="Cambria"/>
                <w:i w:val="1"/>
                <w:sz w:val="18"/>
              </w:rPr>
              <w:t xml:space="preserve"> </w:t>
            </w:r>
            <w:r>
              <w:rPr>
                <w:rFonts w:cs="Cambria" w:hAnsi="Cambria" w:eastAsia="Cambria" w:ascii="Cambria"/>
                <w:i w:val="1"/>
                <w:sz w:val="18"/>
              </w:rPr>
              <w:t xml:space="preserve">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2962"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115" w:right="0" w:firstLine="0"/>
              <w:jc w:val="left"/>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11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r>
        <w:trPr>
          <w:trHeight w:val="595"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pPr>
            <w:r>
              <w:rPr>
                <w:sz w:val="18"/>
              </w:rPr>
              <w:t xml:space="preserve">Streamlined mechanisms for planning and coordination in place</w:t>
            </w:r>
            <w:r>
              <w:rPr>
                <w:sz w:val="20"/>
              </w:rPr>
              <w:t xml:space="preserve"> </w:t>
            </w:r>
          </w:p>
        </w:tc>
        <w:tc>
          <w:tcPr>
            <w:tcW w:w="2338" w:type="dxa"/>
            <w:tcBorders>
              <w:top w:val="single" w:sz="4" w:color="000000"/>
              <w:left w:val="single" w:sz="4" w:color="000000"/>
              <w:bottom w:val="single" w:sz="4" w:color="000000"/>
              <w:right w:val="nil"/>
            </w:tcBorders>
            <w:vAlign w:val="top"/>
          </w:tcPr>
          <w:p>
            <w:pPr>
              <w:spacing w:before="0" w:after="0" w:line="259" w:lineRule="auto"/>
              <w:ind w:left="115" w:right="0" w:firstLine="0"/>
              <w:jc w:val="left"/>
            </w:pPr>
            <w:r>
              <w:rPr>
                <w:sz w:val="20"/>
              </w:rPr>
              <w:t xml:space="preserve">Guideline 	in 	place</w:t>
            </w:r>
            <w:r>
              <w:rPr>
                <w:sz w:val="20"/>
              </w:rPr>
              <w:t xml:space="preserve">, </w:t>
            </w:r>
            <w:r>
              <w:rPr>
                <w:sz w:val="20"/>
              </w:rPr>
              <w:t xml:space="preserve">reviewed</w:t>
            </w:r>
            <w:r>
              <w:rPr>
                <w:sz w:val="20"/>
              </w:rPr>
              <w:t xml:space="preserve"> </w:t>
            </w:r>
          </w:p>
        </w:tc>
        <w:tc>
          <w:tcPr>
            <w:tcW w:w="624" w:type="dxa"/>
            <w:tcBorders>
              <w:top w:val="single" w:sz="4" w:color="000000"/>
              <w:left w:val="nil"/>
              <w:bottom w:val="single" w:sz="4" w:color="000000"/>
              <w:right w:val="single" w:sz="4" w:color="000000"/>
            </w:tcBorders>
            <w:vAlign w:val="top"/>
          </w:tcPr>
          <w:p>
            <w:pPr>
              <w:spacing w:before="0" w:after="0" w:line="259" w:lineRule="auto"/>
              <w:ind w:left="0" w:right="0" w:firstLine="0"/>
            </w:pPr>
            <w:r>
              <w:rPr>
                <w:sz w:val="20"/>
              </w:rPr>
              <w:t xml:space="preserve">policy</w:t>
            </w:r>
            <w:r>
              <w:rPr>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20"/>
              </w:rPr>
              <w:t xml:space="preserve">Biannually, annually</w:t>
            </w:r>
            <w:r>
              <w:rPr>
                <w:sz w:val="20"/>
              </w:rPr>
              <w:t xml:space="preserve"> </w:t>
            </w:r>
          </w:p>
        </w:tc>
      </w:tr>
      <w:tr>
        <w:trPr>
          <w:trHeight w:val="590"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18"/>
              </w:rPr>
              <w:t xml:space="preserve">No of small grants distributed</w:t>
            </w:r>
            <w:r>
              <w:rPr>
                <w:sz w:val="20"/>
              </w:rPr>
              <w:t xml:space="preserve"> </w:t>
            </w:r>
          </w:p>
        </w:tc>
        <w:tc>
          <w:tcPr>
            <w:tcW w:w="2338" w:type="dxa"/>
            <w:tcBorders>
              <w:top w:val="single" w:sz="4" w:color="000000"/>
              <w:left w:val="single" w:sz="4" w:color="000000"/>
              <w:bottom w:val="single" w:sz="4" w:color="000000"/>
              <w:right w:val="nil"/>
            </w:tcBorders>
            <w:vAlign w:val="top"/>
          </w:tcPr>
          <w:p>
            <w:pPr>
              <w:spacing w:before="0" w:after="0" w:line="259" w:lineRule="auto"/>
              <w:ind w:left="115" w:right="0" w:firstLine="0"/>
              <w:jc w:val="left"/>
            </w:pPr>
            <w:r>
              <w:rPr>
                <w:sz w:val="20"/>
              </w:rPr>
              <w:t xml:space="preserve">Reports</w:t>
            </w:r>
            <w:r>
              <w:rPr>
                <w:sz w:val="20"/>
              </w:rPr>
              <w:t xml:space="preserve"> </w:t>
            </w:r>
          </w:p>
        </w:tc>
        <w:tc>
          <w:tcPr>
            <w:tcW w:w="624"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c>
          <w:tcPr>
            <w:tcW w:w="2789" w:type="dxa"/>
            <w:gridSpan w:val="2"/>
            <w:tcBorders>
              <w:top w:val="single" w:sz="4" w:color="000000"/>
              <w:left w:val="single" w:sz="4" w:color="000000"/>
              <w:bottom w:val="single" w:sz="4" w:color="000000"/>
              <w:right w:val="single" w:sz="4" w:color="000000"/>
            </w:tcBorders>
            <w:vAlign w:val="top"/>
          </w:tcPr>
          <w:p>
            <w:pPr>
              <w:tabs>
                <w:tab w:val="center" w:pos="546"/>
                <w:tab w:val="center" w:pos="2202"/>
              </w:tabs>
              <w:spacing w:before="0" w:after="16" w:line="259" w:lineRule="auto"/>
              <w:ind w:left="0" w:right="0" w:firstLine="0"/>
              <w:jc w:val="left"/>
            </w:pPr>
            <w:r>
              <w:rPr>
                <w:rFonts w:cs="Calibri" w:hAnsi="Calibri" w:eastAsia="Calibri" w:ascii="Calibri"/>
                <w:sz w:val="22"/>
              </w:rPr>
              <w:t xml:space="preserve">	</w:t>
            </w:r>
            <w:r>
              <w:rPr>
                <w:sz w:val="20"/>
              </w:rPr>
              <w:t xml:space="preserve">Quarterly, 	biannually, </w:t>
            </w:r>
          </w:p>
          <w:p>
            <w:pPr>
              <w:spacing w:before="0" w:after="0" w:line="259" w:lineRule="auto"/>
              <w:ind w:left="115" w:right="0" w:firstLine="0"/>
              <w:jc w:val="left"/>
            </w:pPr>
            <w:r>
              <w:rPr>
                <w:sz w:val="20"/>
              </w:rPr>
              <w:t xml:space="preserve">annually</w:t>
            </w:r>
            <w:r>
              <w:rPr>
                <w:sz w:val="20"/>
              </w:rPr>
              <w:t xml:space="preserve"> </w:t>
            </w:r>
          </w:p>
        </w:tc>
      </w:tr>
      <w:tr>
        <w:trPr>
          <w:trHeight w:val="595"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18"/>
              </w:rPr>
              <w:t xml:space="preserve">No of civic outreach activities</w:t>
            </w:r>
            <w:r>
              <w:rPr>
                <w:sz w:val="20"/>
              </w:rPr>
              <w:t xml:space="preserve"> </w:t>
            </w:r>
          </w:p>
        </w:tc>
        <w:tc>
          <w:tcPr>
            <w:tcW w:w="2338" w:type="dxa"/>
            <w:tcBorders>
              <w:top w:val="single" w:sz="4" w:color="000000"/>
              <w:left w:val="single" w:sz="4" w:color="000000"/>
              <w:bottom w:val="single" w:sz="4" w:color="000000"/>
              <w:right w:val="nil"/>
            </w:tcBorders>
            <w:vAlign w:val="top"/>
          </w:tcPr>
          <w:p>
            <w:pPr>
              <w:spacing w:before="0" w:after="0" w:line="259" w:lineRule="auto"/>
              <w:ind w:left="115" w:right="0" w:firstLine="0"/>
              <w:jc w:val="left"/>
            </w:pPr>
            <w:r>
              <w:rPr>
                <w:sz w:val="20"/>
              </w:rPr>
              <w:t xml:space="preserve">Outreach reports</w:t>
            </w:r>
            <w:r>
              <w:rPr>
                <w:sz w:val="20"/>
              </w:rPr>
              <w:t xml:space="preserve"> </w:t>
            </w:r>
          </w:p>
        </w:tc>
        <w:tc>
          <w:tcPr>
            <w:tcW w:w="624"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c>
          <w:tcPr>
            <w:tcW w:w="2789" w:type="dxa"/>
            <w:gridSpan w:val="2"/>
            <w:tcBorders>
              <w:top w:val="single" w:sz="4" w:color="000000"/>
              <w:left w:val="single" w:sz="4" w:color="000000"/>
              <w:bottom w:val="single" w:sz="4" w:color="000000"/>
              <w:right w:val="single" w:sz="4" w:color="000000"/>
            </w:tcBorders>
            <w:vAlign w:val="top"/>
          </w:tcPr>
          <w:p>
            <w:pPr>
              <w:tabs>
                <w:tab w:val="center" w:pos="546"/>
                <w:tab w:val="center" w:pos="2202"/>
              </w:tabs>
              <w:spacing w:before="0" w:after="16" w:line="259" w:lineRule="auto"/>
              <w:ind w:left="0" w:right="0" w:firstLine="0"/>
              <w:jc w:val="left"/>
            </w:pPr>
            <w:r>
              <w:rPr>
                <w:rFonts w:cs="Calibri" w:hAnsi="Calibri" w:eastAsia="Calibri" w:ascii="Calibri"/>
                <w:sz w:val="22"/>
              </w:rPr>
              <w:t xml:space="preserve">	</w:t>
            </w:r>
            <w:r>
              <w:rPr>
                <w:sz w:val="20"/>
              </w:rPr>
              <w:t xml:space="preserve">Quarterly, 	biannually</w:t>
            </w:r>
            <w:r>
              <w:rPr>
                <w:sz w:val="20"/>
              </w:rPr>
              <w:t xml:space="preserve">, </w:t>
            </w:r>
          </w:p>
          <w:p>
            <w:pPr>
              <w:spacing w:before="0" w:after="0" w:line="259" w:lineRule="auto"/>
              <w:ind w:left="115" w:right="0" w:firstLine="0"/>
              <w:jc w:val="left"/>
            </w:pPr>
            <w:r>
              <w:rPr>
                <w:sz w:val="20"/>
              </w:rPr>
              <w:t xml:space="preserve">annually</w:t>
            </w:r>
            <w:r>
              <w:rPr>
                <w:sz w:val="20"/>
              </w:rPr>
              <w:t xml:space="preserve"> </w:t>
            </w:r>
          </w:p>
        </w:tc>
      </w:tr>
      <w:tr>
        <w:trPr>
          <w:trHeight w:val="859"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20"/>
              </w:rPr>
              <w:t xml:space="preserve">Number of trainings held for women groups </w:t>
            </w:r>
            <w:r>
              <w:rPr>
                <w:sz w:val="20"/>
              </w:rPr>
              <w:t xml:space="preserve"> </w:t>
            </w:r>
          </w:p>
        </w:tc>
        <w:tc>
          <w:tcPr>
            <w:tcW w:w="2338" w:type="dxa"/>
            <w:tcBorders>
              <w:top w:val="single" w:sz="4" w:color="000000"/>
              <w:left w:val="single" w:sz="4" w:color="000000"/>
              <w:bottom w:val="single" w:sz="4" w:color="000000"/>
              <w:right w:val="nil"/>
            </w:tcBorders>
            <w:vAlign w:val="top"/>
          </w:tcPr>
          <w:p>
            <w:pPr>
              <w:spacing w:before="0" w:after="12" w:line="259" w:lineRule="auto"/>
              <w:ind w:left="115" w:right="0" w:firstLine="0"/>
              <w:jc w:val="left"/>
            </w:pPr>
            <w:r>
              <w:rPr>
                <w:sz w:val="20"/>
              </w:rPr>
              <w:t xml:space="preserve">Training records</w:t>
            </w:r>
            <w:r>
              <w:rPr>
                <w:sz w:val="20"/>
              </w:rPr>
              <w:t xml:space="preserve"> </w:t>
            </w:r>
          </w:p>
          <w:p>
            <w:pPr>
              <w:spacing w:before="0" w:after="12" w:line="259" w:lineRule="auto"/>
              <w:ind w:left="115" w:right="0" w:firstLine="0"/>
              <w:jc w:val="left"/>
            </w:pPr>
            <w:r>
              <w:rPr>
                <w:sz w:val="20"/>
              </w:rPr>
              <w:t xml:space="preserve">Training material</w:t>
            </w:r>
            <w:r>
              <w:rPr>
                <w:sz w:val="20"/>
              </w:rPr>
              <w:t xml:space="preserve"> </w:t>
            </w:r>
          </w:p>
          <w:p>
            <w:pPr>
              <w:spacing w:before="0" w:after="0" w:line="259" w:lineRule="auto"/>
              <w:ind w:left="115" w:right="0" w:firstLine="0"/>
              <w:jc w:val="left"/>
            </w:pPr>
            <w:r>
              <w:rPr>
                <w:sz w:val="20"/>
              </w:rPr>
              <w:t xml:space="preserve">Evaluation reports</w:t>
            </w:r>
            <w:r>
              <w:rPr>
                <w:sz w:val="20"/>
              </w:rPr>
              <w:t xml:space="preserve"> </w:t>
            </w:r>
          </w:p>
        </w:tc>
        <w:tc>
          <w:tcPr>
            <w:tcW w:w="624" w:type="dxa"/>
            <w:tcBorders>
              <w:top w:val="single" w:sz="4" w:color="000000"/>
              <w:left w:val="nil"/>
              <w:bottom w:val="single" w:sz="4" w:color="000000"/>
              <w:right w:val="single" w:sz="4" w:color="000000"/>
            </w:tcBorders>
            <w:vAlign w:val="center"/>
          </w:tcPr>
          <w:p>
            <w:pPr>
              <w:bidi w:val="0"/>
              <w:spacing w:before="0" w:after="160" w:line="259" w:lineRule="auto"/>
              <w:ind w:left="0" w:right="0" w:firstLine="0"/>
              <w:jc w:val="left"/>
            </w:pPr>
          </w:p>
        </w:tc>
        <w:tc>
          <w:tcPr>
            <w:tcW w:w="2789" w:type="dxa"/>
            <w:gridSpan w:val="2"/>
            <w:tcBorders>
              <w:top w:val="single" w:sz="4" w:color="000000"/>
              <w:left w:val="single" w:sz="4" w:color="000000"/>
              <w:bottom w:val="single" w:sz="4" w:color="000000"/>
              <w:right w:val="single" w:sz="4" w:color="000000"/>
            </w:tcBorders>
            <w:vAlign w:val="top"/>
          </w:tcPr>
          <w:p>
            <w:pPr>
              <w:tabs>
                <w:tab w:val="center" w:pos="546"/>
                <w:tab w:val="center" w:pos="2202"/>
              </w:tabs>
              <w:spacing w:before="0" w:after="16" w:line="259" w:lineRule="auto"/>
              <w:ind w:left="0" w:right="0" w:firstLine="0"/>
              <w:jc w:val="left"/>
            </w:pPr>
            <w:r>
              <w:rPr>
                <w:rFonts w:cs="Calibri" w:hAnsi="Calibri" w:eastAsia="Calibri" w:ascii="Calibri"/>
                <w:sz w:val="22"/>
              </w:rPr>
              <w:t xml:space="preserve">	</w:t>
            </w:r>
            <w:r>
              <w:rPr>
                <w:sz w:val="20"/>
              </w:rPr>
              <w:t xml:space="preserve">Quarterly, 	biannually, </w:t>
            </w:r>
          </w:p>
          <w:p>
            <w:pPr>
              <w:spacing w:before="0" w:after="0" w:line="259" w:lineRule="auto"/>
              <w:ind w:left="115" w:right="0" w:firstLine="0"/>
              <w:jc w:val="left"/>
            </w:pPr>
            <w:r>
              <w:rPr>
                <w:sz w:val="20"/>
              </w:rPr>
              <w:t xml:space="preserve">annually</w:t>
            </w:r>
            <w:r>
              <w:rPr>
                <w:sz w:val="20"/>
              </w:rPr>
              <w:t xml:space="preserve"> </w:t>
            </w:r>
          </w:p>
        </w:tc>
      </w:tr>
      <w:tr>
        <w:trPr>
          <w:trHeight w:val="318" w:hRule="atLeast"/>
        </w:trPr>
        <w:tc>
          <w:tcPr>
            <w:tcW w:w="3634" w:type="dxa"/>
            <w:gridSpan w:val="2"/>
            <w:tcBorders>
              <w:top w:val="single" w:sz="4" w:color="000000"/>
              <w:left w:val="single" w:sz="4" w:color="000000"/>
              <w:bottom w:val="nil"/>
              <w:right w:val="nil"/>
            </w:tcBorders>
            <w:vAlign w:val="top"/>
          </w:tcPr>
          <w:p>
            <w:pPr>
              <w:spacing w:before="0" w:after="0" w:line="259" w:lineRule="auto"/>
              <w:ind w:left="115" w:right="0" w:firstLine="0"/>
              <w:jc w:val="left"/>
            </w:pPr>
            <w:r>
              <w:rPr>
                <w:rFonts w:cs="Cambria" w:hAnsi="Cambria" w:eastAsia="Cambria" w:ascii="Cambria"/>
                <w:b w:val="1"/>
                <w:sz w:val="20"/>
              </w:rPr>
              <w:t xml:space="preserve">OUTPUT </w:t>
            </w:r>
            <w:r>
              <w:rPr>
                <w:rFonts w:cs="Cambria" w:hAnsi="Cambria" w:eastAsia="Cambria" w:ascii="Cambria"/>
                <w:b w:val="1"/>
                <w:sz w:val="20"/>
              </w:rPr>
              <w:t xml:space="preserve">3: </w:t>
            </w:r>
            <w:r>
              <w:rPr>
                <w:rFonts w:cs="Cambria" w:hAnsi="Cambria" w:eastAsia="Cambria" w:ascii="Cambria"/>
                <w:b w:val="1"/>
                <w:sz w:val="20"/>
              </w:rPr>
              <w:t xml:space="preserve">Capacities of local auth</w:t>
            </w:r>
          </w:p>
        </w:tc>
        <w:tc>
          <w:tcPr>
            <w:tcW w:w="2338" w:type="dxa"/>
            <w:tcBorders>
              <w:top w:val="single" w:sz="4" w:color="000000"/>
              <w:left w:val="nil"/>
              <w:bottom w:val="nil"/>
              <w:right w:val="nil"/>
            </w:tcBorders>
            <w:vAlign w:val="top"/>
          </w:tcPr>
          <w:p>
            <w:pPr>
              <w:spacing w:before="0" w:after="0" w:line="259" w:lineRule="auto"/>
              <w:ind w:left="-71" w:right="0" w:firstLine="0"/>
            </w:pPr>
            <w:r>
              <w:rPr>
                <w:rFonts w:cs="Cambria" w:hAnsi="Cambria" w:eastAsia="Cambria" w:ascii="Cambria"/>
                <w:b w:val="1"/>
                <w:sz w:val="20"/>
              </w:rPr>
              <w:t xml:space="preserve">orities and civil society </w:t>
            </w:r>
          </w:p>
        </w:tc>
        <w:tc>
          <w:tcPr>
            <w:tcW w:w="624" w:type="dxa"/>
            <w:tcBorders>
              <w:top w:val="single" w:sz="4" w:color="000000"/>
              <w:left w:val="nil"/>
              <w:bottom w:val="nil"/>
              <w:right w:val="nil"/>
            </w:tcBorders>
            <w:vAlign w:val="top"/>
          </w:tcPr>
          <w:p>
            <w:pPr>
              <w:spacing w:before="0" w:after="0" w:line="259" w:lineRule="auto"/>
              <w:ind w:left="-18" w:right="0" w:firstLine="0"/>
            </w:pPr>
            <w:r>
              <w:rPr>
                <w:rFonts w:cs="Cambria" w:hAnsi="Cambria" w:eastAsia="Cambria" w:ascii="Cambria"/>
                <w:b w:val="1"/>
                <w:sz w:val="20"/>
              </w:rPr>
              <w:t xml:space="preserve">streng</w:t>
            </w:r>
          </w:p>
        </w:tc>
        <w:tc>
          <w:tcPr>
            <w:tcW w:w="2789" w:type="dxa"/>
            <w:gridSpan w:val="2"/>
            <w:tcBorders>
              <w:top w:val="single" w:sz="4" w:color="000000"/>
              <w:left w:val="nil"/>
              <w:bottom w:val="nil"/>
              <w:right w:val="single" w:sz="4" w:color="000000"/>
            </w:tcBorders>
            <w:vAlign w:val="top"/>
          </w:tcPr>
          <w:p>
            <w:pPr>
              <w:spacing w:before="0" w:after="0" w:line="259" w:lineRule="auto"/>
              <w:ind w:left="-56" w:right="0" w:firstLine="0"/>
            </w:pPr>
            <w:r>
              <w:rPr>
                <w:rFonts w:cs="Cambria" w:hAnsi="Cambria" w:eastAsia="Cambria" w:ascii="Cambria"/>
                <w:b w:val="1"/>
                <w:sz w:val="20"/>
              </w:rPr>
              <w:t xml:space="preserve">thened in civic engagement, </w:t>
            </w:r>
          </w:p>
        </w:tc>
      </w:tr>
      <w:tr>
        <w:trPr>
          <w:trHeight w:val="277" w:hRule="atLeast"/>
        </w:trPr>
        <w:tc>
          <w:tcPr>
            <w:tcW w:w="3634" w:type="dxa"/>
            <w:gridSpan w:val="2"/>
            <w:tcBorders>
              <w:top w:val="nil"/>
              <w:left w:val="single" w:sz="4" w:color="000000"/>
              <w:bottom w:val="single" w:sz="4" w:color="000000"/>
              <w:right w:val="nil"/>
            </w:tcBorders>
            <w:vAlign w:val="top"/>
          </w:tcPr>
          <w:p>
            <w:pPr>
              <w:spacing w:before="0" w:after="0" w:line="259" w:lineRule="auto"/>
              <w:ind w:left="115" w:right="0" w:firstLine="0"/>
              <w:jc w:val="left"/>
            </w:pPr>
            <w:r>
              <w:rPr>
                <w:rFonts w:cs="Cambria" w:hAnsi="Cambria" w:eastAsia="Cambria" w:ascii="Cambria"/>
                <w:b w:val="1"/>
                <w:sz w:val="20"/>
              </w:rPr>
              <w:t xml:space="preserve">coordination, and planning for econo</w:t>
            </w:r>
          </w:p>
        </w:tc>
        <w:tc>
          <w:tcPr>
            <w:tcW w:w="2338" w:type="dxa"/>
            <w:tcBorders>
              <w:top w:val="nil"/>
              <w:left w:val="nil"/>
              <w:bottom w:val="single" w:sz="4" w:color="000000"/>
              <w:right w:val="nil"/>
            </w:tcBorders>
            <w:vAlign w:val="top"/>
          </w:tcPr>
          <w:p>
            <w:pPr>
              <w:spacing w:before="0" w:after="0" w:line="259" w:lineRule="auto"/>
              <w:ind w:left="-115" w:right="0" w:firstLine="0"/>
              <w:jc w:val="left"/>
            </w:pPr>
            <w:r>
              <w:rPr>
                <w:rFonts w:cs="Cambria" w:hAnsi="Cambria" w:eastAsia="Cambria" w:ascii="Cambria"/>
                <w:b w:val="1"/>
                <w:sz w:val="20"/>
              </w:rPr>
              <w:t xml:space="preserve">mic recovery and peace co</w:t>
            </w:r>
          </w:p>
        </w:tc>
        <w:tc>
          <w:tcPr>
            <w:tcW w:w="624" w:type="dxa"/>
            <w:tcBorders>
              <w:top w:val="nil"/>
              <w:left w:val="nil"/>
              <w:bottom w:val="single" w:sz="4" w:color="000000"/>
              <w:right w:val="nil"/>
            </w:tcBorders>
            <w:vAlign w:val="top"/>
          </w:tcPr>
          <w:p>
            <w:pPr>
              <w:spacing w:before="0" w:after="0" w:line="259" w:lineRule="auto"/>
              <w:ind w:left="-37" w:right="0" w:firstLine="0"/>
            </w:pPr>
            <w:r>
              <w:rPr>
                <w:rFonts w:cs="Cambria" w:hAnsi="Cambria" w:eastAsia="Cambria" w:ascii="Cambria"/>
                <w:b w:val="1"/>
                <w:sz w:val="20"/>
              </w:rPr>
              <w:t xml:space="preserve">nsolid</w:t>
            </w:r>
          </w:p>
        </w:tc>
        <w:tc>
          <w:tcPr>
            <w:tcW w:w="2789" w:type="dxa"/>
            <w:gridSpan w:val="2"/>
            <w:tcBorders>
              <w:top w:val="nil"/>
              <w:left w:val="nil"/>
              <w:bottom w:val="single" w:sz="4" w:color="000000"/>
              <w:right w:val="single" w:sz="4" w:color="000000"/>
            </w:tcBorders>
            <w:vAlign w:val="top"/>
          </w:tcPr>
          <w:p>
            <w:pPr>
              <w:spacing w:before="0" w:after="0" w:line="259" w:lineRule="auto"/>
              <w:ind w:left="-89" w:right="0" w:firstLine="0"/>
              <w:jc w:val="left"/>
            </w:pPr>
            <w:r>
              <w:rPr>
                <w:rFonts w:cs="Cambria" w:hAnsi="Cambria" w:eastAsia="Cambria" w:ascii="Cambria"/>
                <w:b w:val="1"/>
                <w:sz w:val="20"/>
              </w:rPr>
              <w:t xml:space="preserve">ation</w:t>
            </w:r>
            <w:r>
              <w:rPr>
                <w:rFonts w:cs="Cambria" w:hAnsi="Cambria" w:eastAsia="Cambria" w:ascii="Cambria"/>
                <w:b w:val="1"/>
                <w:sz w:val="20"/>
              </w:rPr>
              <w:t xml:space="preserve"> </w:t>
            </w:r>
          </w:p>
        </w:tc>
      </w:tr>
      <w:tr>
        <w:trPr>
          <w:trHeight w:val="859" w:hRule="atLeast"/>
        </w:trPr>
        <w:tc>
          <w:tcPr>
            <w:tcW w:w="1910" w:type="dxa"/>
            <w:tcBorders>
              <w:top w:val="single" w:sz="4" w:color="000000"/>
              <w:left w:val="single" w:sz="4" w:color="000000"/>
              <w:bottom w:val="single" w:sz="4" w:color="000000"/>
              <w:right w:val="single" w:sz="4" w:color="000000"/>
            </w:tcBorders>
            <w:vAlign w:val="top"/>
          </w:tcPr>
          <w:p>
            <w:pPr>
              <w:spacing w:before="0" w:after="12" w:line="259" w:lineRule="auto"/>
              <w:ind w:left="115" w:right="0" w:firstLine="0"/>
              <w:jc w:val="left"/>
            </w:pPr>
            <w:r>
              <w:rPr>
                <w:rFonts w:cs="Cambria" w:hAnsi="Cambria" w:eastAsia="Cambria" w:ascii="Cambria"/>
                <w:b w:val="1"/>
                <w:sz w:val="20"/>
              </w:rPr>
              <w:t xml:space="preserve">Activity Result 3</w:t>
            </w:r>
            <w:r>
              <w:rPr>
                <w:rFonts w:cs="Cambria" w:hAnsi="Cambria" w:eastAsia="Cambria" w:ascii="Cambria"/>
                <w:b w:val="1"/>
                <w:sz w:val="20"/>
              </w:rPr>
              <w:t xml:space="preserve"> </w:t>
            </w:r>
          </w:p>
          <w:p>
            <w:pPr>
              <w:spacing w:before="0" w:after="0" w:line="259" w:lineRule="auto"/>
              <w:ind w:left="115" w:right="0" w:firstLine="0"/>
              <w:jc w:val="left"/>
            </w:pPr>
            <w:r>
              <w:rPr>
                <w:rFonts w:cs="Cambria" w:hAnsi="Cambria" w:eastAsia="Cambria" w:ascii="Cambria"/>
                <w:b w:val="1"/>
                <w:sz w:val="20"/>
              </w:rPr>
              <w:t xml:space="preserve">(Atlas Activity ID)</w:t>
            </w:r>
            <w:r>
              <w:rPr>
                <w:rFonts w:cs="Cambria" w:hAnsi="Cambria" w:eastAsia="Cambria" w:ascii="Cambria"/>
                <w:b w:val="1"/>
                <w:sz w:val="20"/>
              </w:rPr>
              <w:t xml:space="preserve"> </w:t>
            </w:r>
          </w:p>
        </w:tc>
        <w:tc>
          <w:tcPr>
            <w:tcW w:w="4685" w:type="dxa"/>
            <w:gridSpan w:val="3"/>
            <w:tcBorders>
              <w:top w:val="single" w:sz="4" w:color="000000"/>
              <w:left w:val="single" w:sz="4" w:color="000000"/>
              <w:bottom w:val="single" w:sz="4" w:color="000000"/>
              <w:right w:val="single" w:sz="4" w:color="000000"/>
            </w:tcBorders>
            <w:vAlign w:val="top"/>
          </w:tcPr>
          <w:p>
            <w:pPr>
              <w:spacing w:before="0" w:after="12" w:line="259" w:lineRule="auto"/>
              <w:ind w:left="110" w:right="0" w:firstLine="0"/>
              <w:jc w:val="left"/>
            </w:pPr>
            <w:r>
              <w:rPr>
                <w:rFonts w:cs="Cambria" w:hAnsi="Cambria" w:eastAsia="Cambria" w:ascii="Cambria"/>
                <w:i w:val="1"/>
                <w:sz w:val="20"/>
              </w:rPr>
              <w:t xml:space="preserve">Short title to be used for Atlas Activity ID</w:t>
            </w:r>
            <w:r>
              <w:rPr>
                <w:rFonts w:cs="Cambria" w:hAnsi="Cambria" w:eastAsia="Cambria" w:ascii="Cambria"/>
                <w:i w:val="1"/>
                <w:sz w:val="20"/>
              </w:rPr>
              <w:t xml:space="preserve"> </w:t>
            </w:r>
          </w:p>
          <w:p>
            <w:pPr>
              <w:spacing w:before="0" w:after="0" w:line="259" w:lineRule="auto"/>
              <w:ind w:left="110" w:right="0" w:firstLine="0"/>
              <w:jc w:val="left"/>
            </w:pPr>
            <w:r>
              <w:rPr>
                <w:rFonts w:cs="Cambria" w:hAnsi="Cambria" w:eastAsia="Cambria" w:ascii="Cambria"/>
                <w:i w:val="1"/>
                <w:sz w:val="20"/>
              </w:rPr>
              <w:t xml:space="preserve">Improve coordination of recovery and development efforts</w:t>
            </w:r>
            <w:r>
              <w:rPr>
                <w:rFonts w:cs="Cambria" w:hAnsi="Cambria" w:eastAsia="Cambria" w:ascii="Cambria"/>
                <w:i w:val="1"/>
                <w:sz w:val="20"/>
              </w:rPr>
              <w:t xml:space="preserve"> </w:t>
            </w:r>
          </w:p>
        </w:tc>
        <w:tc>
          <w:tcPr>
            <w:tcW w:w="2789" w:type="dxa"/>
            <w:gridSpan w:val="2"/>
            <w:tcBorders>
              <w:top w:val="single" w:sz="4" w:color="000000"/>
              <w:left w:val="single" w:sz="4" w:color="000000"/>
              <w:bottom w:val="single" w:sz="4" w:color="000000"/>
              <w:right w:val="single" w:sz="4" w:color="000000"/>
            </w:tcBorders>
            <w:vAlign w:val="top"/>
          </w:tcPr>
          <w:p>
            <w:pPr>
              <w:spacing w:before="0" w:after="12" w:line="259" w:lineRule="auto"/>
              <w:ind w:left="115" w:right="0" w:firstLine="0"/>
              <w:jc w:val="left"/>
            </w:pPr>
            <w:r>
              <w:rPr>
                <w:sz w:val="20"/>
              </w:rPr>
              <w:t xml:space="preserve">Start Date:</w:t>
            </w:r>
            <w:r>
              <w:rPr>
                <w:sz w:val="20"/>
              </w:rPr>
              <w:t xml:space="preserve"> </w:t>
            </w:r>
            <w:r>
              <w:rPr>
                <w:sz w:val="20"/>
              </w:rPr>
              <w:t xml:space="preserve">January 2013</w:t>
            </w:r>
            <w:r>
              <w:rPr>
                <w:sz w:val="20"/>
              </w:rPr>
              <w:t xml:space="preserve"> </w:t>
            </w:r>
          </w:p>
          <w:p>
            <w:pPr>
              <w:spacing w:before="0" w:after="0" w:line="259" w:lineRule="auto"/>
              <w:ind w:left="115" w:right="0" w:firstLine="0"/>
              <w:jc w:val="left"/>
            </w:pPr>
            <w:r>
              <w:rPr>
                <w:sz w:val="20"/>
              </w:rPr>
              <w:t xml:space="preserve">End Date:</w:t>
            </w:r>
            <w:r>
              <w:rPr>
                <w:sz w:val="20"/>
              </w:rPr>
              <w:t xml:space="preserve"> </w:t>
            </w:r>
            <w:r>
              <w:rPr>
                <w:sz w:val="20"/>
              </w:rPr>
              <w:t xml:space="preserve">December 2014</w:t>
            </w:r>
            <w:r>
              <w:rPr>
                <w:sz w:val="20"/>
              </w:rPr>
              <w:t xml:space="preserve"> </w:t>
            </w:r>
          </w:p>
        </w:tc>
      </w:tr>
      <w:tr>
        <w:trPr>
          <w:trHeight w:val="566"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Purpose</w:t>
            </w:r>
            <w:r>
              <w:rPr>
                <w:rFonts w:cs="Cambria" w:hAnsi="Cambria" w:eastAsia="Cambria" w:ascii="Cambria"/>
                <w:b w:val="1"/>
                <w:sz w:val="20"/>
              </w:rPr>
              <w:t xml:space="preserve"> </w:t>
            </w:r>
          </w:p>
          <w:p>
            <w:pPr>
              <w:spacing w:before="0" w:after="0" w:line="259" w:lineRule="auto"/>
              <w:ind w:left="115" w:right="0" w:firstLine="0"/>
              <w:jc w:val="left"/>
            </w:pPr>
            <w:r>
              <w:rPr>
                <w:rFonts w:cs="Cambria" w:hAnsi="Cambria" w:eastAsia="Cambria" w:ascii="Cambria"/>
                <w:i w:val="1"/>
                <w:sz w:val="18"/>
              </w:rPr>
              <w:t xml:space="preserve"> </w:t>
            </w:r>
          </w:p>
        </w:tc>
        <w:tc>
          <w:tcPr>
            <w:tcW w:w="7474" w:type="dxa"/>
            <w:gridSpan w:val="5"/>
            <w:tcBorders>
              <w:top w:val="single" w:sz="4" w:color="000000"/>
              <w:left w:val="single" w:sz="4" w:color="000000"/>
              <w:bottom w:val="single" w:sz="4" w:color="000000"/>
              <w:right w:val="single" w:sz="4" w:color="000000"/>
            </w:tcBorders>
            <w:vAlign w:val="top"/>
          </w:tcPr>
          <w:p>
            <w:pPr>
              <w:spacing w:before="0" w:after="27" w:line="259" w:lineRule="auto"/>
              <w:ind w:left="110" w:right="0" w:firstLine="0"/>
              <w:jc w:val="left"/>
            </w:pPr>
            <w:r>
              <w:rPr>
                <w:rFonts w:cs="Cambria" w:hAnsi="Cambria" w:eastAsia="Cambria" w:ascii="Cambria"/>
                <w:i w:val="1"/>
                <w:sz w:val="18"/>
              </w:rPr>
              <w:t xml:space="preserve">What is the purpose of the activity?</w:t>
            </w:r>
            <w:r>
              <w:rPr>
                <w:rFonts w:cs="Cambria" w:hAnsi="Cambria" w:eastAsia="Cambria" w:ascii="Cambria"/>
                <w:i w:val="1"/>
                <w:sz w:val="18"/>
              </w:rPr>
              <w:t xml:space="preserve"> </w:t>
            </w:r>
          </w:p>
          <w:p>
            <w:pPr>
              <w:spacing w:before="0" w:after="0" w:line="259" w:lineRule="auto"/>
              <w:ind w:left="110" w:right="0" w:firstLine="0"/>
              <w:jc w:val="left"/>
            </w:pPr>
            <w:r>
              <w:rPr>
                <w:rFonts w:cs="Cambria" w:hAnsi="Cambria" w:eastAsia="Cambria" w:ascii="Cambria"/>
                <w:i w:val="1"/>
                <w:sz w:val="18"/>
              </w:rPr>
              <w:t xml:space="preserve">Strengthen link between district and central government</w:t>
            </w:r>
            <w:r>
              <w:rPr>
                <w:sz w:val="20"/>
              </w:rPr>
              <w:t xml:space="preserve"> </w:t>
            </w:r>
          </w:p>
        </w:tc>
      </w:tr>
      <w:tr>
        <w:trPr>
          <w:trHeight w:val="2534" w:hRule="atLeast"/>
        </w:trPr>
        <w:tc>
          <w:tcPr>
            <w:tcW w:w="1910"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Description</w:t>
            </w:r>
            <w:r>
              <w:rPr>
                <w:rFonts w:cs="Cambria" w:hAnsi="Cambria" w:eastAsia="Cambria" w:ascii="Cambria"/>
                <w:b w:val="1"/>
                <w:sz w:val="20"/>
              </w:rPr>
              <w:t xml:space="preserve"> </w:t>
            </w:r>
          </w:p>
          <w:p>
            <w:pPr>
              <w:spacing w:before="0" w:after="0" w:line="259" w:lineRule="auto"/>
              <w:ind w:left="115" w:right="0" w:firstLine="0"/>
              <w:jc w:val="left"/>
            </w:pPr>
            <w:r>
              <w:rPr>
                <w:rFonts w:cs="Cambria" w:hAnsi="Cambria" w:eastAsia="Cambria" w:ascii="Cambria"/>
                <w:i w:val="1"/>
                <w:sz w:val="18"/>
              </w:rPr>
              <w:t xml:space="preserve"> </w:t>
            </w:r>
          </w:p>
        </w:tc>
        <w:tc>
          <w:tcPr>
            <w:tcW w:w="7474" w:type="dxa"/>
            <w:gridSpan w:val="5"/>
            <w:tcBorders>
              <w:top w:val="single" w:sz="4" w:color="000000"/>
              <w:left w:val="single" w:sz="4" w:color="000000"/>
              <w:bottom w:val="single" w:sz="4" w:color="000000"/>
              <w:right w:val="single" w:sz="4" w:color="000000"/>
            </w:tcBorders>
            <w:vAlign w:val="top"/>
          </w:tcPr>
          <w:p>
            <w:pPr>
              <w:spacing w:before="0" w:after="14" w:line="259" w:lineRule="auto"/>
              <w:ind w:left="110" w:right="0" w:firstLine="0"/>
              <w:jc w:val="left"/>
            </w:pPr>
            <w:r>
              <w:rPr>
                <w:rFonts w:cs="Cambria" w:hAnsi="Cambria" w:eastAsia="Cambria" w:ascii="Cambria"/>
                <w:i w:val="1"/>
                <w:sz w:val="18"/>
              </w:rPr>
              <w:t xml:space="preserve">Planned actions to produce the activity result.</w:t>
            </w:r>
            <w:r>
              <w:rPr>
                <w:rFonts w:cs="Cambria" w:hAnsi="Cambria" w:eastAsia="Cambria" w:ascii="Cambria"/>
                <w:i w:val="1"/>
                <w:sz w:val="18"/>
              </w:rPr>
              <w:t xml:space="preserve"> </w:t>
            </w:r>
          </w:p>
          <w:p>
            <w:pPr>
              <w:numPr>
                <w:ilvl w:val="0"/>
                <w:numId w:val="39"/>
              </w:numPr>
              <w:spacing w:before="0" w:after="16" w:line="259" w:lineRule="auto"/>
              <w:ind w:left="830" w:right="0" w:hanging="360"/>
              <w:jc w:val="left"/>
            </w:pPr>
            <w:r>
              <w:rPr>
                <w:sz w:val="18"/>
              </w:rPr>
              <w:t xml:space="preserve">Support visits from national level officials, including the Ministry of Local </w:t>
            </w:r>
          </w:p>
          <w:p>
            <w:pPr>
              <w:spacing w:before="0" w:after="2" w:line="273" w:lineRule="auto"/>
              <w:ind w:left="830" w:right="0" w:firstLine="0"/>
              <w:jc w:val="left"/>
            </w:pPr>
            <w:r>
              <w:rPr>
                <w:sz w:val="18"/>
              </w:rPr>
              <w:t xml:space="preserve">Government, JLOS Secretariat and other service ministries as needed to the target areas. </w:t>
            </w:r>
            <w:r>
              <w:rPr>
                <w:sz w:val="18"/>
              </w:rPr>
              <w:t xml:space="preserve"> </w:t>
            </w:r>
          </w:p>
          <w:p>
            <w:pPr>
              <w:numPr>
                <w:ilvl w:val="0"/>
                <w:numId w:val="39"/>
              </w:numPr>
              <w:spacing w:before="0" w:after="0" w:line="277" w:lineRule="auto"/>
              <w:ind w:left="830" w:right="0" w:hanging="360"/>
              <w:jc w:val="left"/>
            </w:pPr>
            <w:r>
              <w:rPr>
                <w:sz w:val="18"/>
              </w:rPr>
              <w:t xml:space="preserve">Support data analysis at the local level to be fed into national level policy making processes </w:t>
            </w:r>
            <w:r>
              <w:rPr>
                <w:rFonts w:cs="Cambria" w:hAnsi="Cambria" w:eastAsia="Cambria" w:ascii="Cambria"/>
                <w:i w:val="1"/>
                <w:sz w:val="18"/>
              </w:rPr>
              <w:t xml:space="preserve">(link with 1.1.1).</w:t>
            </w:r>
            <w:r>
              <w:rPr>
                <w:sz w:val="18"/>
              </w:rPr>
              <w:t xml:space="preserve"> </w:t>
            </w:r>
          </w:p>
          <w:p>
            <w:pPr>
              <w:numPr>
                <w:ilvl w:val="0"/>
                <w:numId w:val="39"/>
              </w:numPr>
              <w:spacing w:before="0" w:after="15" w:line="277" w:lineRule="auto"/>
              <w:ind w:left="830" w:right="0" w:hanging="360"/>
              <w:jc w:val="left"/>
            </w:pPr>
            <w:r>
              <w:rPr>
                <w:sz w:val="18"/>
              </w:rPr>
              <w:t xml:space="preserve">Strengthen capacity and mechanisms of local level stakeholders to interact with national level ministries.</w:t>
            </w:r>
            <w:r>
              <w:rPr>
                <w:sz w:val="18"/>
              </w:rPr>
              <w:t xml:space="preserve"> </w:t>
            </w:r>
          </w:p>
          <w:p>
            <w:pPr>
              <w:spacing w:before="0" w:after="16" w:line="259" w:lineRule="auto"/>
              <w:ind w:left="110" w:right="0" w:firstLine="0"/>
              <w:jc w:val="left"/>
            </w:pPr>
            <w:r>
              <w:rPr>
                <w:sz w:val="20"/>
              </w:rPr>
              <w:t xml:space="preserve"> </w:t>
            </w:r>
          </w:p>
          <w:p>
            <w:pPr>
              <w:spacing w:before="0" w:after="0" w:line="259" w:lineRule="auto"/>
              <w:ind w:left="110" w:right="0" w:firstLine="0"/>
              <w:jc w:val="left"/>
            </w:pPr>
            <w:r>
              <w:rPr>
                <w:sz w:val="20"/>
              </w:rPr>
              <w:t xml:space="preserve"> </w:t>
            </w:r>
          </w:p>
        </w:tc>
      </w:tr>
      <w:tr>
        <w:trPr>
          <w:trHeight w:val="1051" w:hRule="atLeast"/>
        </w:trPr>
        <w:tc>
          <w:tcPr>
            <w:tcW w:w="3634" w:type="dxa"/>
            <w:gridSpan w:val="2"/>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Quality Criteria</w:t>
            </w:r>
            <w:r>
              <w:rPr>
                <w:rFonts w:cs="Cambria" w:hAnsi="Cambria" w:eastAsia="Cambria" w:ascii="Cambria"/>
                <w:b w:val="1"/>
                <w:sz w:val="20"/>
              </w:rPr>
              <w:t xml:space="preserve"> </w:t>
            </w:r>
          </w:p>
          <w:p>
            <w:pPr>
              <w:spacing w:before="0" w:after="0" w:line="259" w:lineRule="auto"/>
              <w:ind w:left="115" w:right="0" w:firstLine="0"/>
            </w:pPr>
            <w:r>
              <w:rPr>
                <w:rFonts w:cs="Cambria" w:hAnsi="Cambria" w:eastAsia="Cambria" w:ascii="Cambria"/>
                <w:i w:val="1"/>
                <w:sz w:val="18"/>
              </w:rPr>
              <w:t xml:space="preserve">How/with what indicators the quality of the activity result will</w:t>
            </w:r>
            <w:r>
              <w:rPr>
                <w:rFonts w:cs="Cambria" w:hAnsi="Cambria" w:eastAsia="Cambria" w:ascii="Cambria"/>
                <w:i w:val="1"/>
                <w:sz w:val="18"/>
              </w:rPr>
              <w:t xml:space="preserve"> </w:t>
            </w:r>
            <w:r>
              <w:rPr>
                <w:rFonts w:cs="Cambria" w:hAnsi="Cambria" w:eastAsia="Cambria" w:ascii="Cambria"/>
                <w:i w:val="1"/>
                <w:sz w:val="18"/>
              </w:rPr>
              <w:t xml:space="preserve">be measured?</w:t>
            </w:r>
            <w:r>
              <w:rPr>
                <w:sz w:val="18"/>
              </w:rPr>
              <w:t xml:space="preserve"> </w:t>
            </w:r>
          </w:p>
        </w:tc>
        <w:tc>
          <w:tcPr>
            <w:tcW w:w="3509" w:type="dxa"/>
            <w:gridSpan w:val="3"/>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Quality Method</w:t>
            </w:r>
            <w:r>
              <w:rPr>
                <w:rFonts w:cs="Cambria" w:hAnsi="Cambria" w:eastAsia="Cambria" w:ascii="Cambria"/>
                <w:b w:val="1"/>
                <w:sz w:val="20"/>
              </w:rPr>
              <w:t xml:space="preserve"> </w:t>
            </w:r>
          </w:p>
          <w:p>
            <w:pPr>
              <w:spacing w:before="0" w:after="0" w:line="259" w:lineRule="auto"/>
              <w:ind w:left="115" w:right="10" w:firstLine="0"/>
              <w:jc w:val="left"/>
            </w:pPr>
            <w:r>
              <w:rPr>
                <w:rFonts w:cs="Cambria" w:hAnsi="Cambria" w:eastAsia="Cambria" w:ascii="Cambria"/>
                <w:i w:val="1"/>
                <w:sz w:val="18"/>
              </w:rPr>
              <w:t xml:space="preserve">Means of verification. What method will be used to determine if quality criteria has been met?</w:t>
            </w:r>
            <w:r>
              <w:rPr>
                <w:sz w:val="18"/>
              </w:rPr>
              <w:t xml:space="preserve"> </w:t>
            </w:r>
          </w:p>
        </w:tc>
        <w:tc>
          <w:tcPr>
            <w:tcW w:w="2242"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rFonts w:cs="Cambria" w:hAnsi="Cambria" w:eastAsia="Cambria" w:ascii="Cambria"/>
                <w:b w:val="1"/>
                <w:sz w:val="20"/>
              </w:rPr>
              <w:t xml:space="preserve">Date of Assessment</w:t>
            </w:r>
            <w:r>
              <w:rPr>
                <w:rFonts w:cs="Cambria" w:hAnsi="Cambria" w:eastAsia="Cambria" w:ascii="Cambria"/>
                <w:b w:val="1"/>
                <w:sz w:val="20"/>
              </w:rPr>
              <w:t xml:space="preserve"> </w:t>
            </w:r>
          </w:p>
          <w:p>
            <w:pPr>
              <w:spacing w:before="0" w:after="0" w:line="259" w:lineRule="auto"/>
              <w:ind w:left="115" w:right="0" w:firstLine="0"/>
            </w:pPr>
            <w:r>
              <w:rPr>
                <w:rFonts w:cs="Cambria" w:hAnsi="Cambria" w:eastAsia="Cambria" w:ascii="Cambria"/>
                <w:i w:val="1"/>
                <w:sz w:val="18"/>
              </w:rPr>
              <w:t xml:space="preserve">When will the assessment of quality be performed?</w:t>
            </w:r>
            <w:r>
              <w:rPr>
                <w:rFonts w:cs="Cambria" w:hAnsi="Cambria" w:eastAsia="Cambria" w:ascii="Cambria"/>
                <w:i w:val="1"/>
                <w:sz w:val="18"/>
              </w:rPr>
              <w:t xml:space="preserve"> </w:t>
            </w:r>
          </w:p>
        </w:tc>
      </w:tr>
    </w:tbl>
    <w:tbl>
      <w:tblPr>
        <w:tblStyle w:val="TableGrid"/>
        <w:tblW w:w="9384" w:type="dxa"/>
        <w:tblInd w:w="-115" w:type="dxa"/>
        <w:tblCellMar>
          <w:top w:w="34" w:type="dxa"/>
          <w:left w:w="0" w:type="dxa"/>
          <w:bottom w:w="0" w:type="dxa"/>
          <w:right w:w="37" w:type="dxa"/>
        </w:tblCellMar>
      </w:tblPr>
      <w:tblGrid>
        <w:gridCol w:w="3634"/>
        <w:gridCol w:w="3509"/>
        <w:gridCol w:w="1185"/>
        <w:gridCol w:w="1056"/>
      </w:tblGrid>
      <w:tr>
        <w:trPr>
          <w:trHeight w:val="864" w:hRule="atLeast"/>
        </w:trPr>
        <w:tc>
          <w:tcPr>
            <w:tcW w:w="3634"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20"/>
              </w:rPr>
              <w:t xml:space="preserve">Support visits conducted</w:t>
            </w:r>
            <w:r>
              <w:rPr>
                <w:sz w:val="20"/>
              </w:rPr>
              <w:t xml:space="preserve"> </w:t>
            </w:r>
          </w:p>
        </w:tc>
        <w:tc>
          <w:tcPr>
            <w:tcW w:w="3509" w:type="dxa"/>
            <w:tcBorders>
              <w:top w:val="single" w:sz="4" w:color="000000"/>
              <w:left w:val="single" w:sz="4" w:color="000000"/>
              <w:bottom w:val="single" w:sz="4" w:color="000000"/>
              <w:right w:val="single" w:sz="4" w:color="000000"/>
            </w:tcBorders>
            <w:vAlign w:val="top"/>
          </w:tcPr>
          <w:p>
            <w:pPr>
              <w:spacing w:before="0" w:after="0" w:line="259" w:lineRule="auto"/>
              <w:ind w:left="115" w:right="47" w:firstLine="0"/>
            </w:pPr>
            <w:r>
              <w:rPr>
                <w:sz w:val="20"/>
              </w:rPr>
              <w:t xml:space="preserve">Monitoring visit Reports including TA given and recommendations followed up</w:t>
            </w:r>
            <w:r>
              <w:rPr>
                <w:sz w:val="20"/>
              </w:rPr>
              <w:t xml:space="preserve"> </w:t>
            </w:r>
          </w:p>
        </w:tc>
        <w:tc>
          <w:tcPr>
            <w:tcW w:w="1185" w:type="dxa"/>
            <w:tcBorders>
              <w:top w:val="single" w:sz="4" w:color="000000"/>
              <w:left w:val="single" w:sz="4" w:color="000000"/>
              <w:bottom w:val="single" w:sz="4" w:color="000000"/>
              <w:right w:val="nil"/>
            </w:tcBorders>
            <w:vAlign w:val="top"/>
          </w:tcPr>
          <w:p>
            <w:pPr>
              <w:spacing w:before="0" w:after="0" w:line="259" w:lineRule="auto"/>
              <w:ind w:left="115" w:right="0" w:firstLine="0"/>
              <w:jc w:val="left"/>
            </w:pPr>
            <w:r>
              <w:rPr>
                <w:sz w:val="20"/>
              </w:rPr>
              <w:t xml:space="preserve">Quarterly, annually</w:t>
            </w:r>
            <w:r>
              <w:rPr>
                <w:sz w:val="20"/>
              </w:rPr>
              <w:t xml:space="preserve"> </w:t>
            </w:r>
          </w:p>
        </w:tc>
        <w:tc>
          <w:tcPr>
            <w:tcW w:w="1056" w:type="dxa"/>
            <w:tcBorders>
              <w:top w:val="single" w:sz="4" w:color="000000"/>
              <w:left w:val="nil"/>
              <w:bottom w:val="single" w:sz="4" w:color="000000"/>
              <w:right w:val="single" w:sz="4" w:color="000000"/>
            </w:tcBorders>
            <w:vAlign w:val="top"/>
          </w:tcPr>
          <w:p>
            <w:pPr>
              <w:spacing w:before="0" w:after="0" w:line="259" w:lineRule="auto"/>
              <w:ind w:left="0" w:right="0" w:firstLine="0"/>
            </w:pPr>
            <w:r>
              <w:rPr>
                <w:sz w:val="20"/>
              </w:rPr>
              <w:t xml:space="preserve">biannually, </w:t>
            </w:r>
          </w:p>
        </w:tc>
      </w:tr>
      <w:tr>
        <w:trPr>
          <w:trHeight w:val="590" w:hRule="atLeast"/>
        </w:trPr>
        <w:tc>
          <w:tcPr>
            <w:tcW w:w="3634"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18"/>
              </w:rPr>
              <w:t xml:space="preserve">Local Governments office fully equipped</w:t>
            </w:r>
            <w:r>
              <w:rPr>
                <w:sz w:val="22"/>
              </w:rPr>
              <w:t xml:space="preserve"> </w:t>
            </w:r>
          </w:p>
          <w:p>
            <w:pPr>
              <w:spacing w:before="0" w:after="0" w:line="259" w:lineRule="auto"/>
              <w:ind w:left="115" w:right="0" w:firstLine="0"/>
              <w:jc w:val="left"/>
            </w:pPr>
            <w:r>
              <w:rPr>
                <w:sz w:val="20"/>
              </w:rPr>
              <w:t xml:space="preserve"> </w:t>
            </w:r>
          </w:p>
        </w:tc>
        <w:tc>
          <w:tcPr>
            <w:tcW w:w="3509" w:type="dxa"/>
            <w:tcBorders>
              <w:top w:val="single" w:sz="4" w:color="000000"/>
              <w:left w:val="single" w:sz="4" w:color="000000"/>
              <w:bottom w:val="single" w:sz="4" w:color="000000"/>
              <w:right w:val="single" w:sz="4" w:color="000000"/>
            </w:tcBorders>
            <w:vAlign w:val="top"/>
          </w:tcPr>
          <w:p>
            <w:pPr>
              <w:spacing w:before="0" w:after="0" w:line="259" w:lineRule="auto"/>
              <w:ind w:left="115" w:right="0" w:firstLine="0"/>
              <w:jc w:val="left"/>
            </w:pPr>
            <w:r>
              <w:rPr>
                <w:sz w:val="20"/>
              </w:rPr>
              <w:t xml:space="preserve">Updated Asset register</w:t>
            </w:r>
            <w:r>
              <w:rPr>
                <w:sz w:val="20"/>
              </w:rPr>
              <w:t xml:space="preserve"> </w:t>
            </w:r>
          </w:p>
        </w:tc>
        <w:tc>
          <w:tcPr>
            <w:tcW w:w="1185" w:type="dxa"/>
            <w:tcBorders>
              <w:top w:val="single" w:sz="4" w:color="000000"/>
              <w:left w:val="single" w:sz="4" w:color="000000"/>
              <w:bottom w:val="single" w:sz="4" w:color="000000"/>
              <w:right w:val="nil"/>
            </w:tcBorders>
            <w:vAlign w:val="top"/>
          </w:tcPr>
          <w:p>
            <w:pPr>
              <w:spacing w:before="0" w:after="0" w:line="259" w:lineRule="auto"/>
              <w:ind w:left="115" w:right="0" w:firstLine="0"/>
              <w:jc w:val="left"/>
            </w:pPr>
            <w:r>
              <w:rPr>
                <w:sz w:val="20"/>
              </w:rPr>
              <w:t xml:space="preserve">Quarterly, annually</w:t>
            </w:r>
            <w:r>
              <w:rPr>
                <w:sz w:val="20"/>
              </w:rPr>
              <w:t xml:space="preserve"> </w:t>
            </w:r>
          </w:p>
        </w:tc>
        <w:tc>
          <w:tcPr>
            <w:tcW w:w="1056" w:type="dxa"/>
            <w:tcBorders>
              <w:top w:val="single" w:sz="4" w:color="000000"/>
              <w:left w:val="nil"/>
              <w:bottom w:val="single" w:sz="4" w:color="000000"/>
              <w:right w:val="single" w:sz="4" w:color="000000"/>
            </w:tcBorders>
            <w:vAlign w:val="top"/>
          </w:tcPr>
          <w:p>
            <w:pPr>
              <w:spacing w:before="0" w:after="0" w:line="259" w:lineRule="auto"/>
              <w:ind w:left="0" w:right="0" w:firstLine="0"/>
            </w:pPr>
            <w:r>
              <w:rPr>
                <w:sz w:val="20"/>
              </w:rPr>
              <w:t xml:space="preserve">biannually, </w:t>
            </w:r>
          </w:p>
        </w:tc>
      </w:tr>
    </w:tbl>
    <w:p>
      <w:pPr>
        <w:spacing w:before="0" w:after="0" w:line="259" w:lineRule="auto"/>
        <w:ind w:left="0" w:right="0" w:firstLine="0"/>
      </w:pPr>
      <w:r>
        <w:rPr>
          <w:sz w:val="22"/>
        </w:rPr>
        <w:t xml:space="preserve"> 	 </w:t>
      </w:r>
      <w:r>
        <w:br w:type="page"/>
      </w:r>
    </w:p>
    <w:p>
      <w:pPr>
        <w:pStyle w:val="heading1"/>
        <w:tabs>
          <w:tab w:val="center" w:pos="1638"/>
        </w:tabs>
        <w:spacing w:before="0" w:after="100" w:line="259" w:lineRule="auto"/>
        <w:ind w:left="-15" w:firstLine="0"/>
      </w:pPr>
      <w:bookmarkStart w:id="179055" w:name="_Toc179055"/>
      <w:r>
        <w:rPr/>
        <w:t xml:space="preserve">8</w:t>
      </w:r>
      <w:r>
        <w:rPr>
          <w:rFonts w:cs="Arial" w:hAnsi="Arial" w:eastAsia="Arial" w:ascii="Arial"/>
        </w:rPr>
        <w:t xml:space="preserve"> 	</w:t>
      </w:r>
      <w:r>
        <w:rPr/>
        <w:t xml:space="preserve">Legal Context</w:t>
      </w:r>
      <w:r>
        <w:rPr/>
        <w:t xml:space="preserve"> </w:t>
      </w:r>
      <w:bookmarkEnd w:id="179055"/>
    </w:p>
    <w:p>
      <w:pPr>
        <w:spacing w:before="0" w:after="0" w:line="248" w:lineRule="auto"/>
        <w:ind w:left="-5" w:right="0"/>
      </w:pPr>
      <w:r>
        <w:rPr>
          <w:sz w:val="22"/>
        </w:rPr>
        <w:t xml:space="preserve">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r>
        <w:rPr>
          <w:sz w:val="22"/>
        </w:rPr>
        <w:t xml:space="preserve"> </w:t>
      </w:r>
    </w:p>
    <w:p>
      <w:pPr>
        <w:numPr>
          <w:ilvl w:val="0"/>
          <w:numId w:val="8"/>
        </w:numPr>
        <w:spacing w:before="0" w:after="0" w:line="248" w:lineRule="auto"/>
        <w:ind w:left="360" w:right="0" w:hanging="360"/>
      </w:pPr>
      <w:r>
        <w:rPr>
          <w:sz w:val="22"/>
        </w:rPr>
        <w:t xml:space="preserve">put in place an appropriate security plan and maintain the security plan, taking into account the security situation in the country where the project is being carried;</w:t>
      </w:r>
      <w:r>
        <w:rPr>
          <w:sz w:val="22"/>
        </w:rPr>
        <w:t xml:space="preserve"> </w:t>
      </w:r>
    </w:p>
    <w:p>
      <w:pPr>
        <w:numPr>
          <w:ilvl w:val="0"/>
          <w:numId w:val="8"/>
        </w:numPr>
        <w:spacing w:before="0" w:after="0" w:line="248" w:lineRule="auto"/>
        <w:ind w:left="360" w:right="0" w:hanging="360"/>
      </w:pPr>
      <w:r>
        <w:rPr>
          <w:sz w:val="22"/>
        </w:rPr>
        <w:t xml:space="preserve">Assume</w:t>
      </w:r>
      <w:r>
        <w:rPr>
          <w:sz w:val="22"/>
        </w:rPr>
        <w:t xml:space="preserve"> </w:t>
      </w:r>
      <w:r>
        <w:rPr>
          <w:sz w:val="22"/>
        </w:rPr>
        <w:t xml:space="preserve">all risks and liabilities related to the implementing partner’s security, and the full implementation of the security plan.</w:t>
      </w:r>
      <w:r>
        <w:rPr>
          <w:sz w:val="22"/>
        </w:rPr>
        <w:t xml:space="preserve"> </w:t>
      </w:r>
    </w:p>
    <w:p>
      <w:pPr>
        <w:spacing w:before="0" w:after="0" w:line="259" w:lineRule="auto"/>
        <w:ind w:left="0" w:right="0" w:firstLine="0"/>
        <w:jc w:val="left"/>
      </w:pPr>
      <w:r>
        <w:rPr>
          <w:sz w:val="22"/>
        </w:rPr>
        <w:t xml:space="preserve"> </w:t>
      </w:r>
    </w:p>
    <w:p>
      <w:pPr>
        <w:spacing w:before="0" w:after="14" w:line="248" w:lineRule="auto"/>
        <w:ind w:left="-5" w:right="0"/>
      </w:pPr>
      <w:r>
        <w:rPr>
          <w:rFonts w:cs="Calibri" w:hAnsi="Calibri" w:eastAsia="Calibri" w:ascii="Calibri"/>
          <w:sz w:val="22"/>
        </w:rPr>
        <w:drawing>
          <wp:anchor simplePos="0" relativeHeight="0" locked="0" layoutInCell="1" allowOverlap="1" behindDoc="0">
            <wp:simplePos x="0" y="0"/>
            <wp:positionH relativeFrom="page">
              <wp:posOffset>896112</wp:posOffset>
            </wp:positionH>
            <wp:positionV relativeFrom="page">
              <wp:posOffset>914400</wp:posOffset>
            </wp:positionV>
            <wp:extent cx="5980176" cy="6096"/>
            <wp:wrapTopAndBottom/>
            <wp:docPr id="170860" name="Group 170860"/>
            <wp:cNvGraphicFramePr/>
            <a:graphic>
              <a:graphicData uri="http://schemas.microsoft.com/office/word/2010/wordprocessingGroup">
                <wpg:wgp>
                  <wpg:cNvGrpSpPr/>
                  <wpg:grpSpPr>
                    <a:xfrm>
                      <a:off x="0" y="0"/>
                      <a:ext cx="5980176" cy="6096"/>
                      <a:chOff x="0" y="0"/>
                      <a:chExt cx="5980176" cy="6096"/>
                    </a:xfrm>
                  </wpg:grpSpPr>
                  <wps:wsp>
                    <wps:cNvPr id="180738" name="Shape 180738"/>
                    <wps:cNvSpPr/>
                    <wps:spPr>
                      <a:xfrm>
                        <a:off x="0" y="0"/>
                        <a:ext cx="5980176" cy="9144"/>
                      </a:xfrm>
                      <a:custGeom>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w:r>
      <w:r>
        <w:rPr>
          <w:sz w:val="22"/>
        </w:rPr>
        <w:t xml:space="preserve">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 [and the Project Cooperation Agreement between UNDP and the Implementing Partner]</w:t>
      </w:r>
      <w:r>
        <w:rPr>
          <w:sz w:val="22"/>
          <w:vertAlign w:val="superscript"/>
        </w:rPr>
        <w:footnoteReference w:id="67"/>
      </w:r>
      <w:r>
        <w:rPr>
          <w:sz w:val="22"/>
        </w:rPr>
        <w:t xml:space="preserve">.</w:t>
      </w:r>
      <w:r>
        <w:rPr>
          <w:sz w:val="22"/>
        </w:rPr>
        <w:t xml:space="preserve"> </w:t>
      </w:r>
    </w:p>
    <w:p>
      <w:pPr>
        <w:spacing w:before="0" w:after="0" w:line="259" w:lineRule="auto"/>
        <w:ind w:left="0" w:right="0" w:firstLine="0"/>
        <w:jc w:val="left"/>
      </w:pPr>
      <w:r>
        <w:rPr>
          <w:sz w:val="22"/>
        </w:rPr>
        <w:t xml:space="preserve"> </w:t>
      </w:r>
    </w:p>
    <w:p>
      <w:pPr>
        <w:spacing w:before="0" w:after="0" w:line="248" w:lineRule="auto"/>
        <w:ind w:left="-5" w:right="0"/>
      </w:pPr>
      <w:r>
        <w:rPr>
          <w:sz w:val="22"/>
        </w:rPr>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r>
        <w:rPr>
          <w:color w:val="0000ff"/>
          <w:sz w:val="22"/>
          <w:u w:val="single" w:color="0000ff"/>
        </w:rPr>
        <w:t xml:space="preserve">http://www.un.org/Docs/sc/committees/1267/1267ListEng.htm</w:t>
      </w:r>
      <w:r>
        <w:rPr>
          <w:color w:val="000080"/>
          <w:sz w:val="22"/>
        </w:rPr>
        <w:t xml:space="preserve">. </w:t>
      </w:r>
      <w:r>
        <w:rPr>
          <w:sz w:val="22"/>
        </w:rPr>
        <w:t xml:space="preserve">This provision must be included in all sub</w:t>
      </w:r>
      <w:r>
        <w:rPr>
          <w:sz w:val="22"/>
        </w:rPr>
        <w:t xml:space="preserve">-</w:t>
      </w:r>
      <w:r>
        <w:rPr>
          <w:sz w:val="22"/>
        </w:rPr>
        <w:t xml:space="preserve">contracts or sub</w:t>
      </w:r>
      <w:r>
        <w:rPr>
          <w:sz w:val="22"/>
        </w:rPr>
        <w:t xml:space="preserve">-</w:t>
      </w:r>
      <w:r>
        <w:rPr>
          <w:sz w:val="22"/>
        </w:rPr>
        <w:t xml:space="preserve">agreements entered into under/further to this Project Document”.</w:t>
      </w:r>
      <w:r>
        <w:rPr>
          <w:sz w:val="22"/>
        </w:rPr>
        <w:t xml:space="preserve"> </w:t>
      </w:r>
    </w:p>
    <w:p>
      <w:pPr>
        <w:spacing w:before="0" w:after="0" w:line="259" w:lineRule="auto"/>
        <w:ind w:left="0" w:right="0" w:firstLine="0"/>
        <w:jc w:val="left"/>
      </w:pPr>
      <w:r>
        <w:rPr>
          <w:sz w:val="22"/>
        </w:rPr>
        <w:t xml:space="preserve"> 	 </w:t>
      </w:r>
    </w:p>
    <w:p>
      <w:pPr>
        <w:spacing w:before="0" w:after="120" w:line="259" w:lineRule="auto"/>
        <w:ind w:left="0" w:right="0" w:firstLine="0"/>
        <w:jc w:val="left"/>
      </w:pPr>
      <w:r>
        <w:rPr>
          <w:sz w:val="22"/>
        </w:rPr>
        <w:t xml:space="preserve"> </w:t>
      </w:r>
    </w:p>
    <w:p>
      <w:pPr>
        <w:pStyle w:val="heading1"/>
        <w:tabs>
          <w:tab w:val="center" w:pos="1333"/>
        </w:tabs>
        <w:spacing w:before="0" w:after="29" w:line="259" w:lineRule="auto"/>
        <w:ind w:left="-15" w:firstLine="0"/>
      </w:pPr>
      <w:bookmarkStart w:id="179056" w:name="_Toc179056"/>
      <w:r>
        <w:rPr/>
        <w:t xml:space="preserve">9</w:t>
      </w:r>
      <w:r>
        <w:rPr>
          <w:rFonts w:cs="Arial" w:hAnsi="Arial" w:eastAsia="Arial" w:ascii="Arial"/>
        </w:rPr>
        <w:t xml:space="preserve"> 	</w:t>
      </w:r>
      <w:r>
        <w:rPr/>
        <w:t xml:space="preserve">ANNEXES</w:t>
      </w:r>
      <w:r>
        <w:rPr/>
        <w:t xml:space="preserve"> </w:t>
      </w:r>
      <w:bookmarkEnd w:id="179056"/>
    </w:p>
    <w:p>
      <w:pPr>
        <w:pStyle w:val="heading1"/>
        <w:spacing w:before="0" w:after="0" w:line="259" w:lineRule="auto"/>
        <w:ind w:left="-5"/>
      </w:pPr>
      <w:bookmarkStart w:id="179057" w:name="_Toc179057"/>
      <w:r>
        <w:rPr/>
        <w:t xml:space="preserve">Risk Management Matrix</w:t>
      </w:r>
      <w:r>
        <w:rPr/>
        <w:t xml:space="preserve"> </w:t>
      </w:r>
      <w:bookmarkEnd w:id="179057"/>
    </w:p>
    <w:p>
      <w:pPr>
        <w:spacing w:before="0" w:after="0" w:line="259" w:lineRule="auto"/>
        <w:ind w:left="0" w:right="0" w:firstLine="0"/>
        <w:jc w:val="left"/>
      </w:pPr>
      <w:r>
        <w:rPr>
          <w:sz w:val="22"/>
        </w:rPr>
        <w:t xml:space="preserve"> </w:t>
      </w:r>
    </w:p>
    <w:tbl>
      <w:tblPr>
        <w:tblStyle w:val="TableGrid"/>
        <w:tblW w:w="10349" w:type="dxa"/>
        <w:tblInd w:w="-1259" w:type="dxa"/>
        <w:tblCellMar>
          <w:top w:w="38" w:type="dxa"/>
          <w:left w:w="4" w:type="dxa"/>
          <w:bottom w:w="0" w:type="dxa"/>
          <w:right w:w="61" w:type="dxa"/>
        </w:tblCellMar>
      </w:tblPr>
      <w:tblGrid>
        <w:gridCol w:w="1528"/>
        <w:gridCol w:w="1570"/>
        <w:gridCol w:w="998"/>
        <w:gridCol w:w="1416"/>
        <w:gridCol w:w="2947"/>
        <w:gridCol w:w="1890"/>
      </w:tblGrid>
      <w:tr>
        <w:trPr>
          <w:trHeight w:val="901" w:hRule="atLeast"/>
        </w:trPr>
        <w:tc>
          <w:tcPr>
            <w:tcW w:w="1528" w:type="dxa"/>
            <w:tcBorders>
              <w:top w:val="single" w:sz="4" w:color="ffffff"/>
              <w:left w:val="single" w:sz="4" w:color="333333"/>
              <w:bottom w:val="single" w:sz="4" w:color="000000"/>
              <w:right w:val="single" w:sz="4" w:color="ffffff"/>
            </w:tcBorders>
            <w:shd w:val="clear" w:fill="000080"/>
            <w:vAlign w:val="center"/>
          </w:tcPr>
          <w:p>
            <w:pPr>
              <w:spacing w:before="0" w:after="0" w:line="259" w:lineRule="auto"/>
              <w:ind w:left="328" w:right="0" w:firstLine="0"/>
              <w:jc w:val="left"/>
            </w:pPr>
            <w:r>
              <w:rPr>
                <w:rFonts w:cs="Cambria" w:hAnsi="Cambria" w:eastAsia="Cambria" w:ascii="Cambria"/>
                <w:b w:val="1"/>
                <w:color w:val="ffffff"/>
                <w:sz w:val="22"/>
              </w:rPr>
              <w:t xml:space="preserve">Area</w:t>
            </w:r>
            <w:r>
              <w:rPr>
                <w:rFonts w:cs="Cambria" w:hAnsi="Cambria" w:eastAsia="Cambria" w:ascii="Cambria"/>
                <w:b w:val="1"/>
                <w:color w:val="ffffff"/>
                <w:sz w:val="22"/>
              </w:rPr>
              <w:t xml:space="preserve"> </w:t>
            </w:r>
          </w:p>
        </w:tc>
        <w:tc>
          <w:tcPr>
            <w:tcW w:w="2568" w:type="dxa"/>
            <w:gridSpan w:val="2"/>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135" w:right="0" w:firstLine="0"/>
              <w:jc w:val="left"/>
            </w:pPr>
            <w:r>
              <w:rPr>
                <w:rFonts w:cs="Cambria" w:hAnsi="Cambria" w:eastAsia="Cambria" w:ascii="Cambria"/>
                <w:b w:val="1"/>
                <w:color w:val="ffffff"/>
                <w:sz w:val="22"/>
              </w:rPr>
              <w:t xml:space="preserve">Conflict/Disaster/Risk</w:t>
            </w:r>
            <w:r>
              <w:rPr>
                <w:rFonts w:cs="Cambria" w:hAnsi="Cambria" w:eastAsia="Cambria" w:ascii="Cambria"/>
                <w:b w:val="1"/>
                <w:color w:val="ffffff"/>
                <w:sz w:val="22"/>
              </w:rPr>
              <w:t xml:space="preserve"> </w:t>
            </w:r>
          </w:p>
        </w:tc>
        <w:tc>
          <w:tcPr>
            <w:tcW w:w="1416"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130" w:right="0" w:hanging="29"/>
              <w:jc w:val="left"/>
            </w:pPr>
            <w:r>
              <w:rPr>
                <w:rFonts w:cs="Cambria" w:hAnsi="Cambria" w:eastAsia="Cambria" w:ascii="Cambria"/>
                <w:b w:val="1"/>
                <w:color w:val="ffffff"/>
                <w:sz w:val="22"/>
              </w:rPr>
              <w:t xml:space="preserve">Impact &amp;</w:t>
            </w:r>
            <w:r>
              <w:rPr>
                <w:rFonts w:cs="Cambria" w:hAnsi="Cambria" w:eastAsia="Cambria" w:ascii="Cambria"/>
                <w:b w:val="1"/>
                <w:color w:val="ffffff"/>
                <w:sz w:val="22"/>
              </w:rPr>
              <w:t xml:space="preserve"> </w:t>
            </w:r>
            <w:r>
              <w:rPr>
                <w:rFonts w:cs="Cambria" w:hAnsi="Cambria" w:eastAsia="Cambria" w:ascii="Cambria"/>
                <w:b w:val="1"/>
                <w:color w:val="ffffff"/>
                <w:sz w:val="22"/>
              </w:rPr>
              <w:t xml:space="preserve">Probability</w:t>
            </w:r>
            <w:r>
              <w:rPr>
                <w:rFonts w:cs="Cambria" w:hAnsi="Cambria" w:eastAsia="Cambria" w:ascii="Cambria"/>
                <w:b w:val="1"/>
                <w:color w:val="ffffff"/>
                <w:sz w:val="22"/>
              </w:rPr>
              <w:t xml:space="preserve"> </w:t>
            </w:r>
          </w:p>
        </w:tc>
        <w:tc>
          <w:tcPr>
            <w:tcW w:w="2947"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57" w:right="0" w:firstLine="0"/>
              <w:jc w:val="center"/>
            </w:pPr>
            <w:r>
              <w:rPr>
                <w:rFonts w:cs="Cambria" w:hAnsi="Cambria" w:eastAsia="Cambria" w:ascii="Cambria"/>
                <w:b w:val="1"/>
                <w:color w:val="ffffff"/>
                <w:sz w:val="22"/>
              </w:rPr>
              <w:t xml:space="preserve">Mitigation Measures</w:t>
            </w:r>
            <w:r>
              <w:rPr>
                <w:rFonts w:cs="Cambria" w:hAnsi="Cambria" w:eastAsia="Cambria" w:ascii="Cambria"/>
                <w:b w:val="1"/>
                <w:color w:val="ffffff"/>
                <w:sz w:val="22"/>
              </w:rPr>
              <w:t xml:space="preserve"> </w:t>
            </w:r>
          </w:p>
        </w:tc>
        <w:tc>
          <w:tcPr>
            <w:tcW w:w="1890" w:type="dxa"/>
            <w:tcBorders>
              <w:top w:val="single" w:sz="4" w:color="ffffff"/>
              <w:left w:val="single" w:sz="4" w:color="ffffff"/>
              <w:bottom w:val="single" w:sz="4" w:color="000000"/>
              <w:right w:val="single" w:sz="4" w:color="333333"/>
            </w:tcBorders>
            <w:shd w:val="clear" w:fill="000080"/>
            <w:vAlign w:val="top"/>
          </w:tcPr>
          <w:p>
            <w:pPr>
              <w:spacing w:before="0" w:after="16" w:line="259" w:lineRule="auto"/>
              <w:ind w:left="47" w:right="0" w:firstLine="0"/>
              <w:jc w:val="center"/>
            </w:pPr>
            <w:r>
              <w:rPr>
                <w:rFonts w:cs="Cambria" w:hAnsi="Cambria" w:eastAsia="Cambria" w:ascii="Cambria"/>
                <w:b w:val="1"/>
                <w:color w:val="ffffff"/>
                <w:sz w:val="22"/>
              </w:rPr>
              <w:t xml:space="preserve">Management </w:t>
            </w:r>
          </w:p>
          <w:p>
            <w:pPr>
              <w:spacing w:before="0" w:after="16" w:line="259" w:lineRule="auto"/>
              <w:ind w:left="53" w:right="0" w:firstLine="0"/>
              <w:jc w:val="center"/>
            </w:pPr>
            <w:r>
              <w:rPr>
                <w:rFonts w:cs="Cambria" w:hAnsi="Cambria" w:eastAsia="Cambria" w:ascii="Cambria"/>
                <w:b w:val="1"/>
                <w:color w:val="ffffff"/>
                <w:sz w:val="22"/>
              </w:rPr>
              <w:t xml:space="preserve">Options &amp; </w:t>
            </w:r>
          </w:p>
          <w:p>
            <w:pPr>
              <w:spacing w:before="0" w:after="0" w:line="259" w:lineRule="auto"/>
              <w:ind w:left="46" w:right="0" w:firstLine="0"/>
              <w:jc w:val="center"/>
            </w:pPr>
            <w:r>
              <w:rPr>
                <w:rFonts w:cs="Cambria" w:hAnsi="Cambria" w:eastAsia="Cambria" w:ascii="Cambria"/>
                <w:b w:val="1"/>
                <w:color w:val="ffffff"/>
                <w:sz w:val="22"/>
              </w:rPr>
              <w:t xml:space="preserve">Response</w:t>
            </w:r>
            <w:r>
              <w:rPr>
                <w:rFonts w:cs="Cambria" w:hAnsi="Cambria" w:eastAsia="Cambria" w:ascii="Cambria"/>
                <w:b w:val="1"/>
                <w:color w:val="ffffff"/>
                <w:sz w:val="22"/>
              </w:rPr>
              <w:t xml:space="preserve"> </w:t>
            </w:r>
          </w:p>
        </w:tc>
      </w:tr>
      <w:tr>
        <w:trPr>
          <w:trHeight w:val="4176"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16" w:line="259" w:lineRule="auto"/>
              <w:ind w:left="103" w:right="0" w:firstLine="0"/>
              <w:jc w:val="left"/>
            </w:pPr>
            <w:r>
              <w:rPr>
                <w:rFonts w:cs="Cambria" w:hAnsi="Cambria" w:eastAsia="Cambria" w:ascii="Cambria"/>
                <w:b w:val="1"/>
                <w:sz w:val="22"/>
              </w:rPr>
              <w:t xml:space="preserve">Political/ </w:t>
            </w:r>
          </w:p>
          <w:p>
            <w:pPr>
              <w:spacing w:before="0" w:after="0" w:line="259" w:lineRule="auto"/>
              <w:ind w:left="103" w:right="0" w:firstLine="0"/>
              <w:jc w:val="left"/>
            </w:pPr>
            <w:r>
              <w:rPr>
                <w:rFonts w:cs="Cambria" w:hAnsi="Cambria" w:eastAsia="Cambria" w:ascii="Cambria"/>
                <w:b w:val="1"/>
                <w:sz w:val="22"/>
              </w:rPr>
              <w:t xml:space="preserve">Insecurity </w:t>
            </w:r>
            <w:r>
              <w:rPr>
                <w:rFonts w:cs="Cambria" w:hAnsi="Cambria" w:eastAsia="Cambria" w:ascii="Cambria"/>
                <w:b w:val="1"/>
                <w:sz w:val="22"/>
              </w:rPr>
              <w:t xml:space="preserve"> </w:t>
            </w:r>
          </w:p>
        </w:tc>
        <w:tc>
          <w:tcPr>
            <w:tcW w:w="2568" w:type="dxa"/>
            <w:gridSpan w:val="2"/>
            <w:tcBorders>
              <w:top w:val="single" w:sz="4" w:color="000000"/>
              <w:left w:val="single" w:sz="4" w:color="000000"/>
              <w:bottom w:val="single" w:sz="4" w:color="000000"/>
              <w:right w:val="single" w:sz="4" w:color="000000"/>
            </w:tcBorders>
            <w:vAlign w:val="center"/>
          </w:tcPr>
          <w:p>
            <w:pPr>
              <w:numPr>
                <w:ilvl w:val="0"/>
                <w:numId w:val="40"/>
              </w:numPr>
              <w:spacing w:before="0" w:after="0" w:line="238" w:lineRule="auto"/>
              <w:ind w:left="360" w:right="217" w:hanging="182"/>
            </w:pPr>
            <w:r>
              <w:rPr>
                <w:sz w:val="22"/>
              </w:rPr>
              <w:t xml:space="preserve">Unpredictable security situation within the target area(s)</w:t>
            </w:r>
            <w:r>
              <w:rPr>
                <w:sz w:val="22"/>
              </w:rPr>
              <w:t xml:space="preserve"> </w:t>
            </w:r>
          </w:p>
          <w:p>
            <w:pPr>
              <w:numPr>
                <w:ilvl w:val="0"/>
                <w:numId w:val="40"/>
              </w:numPr>
              <w:spacing w:before="0" w:after="0" w:line="238" w:lineRule="auto"/>
              <w:ind w:left="360" w:right="217" w:hanging="182"/>
            </w:pPr>
            <w:r>
              <w:rPr>
                <w:sz w:val="22"/>
              </w:rPr>
              <w:t xml:space="preserve">A regional instability scenario that impact the country, increase </w:t>
            </w:r>
          </w:p>
          <w:p>
            <w:pPr>
              <w:spacing w:before="0" w:after="6" w:line="234" w:lineRule="auto"/>
              <w:ind w:left="361" w:right="0" w:firstLine="0"/>
              <w:jc w:val="left"/>
            </w:pPr>
            <w:r>
              <w:rPr>
                <w:sz w:val="22"/>
              </w:rPr>
              <w:t xml:space="preserve">division and armed conflict </w:t>
            </w:r>
            <w:r>
              <w:rPr>
                <w:sz w:val="22"/>
              </w:rPr>
              <w:t xml:space="preserve"> </w:t>
            </w:r>
          </w:p>
          <w:p>
            <w:pPr>
              <w:numPr>
                <w:ilvl w:val="0"/>
                <w:numId w:val="40"/>
              </w:numPr>
              <w:spacing w:before="0" w:after="0" w:line="259" w:lineRule="auto"/>
              <w:ind w:left="360" w:right="217" w:hanging="182"/>
            </w:pPr>
            <w:r>
              <w:rPr>
                <w:sz w:val="22"/>
              </w:rPr>
              <w:t xml:space="preserve">Increase arms trafficking and weak arms control</w:t>
            </w:r>
            <w:r>
              <w:rPr>
                <w:sz w:val="22"/>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16" w:line="259" w:lineRule="auto"/>
              <w:ind w:left="49" w:right="0" w:firstLine="0"/>
              <w:jc w:val="center"/>
            </w:pPr>
            <w:r>
              <w:rPr>
                <w:rFonts w:cs="Cambria" w:hAnsi="Cambria" w:eastAsia="Cambria" w:ascii="Cambria"/>
                <w:b w:val="1"/>
                <w:sz w:val="22"/>
              </w:rPr>
              <w:t xml:space="preserve">P 2</w:t>
            </w:r>
            <w:r>
              <w:rPr>
                <w:rFonts w:cs="Cambria" w:hAnsi="Cambria" w:eastAsia="Cambria" w:ascii="Cambria"/>
                <w:b w:val="1"/>
                <w:sz w:val="22"/>
              </w:rPr>
              <w:t xml:space="preserve"> </w:t>
            </w:r>
          </w:p>
          <w:p>
            <w:pPr>
              <w:spacing w:before="0" w:after="0" w:line="259" w:lineRule="auto"/>
              <w:ind w:left="49" w:right="0" w:firstLine="0"/>
              <w:jc w:val="center"/>
            </w:pPr>
            <w:r>
              <w:rPr>
                <w:rFonts w:cs="Cambria" w:hAnsi="Cambria" w:eastAsia="Cambria" w:ascii="Cambria"/>
                <w:b w:val="1"/>
                <w:sz w:val="22"/>
              </w:rPr>
              <w:t xml:space="preserve">I  4</w:t>
            </w:r>
            <w:r>
              <w:rPr>
                <w:rFonts w:cs="Cambria" w:hAnsi="Cambria" w:eastAsia="Cambria" w:ascii="Cambria"/>
                <w:b w:val="1"/>
                <w:sz w:val="22"/>
              </w:rPr>
              <w:t xml:space="preserve"> </w:t>
            </w:r>
          </w:p>
        </w:tc>
        <w:tc>
          <w:tcPr>
            <w:tcW w:w="2947" w:type="dxa"/>
            <w:tcBorders>
              <w:top w:val="single" w:sz="4" w:color="000000"/>
              <w:left w:val="single" w:sz="4" w:color="000000"/>
              <w:bottom w:val="single" w:sz="4" w:color="000000"/>
              <w:right w:val="single" w:sz="4" w:color="000000"/>
            </w:tcBorders>
            <w:vAlign w:val="top"/>
          </w:tcPr>
          <w:p>
            <w:pPr>
              <w:numPr>
                <w:ilvl w:val="0"/>
                <w:numId w:val="41"/>
              </w:numPr>
              <w:spacing w:before="0" w:after="2" w:line="237" w:lineRule="auto"/>
              <w:ind w:left="360" w:right="16" w:hanging="182"/>
            </w:pPr>
            <w:r>
              <w:rPr>
                <w:sz w:val="22"/>
              </w:rPr>
              <w:t xml:space="preserve">Continuous monitoring of the security situation will be undertaken and work plans</w:t>
            </w:r>
            <w:r>
              <w:rPr>
                <w:sz w:val="22"/>
              </w:rPr>
              <w:t xml:space="preserve"> </w:t>
            </w:r>
            <w:r>
              <w:rPr>
                <w:sz w:val="22"/>
              </w:rPr>
              <w:t xml:space="preserve">revised accordingly. In the case of serious worsening of situation, activities will be contained to safer areas.</w:t>
            </w:r>
            <w:r>
              <w:rPr>
                <w:sz w:val="22"/>
              </w:rPr>
              <w:t xml:space="preserve"> </w:t>
            </w:r>
          </w:p>
          <w:p>
            <w:pPr>
              <w:numPr>
                <w:ilvl w:val="0"/>
                <w:numId w:val="41"/>
              </w:numPr>
              <w:spacing w:before="0" w:after="0" w:line="237" w:lineRule="auto"/>
              <w:ind w:left="360" w:right="16" w:hanging="182"/>
            </w:pPr>
            <w:r>
              <w:rPr>
                <w:sz w:val="22"/>
              </w:rPr>
              <w:t xml:space="preserve">Support government apparatus towards community security, peaceful dispute resolution.</w:t>
            </w:r>
            <w:r>
              <w:rPr>
                <w:sz w:val="22"/>
              </w:rPr>
              <w:t xml:space="preserve"> </w:t>
            </w:r>
          </w:p>
          <w:p>
            <w:pPr>
              <w:numPr>
                <w:ilvl w:val="0"/>
                <w:numId w:val="41"/>
              </w:numPr>
              <w:spacing w:before="0" w:after="0" w:line="239" w:lineRule="auto"/>
              <w:ind w:left="360" w:right="16" w:hanging="182"/>
            </w:pPr>
            <w:r>
              <w:rPr>
                <w:sz w:val="22"/>
              </w:rPr>
              <w:t xml:space="preserve">Encourage continuous dialogues at the local level</w:t>
            </w:r>
            <w:r>
              <w:rPr>
                <w:sz w:val="22"/>
              </w:rPr>
              <w:t xml:space="preserve"> </w:t>
            </w:r>
          </w:p>
          <w:p>
            <w:pPr>
              <w:spacing w:before="0" w:after="0" w:line="259" w:lineRule="auto"/>
              <w:ind w:left="361" w:right="0" w:firstLine="0"/>
              <w:jc w:val="left"/>
            </w:pPr>
            <w:r>
              <w:rPr>
                <w:sz w:val="22"/>
              </w:rPr>
              <w:t xml:space="preserve"> </w:t>
            </w:r>
          </w:p>
        </w:tc>
        <w:tc>
          <w:tcPr>
            <w:tcW w:w="1890" w:type="dxa"/>
            <w:tcBorders>
              <w:top w:val="single" w:sz="4" w:color="000000"/>
              <w:left w:val="single" w:sz="4" w:color="000000"/>
              <w:bottom w:val="single" w:sz="4" w:color="000000"/>
              <w:right w:val="single" w:sz="4" w:color="000000"/>
            </w:tcBorders>
            <w:vAlign w:val="center"/>
          </w:tcPr>
          <w:p>
            <w:pPr>
              <w:numPr>
                <w:ilvl w:val="0"/>
                <w:numId w:val="42"/>
              </w:numPr>
              <w:spacing w:before="0" w:after="4" w:line="236" w:lineRule="auto"/>
              <w:ind w:left="423" w:right="0" w:hanging="182"/>
              <w:jc w:val="left"/>
            </w:pPr>
            <w:r>
              <w:rPr>
                <w:sz w:val="22"/>
              </w:rPr>
              <w:t xml:space="preserve">Scale down of project activities</w:t>
            </w:r>
            <w:r>
              <w:rPr>
                <w:sz w:val="22"/>
              </w:rPr>
              <w:t xml:space="preserve"> </w:t>
            </w:r>
          </w:p>
          <w:p>
            <w:pPr>
              <w:numPr>
                <w:ilvl w:val="0"/>
                <w:numId w:val="42"/>
              </w:numPr>
              <w:spacing w:before="0" w:after="1" w:line="237" w:lineRule="auto"/>
              <w:ind w:left="423" w:right="0" w:hanging="182"/>
              <w:jc w:val="left"/>
            </w:pPr>
            <w:r>
              <w:rPr>
                <w:sz w:val="22"/>
              </w:rPr>
              <w:t xml:space="preserve">In case of drastic change, UNDP will withhold any further support until acceptable level of stability is </w:t>
            </w:r>
          </w:p>
          <w:p>
            <w:pPr>
              <w:spacing w:before="0" w:after="0" w:line="259" w:lineRule="auto"/>
              <w:ind w:left="423" w:right="0" w:firstLine="0"/>
              <w:jc w:val="left"/>
            </w:pPr>
            <w:r>
              <w:rPr>
                <w:sz w:val="22"/>
              </w:rPr>
              <w:t xml:space="preserve">restored</w:t>
            </w:r>
            <w:r>
              <w:rPr>
                <w:sz w:val="22"/>
              </w:rPr>
              <w:t xml:space="preserve"> </w:t>
            </w:r>
          </w:p>
          <w:p>
            <w:pPr>
              <w:spacing w:before="0" w:after="16" w:line="259" w:lineRule="auto"/>
              <w:ind w:left="423" w:right="0" w:firstLine="0"/>
              <w:jc w:val="left"/>
            </w:pPr>
            <w:r>
              <w:rPr>
                <w:sz w:val="22"/>
              </w:rPr>
              <w:t xml:space="preserve"> </w:t>
            </w:r>
          </w:p>
          <w:p>
            <w:pPr>
              <w:spacing w:before="0" w:after="0" w:line="259" w:lineRule="auto"/>
              <w:ind w:left="423" w:right="0" w:firstLine="0"/>
              <w:jc w:val="left"/>
            </w:pPr>
            <w:r>
              <w:rPr>
                <w:sz w:val="22"/>
              </w:rPr>
              <w:t xml:space="preserve"> </w:t>
            </w:r>
          </w:p>
        </w:tc>
      </w:tr>
      <w:tr>
        <w:trPr>
          <w:trHeight w:val="4651"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0" w:line="259" w:lineRule="auto"/>
              <w:ind w:left="103" w:right="0" w:firstLine="0"/>
              <w:jc w:val="left"/>
            </w:pPr>
            <w:r>
              <w:rPr>
                <w:rFonts w:cs="Cambria" w:hAnsi="Cambria" w:eastAsia="Cambria" w:ascii="Cambria"/>
                <w:b w:val="1"/>
                <w:sz w:val="22"/>
              </w:rPr>
              <w:t xml:space="preserve">Financial</w:t>
            </w:r>
            <w:r>
              <w:rPr>
                <w:rFonts w:cs="Cambria" w:hAnsi="Cambria" w:eastAsia="Cambria" w:ascii="Cambria"/>
                <w:b w:val="1"/>
                <w:sz w:val="22"/>
              </w:rPr>
              <w:t xml:space="preserve"> </w:t>
            </w:r>
          </w:p>
        </w:tc>
        <w:tc>
          <w:tcPr>
            <w:tcW w:w="1570" w:type="dxa"/>
            <w:tcBorders>
              <w:top w:val="single" w:sz="4" w:color="000000"/>
              <w:left w:val="single" w:sz="4" w:color="000000"/>
              <w:bottom w:val="single" w:sz="4" w:color="000000"/>
              <w:right w:val="nil"/>
            </w:tcBorders>
            <w:vAlign w:val="top"/>
          </w:tcPr>
          <w:p>
            <w:pPr>
              <w:spacing w:before="0" w:after="46" w:line="239" w:lineRule="auto"/>
              <w:ind w:left="395" w:right="0" w:hanging="178"/>
            </w:pPr>
            <w:r>
              <w:rPr>
                <w:rFonts w:cs="Arial" w:hAnsi="Arial" w:eastAsia="Arial" w:ascii="Arial"/>
                <w:sz w:val="22"/>
              </w:rPr>
              <w:t xml:space="preserve">- </w:t>
            </w:r>
            <w:r>
              <w:rPr>
                <w:sz w:val="22"/>
              </w:rPr>
              <w:t xml:space="preserve">Funding and delays.</w:t>
            </w:r>
            <w:r>
              <w:rPr>
                <w:sz w:val="22"/>
              </w:rPr>
              <w:t xml:space="preserve"> </w:t>
            </w:r>
          </w:p>
          <w:p>
            <w:pPr>
              <w:spacing w:before="0" w:after="0" w:line="259" w:lineRule="auto"/>
              <w:ind w:left="217" w:right="0" w:firstLine="0"/>
              <w:jc w:val="left"/>
            </w:pPr>
            <w:r>
              <w:rPr>
                <w:rFonts w:cs="Arial" w:hAnsi="Arial" w:eastAsia="Arial" w:ascii="Arial"/>
                <w:sz w:val="22"/>
              </w:rPr>
              <w:t xml:space="preserve">- </w:t>
            </w:r>
            <w:r>
              <w:rPr>
                <w:sz w:val="22"/>
              </w:rPr>
              <w:t xml:space="preserve"> </w:t>
            </w:r>
          </w:p>
        </w:tc>
        <w:tc>
          <w:tcPr>
            <w:tcW w:w="998" w:type="dxa"/>
            <w:tcBorders>
              <w:top w:val="single" w:sz="4" w:color="000000"/>
              <w:left w:val="nil"/>
              <w:bottom w:val="single" w:sz="4" w:color="000000"/>
              <w:right w:val="single" w:sz="4" w:color="000000"/>
            </w:tcBorders>
            <w:vAlign w:val="top"/>
          </w:tcPr>
          <w:p>
            <w:pPr>
              <w:spacing w:before="0" w:after="0" w:line="259" w:lineRule="auto"/>
              <w:ind w:left="0" w:right="0" w:firstLine="0"/>
            </w:pPr>
            <w:r>
              <w:rPr>
                <w:sz w:val="22"/>
              </w:rPr>
              <w:t xml:space="preserve">shortfalls </w:t>
            </w:r>
          </w:p>
        </w:tc>
        <w:tc>
          <w:tcPr>
            <w:tcW w:w="1416" w:type="dxa"/>
            <w:tcBorders>
              <w:top w:val="single" w:sz="4" w:color="000000"/>
              <w:left w:val="single" w:sz="4" w:color="000000"/>
              <w:bottom w:val="single" w:sz="4" w:color="000000"/>
              <w:right w:val="single" w:sz="4" w:color="000000"/>
            </w:tcBorders>
            <w:vAlign w:val="top"/>
          </w:tcPr>
          <w:p>
            <w:pPr>
              <w:spacing w:before="0" w:after="16" w:line="259" w:lineRule="auto"/>
              <w:ind w:left="49" w:right="0" w:firstLine="0"/>
              <w:jc w:val="center"/>
            </w:pPr>
            <w:r>
              <w:rPr>
                <w:rFonts w:cs="Cambria" w:hAnsi="Cambria" w:eastAsia="Cambria" w:ascii="Cambria"/>
                <w:b w:val="1"/>
                <w:sz w:val="22"/>
              </w:rPr>
              <w:t xml:space="preserve">P3</w:t>
            </w:r>
            <w:r>
              <w:rPr>
                <w:rFonts w:cs="Cambria" w:hAnsi="Cambria" w:eastAsia="Cambria" w:ascii="Cambria"/>
                <w:b w:val="1"/>
                <w:sz w:val="22"/>
              </w:rPr>
              <w:t xml:space="preserve"> </w:t>
            </w:r>
          </w:p>
          <w:p>
            <w:pPr>
              <w:spacing w:before="0" w:after="0" w:line="259" w:lineRule="auto"/>
              <w:ind w:left="49" w:right="0" w:firstLine="0"/>
              <w:jc w:val="center"/>
            </w:pPr>
            <w:r>
              <w:rPr>
                <w:rFonts w:cs="Cambria" w:hAnsi="Cambria" w:eastAsia="Cambria" w:ascii="Cambria"/>
                <w:b w:val="1"/>
                <w:sz w:val="22"/>
              </w:rPr>
              <w:t xml:space="preserve">I 3</w:t>
            </w:r>
            <w:r>
              <w:rPr>
                <w:rFonts w:cs="Cambria" w:hAnsi="Cambria" w:eastAsia="Cambria" w:ascii="Cambria"/>
                <w:b w:val="1"/>
                <w:sz w:val="22"/>
              </w:rPr>
              <w:t xml:space="preserve"> </w:t>
            </w:r>
          </w:p>
        </w:tc>
        <w:tc>
          <w:tcPr>
            <w:tcW w:w="2947" w:type="dxa"/>
            <w:tcBorders>
              <w:top w:val="single" w:sz="4" w:color="000000"/>
              <w:left w:val="single" w:sz="4" w:color="000000"/>
              <w:bottom w:val="single" w:sz="4" w:color="000000"/>
              <w:right w:val="single" w:sz="4" w:color="000000"/>
            </w:tcBorders>
            <w:vAlign w:val="top"/>
          </w:tcPr>
          <w:p>
            <w:pPr>
              <w:spacing w:before="0" w:after="5" w:line="234" w:lineRule="auto"/>
              <w:ind w:left="341" w:right="0" w:hanging="182"/>
              <w:jc w:val="left"/>
            </w:pPr>
            <w:r>
              <w:rPr>
                <w:rFonts w:cs="Arial" w:hAnsi="Arial" w:eastAsia="Arial" w:ascii="Arial"/>
                <w:sz w:val="22"/>
              </w:rPr>
              <w:t xml:space="preserve">- </w:t>
            </w:r>
            <w:r>
              <w:rPr>
                <w:sz w:val="22"/>
              </w:rPr>
              <w:t xml:space="preserve">A resource mobilization strategy would have to be </w:t>
            </w:r>
          </w:p>
          <w:p>
            <w:pPr>
              <w:spacing w:before="0" w:after="0" w:line="259" w:lineRule="auto"/>
              <w:ind w:left="341" w:right="0" w:firstLine="0"/>
              <w:jc w:val="left"/>
            </w:pPr>
            <w:r>
              <w:rPr>
                <w:sz w:val="22"/>
              </w:rPr>
              <w:t xml:space="preserve">developed and Government cost sharing/support negotiated</w:t>
            </w:r>
            <w:r>
              <w:rPr>
                <w:sz w:val="22"/>
              </w:rPr>
              <w:t xml:space="preserve"> </w:t>
            </w:r>
          </w:p>
        </w:tc>
        <w:tc>
          <w:tcPr>
            <w:tcW w:w="1890" w:type="dxa"/>
            <w:tcBorders>
              <w:top w:val="single" w:sz="4" w:color="000000"/>
              <w:left w:val="single" w:sz="4" w:color="000000"/>
              <w:bottom w:val="single" w:sz="4" w:color="000000"/>
              <w:right w:val="single" w:sz="4" w:color="000000"/>
            </w:tcBorders>
            <w:vAlign w:val="top"/>
          </w:tcPr>
          <w:p>
            <w:pPr>
              <w:numPr>
                <w:ilvl w:val="0"/>
                <w:numId w:val="43"/>
              </w:numPr>
              <w:spacing w:before="0" w:after="0" w:line="237" w:lineRule="auto"/>
              <w:ind w:left="355" w:right="284" w:hanging="182"/>
              <w:jc w:val="left"/>
            </w:pPr>
            <w:r>
              <w:rPr>
                <w:sz w:val="22"/>
              </w:rPr>
              <w:t xml:space="preserve">Focus on resource mobilization through sharing of </w:t>
            </w:r>
          </w:p>
          <w:p>
            <w:pPr>
              <w:spacing w:before="0" w:after="0" w:line="259" w:lineRule="auto"/>
              <w:ind w:left="356" w:right="0" w:firstLine="0"/>
              <w:jc w:val="left"/>
            </w:pPr>
            <w:r>
              <w:rPr>
                <w:sz w:val="22"/>
              </w:rPr>
              <w:t xml:space="preserve">results, active  </w:t>
            </w:r>
          </w:p>
          <w:p>
            <w:pPr>
              <w:spacing w:before="0" w:after="0" w:line="238" w:lineRule="auto"/>
              <w:ind w:left="356" w:right="0" w:firstLine="0"/>
              <w:jc w:val="left"/>
            </w:pPr>
            <w:r>
              <w:rPr>
                <w:sz w:val="22"/>
              </w:rPr>
              <w:t xml:space="preserve">communicatio n,” show and </w:t>
            </w:r>
          </w:p>
          <w:p>
            <w:pPr>
              <w:spacing w:before="0" w:after="3" w:line="237" w:lineRule="auto"/>
              <w:ind w:left="356" w:right="20" w:firstLine="0"/>
              <w:jc w:val="left"/>
            </w:pPr>
            <w:r>
              <w:rPr>
                <w:sz w:val="22"/>
              </w:rPr>
              <w:t xml:space="preserve">tell/organized field visits ” and workshops</w:t>
            </w:r>
            <w:r>
              <w:rPr>
                <w:sz w:val="22"/>
              </w:rPr>
              <w:t xml:space="preserve"> </w:t>
            </w:r>
          </w:p>
          <w:p>
            <w:pPr>
              <w:numPr>
                <w:ilvl w:val="0"/>
                <w:numId w:val="43"/>
              </w:numPr>
              <w:spacing w:before="0" w:after="0" w:line="259" w:lineRule="auto"/>
              <w:ind w:left="355" w:right="284" w:hanging="182"/>
              <w:jc w:val="left"/>
            </w:pPr>
            <w:r>
              <w:rPr>
                <w:sz w:val="22"/>
              </w:rPr>
              <w:t xml:space="preserve">Downscale </w:t>
            </w:r>
          </w:p>
          <w:p>
            <w:pPr>
              <w:spacing w:before="0" w:after="0" w:line="259" w:lineRule="auto"/>
              <w:ind w:left="356" w:right="0" w:firstLine="0"/>
              <w:jc w:val="left"/>
            </w:pPr>
            <w:r>
              <w:rPr>
                <w:sz w:val="22"/>
              </w:rPr>
              <w:t xml:space="preserve">activities in case of serious shortfall of financial resources</w:t>
            </w:r>
            <w:r>
              <w:rPr>
                <w:sz w:val="22"/>
              </w:rPr>
              <w:t xml:space="preserve"> </w:t>
            </w:r>
          </w:p>
        </w:tc>
      </w:tr>
      <w:tr>
        <w:trPr>
          <w:trHeight w:val="1636"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0" w:line="259" w:lineRule="auto"/>
              <w:ind w:left="103" w:right="0" w:firstLine="0"/>
              <w:jc w:val="left"/>
            </w:pPr>
            <w:r>
              <w:rPr>
                <w:rFonts w:cs="Cambria" w:hAnsi="Cambria" w:eastAsia="Cambria" w:ascii="Cambria"/>
                <w:b w:val="1"/>
                <w:sz w:val="22"/>
              </w:rPr>
              <w:t xml:space="preserve">Social</w:t>
            </w:r>
            <w:r>
              <w:rPr>
                <w:rFonts w:cs="Cambria" w:hAnsi="Cambria" w:eastAsia="Cambria" w:ascii="Cambria"/>
                <w:b w:val="1"/>
                <w:sz w:val="22"/>
              </w:rPr>
              <w:t xml:space="preserve"> </w:t>
            </w:r>
          </w:p>
        </w:tc>
        <w:tc>
          <w:tcPr>
            <w:tcW w:w="2568" w:type="dxa"/>
            <w:gridSpan w:val="2"/>
            <w:tcBorders>
              <w:top w:val="single" w:sz="4" w:color="000000"/>
              <w:left w:val="single" w:sz="4" w:color="000000"/>
              <w:bottom w:val="single" w:sz="4" w:color="000000"/>
              <w:right w:val="single" w:sz="4" w:color="000000"/>
            </w:tcBorders>
            <w:vAlign w:val="top"/>
          </w:tcPr>
          <w:p>
            <w:pPr>
              <w:numPr>
                <w:ilvl w:val="0"/>
                <w:numId w:val="44"/>
              </w:numPr>
              <w:spacing w:before="0" w:after="7" w:line="236" w:lineRule="auto"/>
              <w:ind w:left="395" w:right="42" w:hanging="178"/>
              <w:jc w:val="left"/>
            </w:pPr>
            <w:r>
              <w:rPr>
                <w:sz w:val="22"/>
              </w:rPr>
              <w:t xml:space="preserve">Cattle rustling continues inter/intra regions and cross </w:t>
            </w:r>
          </w:p>
          <w:p>
            <w:pPr>
              <w:spacing w:before="0" w:after="12" w:line="259" w:lineRule="auto"/>
              <w:ind w:left="394" w:right="0" w:firstLine="0"/>
              <w:jc w:val="left"/>
            </w:pPr>
            <w:r>
              <w:rPr>
                <w:sz w:val="22"/>
              </w:rPr>
              <w:t xml:space="preserve">borders</w:t>
            </w:r>
            <w:r>
              <w:rPr>
                <w:sz w:val="22"/>
              </w:rPr>
              <w:t xml:space="preserve"> </w:t>
            </w:r>
          </w:p>
          <w:p>
            <w:pPr>
              <w:numPr>
                <w:ilvl w:val="0"/>
                <w:numId w:val="44"/>
              </w:numPr>
              <w:spacing w:before="0" w:after="0" w:line="259" w:lineRule="auto"/>
              <w:ind w:left="395" w:right="42" w:hanging="178"/>
              <w:jc w:val="left"/>
            </w:pPr>
            <w:r>
              <w:rPr>
                <w:sz w:val="22"/>
              </w:rPr>
              <w:t xml:space="preserve">Social tension leads to increased gender </w:t>
            </w:r>
          </w:p>
        </w:tc>
        <w:tc>
          <w:tcPr>
            <w:tcW w:w="1416" w:type="dxa"/>
            <w:tcBorders>
              <w:top w:val="single" w:sz="4" w:color="000000"/>
              <w:left w:val="single" w:sz="4" w:color="000000"/>
              <w:bottom w:val="single" w:sz="4" w:color="000000"/>
              <w:right w:val="single" w:sz="4" w:color="000000"/>
            </w:tcBorders>
            <w:vAlign w:val="top"/>
          </w:tcPr>
          <w:p>
            <w:pPr>
              <w:spacing w:before="0" w:after="16" w:line="259" w:lineRule="auto"/>
              <w:ind w:left="49" w:right="0" w:firstLine="0"/>
              <w:jc w:val="center"/>
            </w:pPr>
            <w:r>
              <w:rPr>
                <w:rFonts w:cs="Cambria" w:hAnsi="Cambria" w:eastAsia="Cambria" w:ascii="Cambria"/>
                <w:b w:val="1"/>
                <w:sz w:val="22"/>
              </w:rPr>
              <w:t xml:space="preserve">P3</w:t>
            </w:r>
            <w:r>
              <w:rPr>
                <w:rFonts w:cs="Cambria" w:hAnsi="Cambria" w:eastAsia="Cambria" w:ascii="Cambria"/>
                <w:b w:val="1"/>
                <w:sz w:val="22"/>
              </w:rPr>
              <w:t xml:space="preserve"> </w:t>
            </w:r>
          </w:p>
          <w:p>
            <w:pPr>
              <w:spacing w:before="0" w:after="0" w:line="259" w:lineRule="auto"/>
              <w:ind w:left="49" w:right="0" w:firstLine="0"/>
              <w:jc w:val="center"/>
            </w:pPr>
            <w:r>
              <w:rPr>
                <w:rFonts w:cs="Cambria" w:hAnsi="Cambria" w:eastAsia="Cambria" w:ascii="Cambria"/>
                <w:b w:val="1"/>
                <w:sz w:val="22"/>
              </w:rPr>
              <w:t xml:space="preserve">I 2</w:t>
            </w:r>
            <w:r>
              <w:rPr>
                <w:rFonts w:cs="Cambria" w:hAnsi="Cambria" w:eastAsia="Cambria" w:ascii="Cambria"/>
                <w:b w:val="1"/>
                <w:sz w:val="22"/>
              </w:rPr>
              <w:t xml:space="preserve"> </w:t>
            </w:r>
          </w:p>
        </w:tc>
        <w:tc>
          <w:tcPr>
            <w:tcW w:w="2947" w:type="dxa"/>
            <w:tcBorders>
              <w:top w:val="single" w:sz="4" w:color="000000"/>
              <w:left w:val="single" w:sz="4" w:color="000000"/>
              <w:bottom w:val="single" w:sz="4" w:color="000000"/>
              <w:right w:val="single" w:sz="4" w:color="000000"/>
            </w:tcBorders>
            <w:vAlign w:val="top"/>
          </w:tcPr>
          <w:p>
            <w:pPr>
              <w:numPr>
                <w:ilvl w:val="0"/>
                <w:numId w:val="45"/>
              </w:numPr>
              <w:spacing w:before="0" w:after="35" w:line="237" w:lineRule="auto"/>
              <w:ind w:left="341" w:right="30" w:hanging="182"/>
              <w:jc w:val="left"/>
            </w:pPr>
            <w:r>
              <w:rPr>
                <w:sz w:val="22"/>
              </w:rPr>
              <w:t xml:space="preserve">Work with community security and justice mechanisms and strengthen their capacities where needed</w:t>
            </w:r>
            <w:r>
              <w:rPr>
                <w:sz w:val="22"/>
              </w:rPr>
              <w:t xml:space="preserve"> </w:t>
            </w:r>
          </w:p>
          <w:p>
            <w:pPr>
              <w:numPr>
                <w:ilvl w:val="0"/>
                <w:numId w:val="45"/>
              </w:numPr>
              <w:spacing w:before="0" w:after="0" w:line="259" w:lineRule="auto"/>
              <w:ind w:left="341" w:right="30" w:hanging="182"/>
              <w:jc w:val="left"/>
            </w:pPr>
            <w:r>
              <w:rPr>
                <w:sz w:val="22"/>
              </w:rPr>
              <w:t xml:space="preserve">Design awareness and </w:t>
            </w:r>
          </w:p>
        </w:tc>
        <w:tc>
          <w:tcPr>
            <w:tcW w:w="1890" w:type="dxa"/>
            <w:tcBorders>
              <w:top w:val="single" w:sz="4" w:color="000000"/>
              <w:left w:val="single" w:sz="4" w:color="000000"/>
              <w:bottom w:val="single" w:sz="4" w:color="000000"/>
              <w:right w:val="single" w:sz="4" w:color="000000"/>
            </w:tcBorders>
            <w:vAlign w:val="top"/>
          </w:tcPr>
          <w:p>
            <w:pPr>
              <w:spacing w:before="0" w:after="0" w:line="239" w:lineRule="auto"/>
              <w:ind w:left="355" w:right="0" w:hanging="182"/>
              <w:jc w:val="left"/>
            </w:pPr>
            <w:r>
              <w:rPr>
                <w:rFonts w:cs="Arial" w:hAnsi="Arial" w:eastAsia="Arial" w:ascii="Arial"/>
                <w:sz w:val="22"/>
              </w:rPr>
              <w:t xml:space="preserve">- </w:t>
            </w:r>
            <w:r>
              <w:rPr>
                <w:sz w:val="22"/>
              </w:rPr>
              <w:t xml:space="preserve">As tensions increase, </w:t>
            </w:r>
          </w:p>
          <w:p>
            <w:pPr>
              <w:spacing w:before="0" w:after="0" w:line="259" w:lineRule="auto"/>
              <w:ind w:left="356" w:right="0" w:firstLine="0"/>
              <w:jc w:val="left"/>
            </w:pPr>
            <w:r>
              <w:rPr>
                <w:sz w:val="22"/>
              </w:rPr>
              <w:t xml:space="preserve">UNDP will scale down its activities in affected areas</w:t>
            </w:r>
            <w:r>
              <w:rPr>
                <w:sz w:val="22"/>
              </w:rPr>
              <w:t xml:space="preserve"> </w:t>
            </w:r>
          </w:p>
        </w:tc>
      </w:tr>
    </w:tbl>
    <w:p>
      <w:pPr>
        <w:spacing w:before="0" w:after="0" w:line="259" w:lineRule="auto"/>
        <w:ind w:left="-1440" w:right="276" w:firstLine="0"/>
        <w:jc w:val="left"/>
      </w:pPr>
    </w:p>
    <w:tbl>
      <w:tblPr>
        <w:tblStyle w:val="TableGrid"/>
        <w:tblW w:w="10349" w:type="dxa"/>
        <w:tblInd w:w="-1259" w:type="dxa"/>
        <w:tblCellMar>
          <w:top w:w="38" w:type="dxa"/>
          <w:left w:w="106" w:type="dxa"/>
          <w:bottom w:w="0" w:type="dxa"/>
          <w:right w:w="14" w:type="dxa"/>
        </w:tblCellMar>
      </w:tblPr>
      <w:tblGrid>
        <w:gridCol w:w="1528"/>
        <w:gridCol w:w="2568"/>
        <w:gridCol w:w="1416"/>
        <w:gridCol w:w="2947"/>
        <w:gridCol w:w="1890"/>
      </w:tblGrid>
      <w:tr>
        <w:trPr>
          <w:trHeight w:val="899" w:hRule="atLeast"/>
        </w:trPr>
        <w:tc>
          <w:tcPr>
            <w:tcW w:w="1528" w:type="dxa"/>
            <w:tcBorders>
              <w:top w:val="single" w:sz="4" w:color="ffffff"/>
              <w:left w:val="single" w:sz="4" w:color="333333"/>
              <w:bottom w:val="single" w:sz="4" w:color="000000"/>
              <w:right w:val="single" w:sz="4" w:color="ffffff"/>
            </w:tcBorders>
            <w:shd w:val="clear" w:fill="000080"/>
            <w:vAlign w:val="center"/>
          </w:tcPr>
          <w:p>
            <w:pPr>
              <w:spacing w:before="0" w:after="0" w:line="259" w:lineRule="auto"/>
              <w:ind w:left="227" w:right="0" w:firstLine="0"/>
              <w:jc w:val="left"/>
            </w:pPr>
            <w:r>
              <w:rPr>
                <w:rFonts w:cs="Cambria" w:hAnsi="Cambria" w:eastAsia="Cambria" w:ascii="Cambria"/>
                <w:b w:val="1"/>
                <w:color w:val="ffffff"/>
                <w:sz w:val="22"/>
              </w:rPr>
              <w:t xml:space="preserve">Area</w:t>
            </w:r>
            <w:r>
              <w:rPr>
                <w:rFonts w:cs="Cambria" w:hAnsi="Cambria" w:eastAsia="Cambria" w:ascii="Cambria"/>
                <w:b w:val="1"/>
                <w:color w:val="ffffff"/>
                <w:sz w:val="22"/>
              </w:rPr>
              <w:t xml:space="preserve"> </w:t>
            </w:r>
          </w:p>
        </w:tc>
        <w:tc>
          <w:tcPr>
            <w:tcW w:w="2568"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34" w:right="0" w:firstLine="0"/>
              <w:jc w:val="left"/>
            </w:pPr>
            <w:r>
              <w:rPr>
                <w:rFonts w:cs="Cambria" w:hAnsi="Cambria" w:eastAsia="Cambria" w:ascii="Cambria"/>
                <w:b w:val="1"/>
                <w:color w:val="ffffff"/>
                <w:sz w:val="22"/>
              </w:rPr>
              <w:t xml:space="preserve">Conflict/Disaster/Risk</w:t>
            </w:r>
            <w:r>
              <w:rPr>
                <w:rFonts w:cs="Cambria" w:hAnsi="Cambria" w:eastAsia="Cambria" w:ascii="Cambria"/>
                <w:b w:val="1"/>
                <w:color w:val="ffffff"/>
                <w:sz w:val="22"/>
              </w:rPr>
              <w:t xml:space="preserve"> </w:t>
            </w:r>
          </w:p>
        </w:tc>
        <w:tc>
          <w:tcPr>
            <w:tcW w:w="1416"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29" w:right="0" w:hanging="29"/>
              <w:jc w:val="left"/>
            </w:pPr>
            <w:r>
              <w:rPr>
                <w:rFonts w:cs="Cambria" w:hAnsi="Cambria" w:eastAsia="Cambria" w:ascii="Cambria"/>
                <w:b w:val="1"/>
                <w:color w:val="ffffff"/>
                <w:sz w:val="22"/>
              </w:rPr>
              <w:t xml:space="preserve">Impact &amp;</w:t>
            </w:r>
            <w:r>
              <w:rPr>
                <w:rFonts w:cs="Cambria" w:hAnsi="Cambria" w:eastAsia="Cambria" w:ascii="Cambria"/>
                <w:b w:val="1"/>
                <w:color w:val="ffffff"/>
                <w:sz w:val="22"/>
              </w:rPr>
              <w:t xml:space="preserve"> </w:t>
            </w:r>
            <w:r>
              <w:rPr>
                <w:rFonts w:cs="Cambria" w:hAnsi="Cambria" w:eastAsia="Cambria" w:ascii="Cambria"/>
                <w:b w:val="1"/>
                <w:color w:val="ffffff"/>
                <w:sz w:val="22"/>
              </w:rPr>
              <w:t xml:space="preserve">Probability</w:t>
            </w:r>
            <w:r>
              <w:rPr>
                <w:rFonts w:cs="Cambria" w:hAnsi="Cambria" w:eastAsia="Cambria" w:ascii="Cambria"/>
                <w:b w:val="1"/>
                <w:color w:val="ffffff"/>
                <w:sz w:val="22"/>
              </w:rPr>
              <w:t xml:space="preserve"> </w:t>
            </w:r>
          </w:p>
        </w:tc>
        <w:tc>
          <w:tcPr>
            <w:tcW w:w="2947"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0" w:right="91" w:firstLine="0"/>
              <w:jc w:val="center"/>
            </w:pPr>
            <w:r>
              <w:rPr>
                <w:rFonts w:cs="Cambria" w:hAnsi="Cambria" w:eastAsia="Cambria" w:ascii="Cambria"/>
                <w:b w:val="1"/>
                <w:color w:val="ffffff"/>
                <w:sz w:val="22"/>
              </w:rPr>
              <w:t xml:space="preserve">Mitigation Measures</w:t>
            </w:r>
            <w:r>
              <w:rPr>
                <w:rFonts w:cs="Cambria" w:hAnsi="Cambria" w:eastAsia="Cambria" w:ascii="Cambria"/>
                <w:b w:val="1"/>
                <w:color w:val="ffffff"/>
                <w:sz w:val="22"/>
              </w:rPr>
              <w:t xml:space="preserve"> </w:t>
            </w:r>
          </w:p>
        </w:tc>
        <w:tc>
          <w:tcPr>
            <w:tcW w:w="1890" w:type="dxa"/>
            <w:tcBorders>
              <w:top w:val="single" w:sz="4" w:color="ffffff"/>
              <w:left w:val="single" w:sz="4" w:color="ffffff"/>
              <w:bottom w:val="single" w:sz="4" w:color="000000"/>
              <w:right w:val="single" w:sz="4" w:color="333333"/>
            </w:tcBorders>
            <w:shd w:val="clear" w:fill="000080"/>
            <w:vAlign w:val="top"/>
          </w:tcPr>
          <w:p>
            <w:pPr>
              <w:spacing w:before="0" w:after="16" w:line="259" w:lineRule="auto"/>
              <w:ind w:left="0" w:right="102" w:firstLine="0"/>
              <w:jc w:val="center"/>
            </w:pPr>
            <w:r>
              <w:rPr>
                <w:rFonts w:cs="Cambria" w:hAnsi="Cambria" w:eastAsia="Cambria" w:ascii="Cambria"/>
                <w:b w:val="1"/>
                <w:color w:val="ffffff"/>
                <w:sz w:val="22"/>
              </w:rPr>
              <w:t xml:space="preserve">Management </w:t>
            </w:r>
          </w:p>
          <w:p>
            <w:pPr>
              <w:spacing w:before="0" w:after="16" w:line="259" w:lineRule="auto"/>
              <w:ind w:left="0" w:right="95" w:firstLine="0"/>
              <w:jc w:val="center"/>
            </w:pPr>
            <w:r>
              <w:rPr>
                <w:rFonts w:cs="Cambria" w:hAnsi="Cambria" w:eastAsia="Cambria" w:ascii="Cambria"/>
                <w:b w:val="1"/>
                <w:color w:val="ffffff"/>
                <w:sz w:val="22"/>
              </w:rPr>
              <w:t xml:space="preserve">Options &amp; </w:t>
            </w:r>
          </w:p>
          <w:p>
            <w:pPr>
              <w:spacing w:before="0" w:after="0" w:line="259" w:lineRule="auto"/>
              <w:ind w:left="0" w:right="103" w:firstLine="0"/>
              <w:jc w:val="center"/>
            </w:pPr>
            <w:r>
              <w:rPr>
                <w:rFonts w:cs="Cambria" w:hAnsi="Cambria" w:eastAsia="Cambria" w:ascii="Cambria"/>
                <w:b w:val="1"/>
                <w:color w:val="ffffff"/>
                <w:sz w:val="22"/>
              </w:rPr>
              <w:t xml:space="preserve">Response</w:t>
            </w:r>
            <w:r>
              <w:rPr>
                <w:rFonts w:cs="Cambria" w:hAnsi="Cambria" w:eastAsia="Cambria" w:ascii="Cambria"/>
                <w:b w:val="1"/>
                <w:color w:val="ffffff"/>
                <w:sz w:val="22"/>
              </w:rPr>
              <w:t xml:space="preserve"> </w:t>
            </w:r>
          </w:p>
        </w:tc>
      </w:tr>
      <w:tr>
        <w:trPr>
          <w:trHeight w:val="2153" w:hRule="atLeast"/>
        </w:trPr>
        <w:tc>
          <w:tcPr>
            <w:tcW w:w="1528" w:type="dxa"/>
            <w:tcBorders>
              <w:top w:val="single" w:sz="4" w:color="000000"/>
              <w:left w:val="single" w:sz="4" w:color="000000"/>
              <w:bottom w:val="single" w:sz="4" w:color="000000"/>
              <w:right w:val="single" w:sz="4" w:color="000000"/>
            </w:tcBorders>
            <w:shd w:val="clear" w:fill="b7b7ff"/>
            <w:vAlign w:val="center"/>
          </w:tcPr>
          <w:p>
            <w:pPr>
              <w:bidi w:val="0"/>
              <w:spacing w:before="0" w:after="160" w:line="259" w:lineRule="auto"/>
              <w:ind w:left="0" w:right="0" w:firstLine="0"/>
              <w:jc w:val="left"/>
            </w:pPr>
          </w:p>
        </w:tc>
        <w:tc>
          <w:tcPr>
            <w:tcW w:w="2568" w:type="dxa"/>
            <w:tcBorders>
              <w:top w:val="single" w:sz="4" w:color="000000"/>
              <w:left w:val="single" w:sz="4" w:color="000000"/>
              <w:bottom w:val="single" w:sz="4" w:color="000000"/>
              <w:right w:val="single" w:sz="4" w:color="000000"/>
            </w:tcBorders>
            <w:vAlign w:val="top"/>
          </w:tcPr>
          <w:p>
            <w:pPr>
              <w:spacing w:before="0" w:after="12" w:line="259" w:lineRule="auto"/>
              <w:ind w:left="293" w:right="0" w:firstLine="0"/>
              <w:jc w:val="left"/>
            </w:pPr>
            <w:r>
              <w:rPr>
                <w:sz w:val="22"/>
              </w:rPr>
              <w:t xml:space="preserve">based violence </w:t>
            </w:r>
            <w:r>
              <w:rPr>
                <w:sz w:val="22"/>
              </w:rPr>
              <w:t xml:space="preserve"> </w:t>
            </w:r>
          </w:p>
          <w:p>
            <w:pPr>
              <w:spacing w:before="0" w:after="0" w:line="240" w:lineRule="auto"/>
              <w:ind w:left="293" w:right="93" w:hanging="178"/>
            </w:pPr>
            <w:r>
              <w:rPr>
                <w:rFonts w:cs="Arial" w:hAnsi="Arial" w:eastAsia="Arial" w:ascii="Arial"/>
                <w:sz w:val="22"/>
              </w:rPr>
              <w:t xml:space="preserve">- </w:t>
            </w:r>
            <w:r>
              <w:rPr>
                <w:sz w:val="22"/>
              </w:rPr>
              <w:t xml:space="preserve">High unemployment rates increase violence amongst the youth 	and undermines gains </w:t>
            </w:r>
          </w:p>
          <w:p>
            <w:pPr>
              <w:spacing w:before="0" w:after="0" w:line="259" w:lineRule="auto"/>
              <w:ind w:left="293" w:right="0" w:firstLine="0"/>
              <w:jc w:val="left"/>
            </w:pPr>
            <w:r>
              <w:rPr>
                <w:sz w:val="22"/>
              </w:rPr>
              <w:t xml:space="preserve">made thus far</w:t>
            </w:r>
            <w:r>
              <w:rPr>
                <w:sz w:val="22"/>
              </w:rPr>
              <w:t xml:space="preserve"> </w:t>
            </w:r>
          </w:p>
        </w:tc>
        <w:tc>
          <w:tcPr>
            <w:tcW w:w="1416" w:type="dxa"/>
            <w:tcBorders>
              <w:top w:val="single" w:sz="4" w:color="000000"/>
              <w:left w:val="single" w:sz="4" w:color="000000"/>
              <w:bottom w:val="single" w:sz="4" w:color="000000"/>
              <w:right w:val="single" w:sz="4" w:color="000000"/>
            </w:tcBorders>
            <w:vAlign w:val="center"/>
          </w:tcPr>
          <w:p>
            <w:pPr>
              <w:bidi w:val="0"/>
              <w:spacing w:before="0" w:after="160" w:line="259" w:lineRule="auto"/>
              <w:ind w:left="0" w:right="0" w:firstLine="0"/>
              <w:jc w:val="left"/>
            </w:pPr>
          </w:p>
        </w:tc>
        <w:tc>
          <w:tcPr>
            <w:tcW w:w="2947" w:type="dxa"/>
            <w:tcBorders>
              <w:top w:val="single" w:sz="4" w:color="000000"/>
              <w:left w:val="single" w:sz="4" w:color="000000"/>
              <w:bottom w:val="single" w:sz="4" w:color="000000"/>
              <w:right w:val="single" w:sz="4" w:color="000000"/>
            </w:tcBorders>
            <w:vAlign w:val="top"/>
          </w:tcPr>
          <w:p>
            <w:pPr>
              <w:spacing w:before="0" w:after="34" w:line="238" w:lineRule="auto"/>
              <w:ind w:left="240" w:right="0" w:firstLine="0"/>
              <w:jc w:val="left"/>
            </w:pPr>
            <w:r>
              <w:rPr>
                <w:sz w:val="22"/>
              </w:rPr>
              <w:t xml:space="preserve">advocacy tools to mitigate GBV and provide access to justice for women specifically</w:t>
            </w:r>
            <w:r>
              <w:rPr>
                <w:sz w:val="22"/>
              </w:rPr>
              <w:t xml:space="preserve"> </w:t>
            </w:r>
          </w:p>
          <w:p>
            <w:pPr>
              <w:spacing w:before="0" w:after="7" w:line="236" w:lineRule="auto"/>
              <w:ind w:left="240" w:right="0" w:hanging="182"/>
              <w:jc w:val="left"/>
            </w:pPr>
            <w:r>
              <w:rPr>
                <w:rFonts w:cs="Arial" w:hAnsi="Arial" w:eastAsia="Arial" w:ascii="Arial"/>
                <w:sz w:val="22"/>
              </w:rPr>
              <w:t xml:space="preserve">- </w:t>
            </w:r>
            <w:r>
              <w:rPr>
                <w:sz w:val="22"/>
              </w:rPr>
              <w:t xml:space="preserve">Design youth responsive initiatives geared towards social cohesion and </w:t>
            </w:r>
          </w:p>
          <w:p>
            <w:pPr>
              <w:spacing w:before="0" w:after="0" w:line="259" w:lineRule="auto"/>
              <w:ind w:left="240" w:right="0" w:firstLine="0"/>
              <w:jc w:val="left"/>
            </w:pPr>
            <w:r>
              <w:rPr>
                <w:sz w:val="22"/>
              </w:rPr>
              <w:t xml:space="preserve">stability </w:t>
            </w:r>
            <w:r>
              <w:rPr>
                <w:sz w:val="22"/>
              </w:rPr>
              <w:t xml:space="preserve"> </w:t>
            </w:r>
          </w:p>
        </w:tc>
        <w:tc>
          <w:tcPr>
            <w:tcW w:w="1890" w:type="dxa"/>
            <w:tcBorders>
              <w:top w:val="single" w:sz="4" w:color="000000"/>
              <w:left w:val="single" w:sz="4" w:color="000000"/>
              <w:bottom w:val="single" w:sz="4" w:color="000000"/>
              <w:right w:val="single" w:sz="4" w:color="000000"/>
            </w:tcBorders>
            <w:vAlign w:val="top"/>
          </w:tcPr>
          <w:p>
            <w:pPr>
              <w:spacing w:before="0" w:after="0" w:line="259" w:lineRule="auto"/>
              <w:ind w:left="254" w:right="0" w:hanging="182"/>
              <w:jc w:val="left"/>
            </w:pPr>
            <w:r>
              <w:rPr>
                <w:rFonts w:cs="Arial" w:hAnsi="Arial" w:eastAsia="Arial" w:ascii="Arial"/>
                <w:sz w:val="22"/>
              </w:rPr>
              <w:t xml:space="preserve">- </w:t>
            </w:r>
            <w:r>
              <w:rPr>
                <w:sz w:val="22"/>
              </w:rPr>
              <w:t xml:space="preserve"> </w:t>
            </w:r>
            <w:r>
              <w:rPr>
                <w:sz w:val="22"/>
              </w:rPr>
              <w:t xml:space="preserve">Ensure effective advocacy tools </w:t>
            </w:r>
            <w:r>
              <w:rPr>
                <w:sz w:val="22"/>
              </w:rPr>
              <w:t xml:space="preserve"> </w:t>
            </w:r>
          </w:p>
        </w:tc>
      </w:tr>
      <w:tr>
        <w:trPr>
          <w:trHeight w:val="7746"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0" w:line="259" w:lineRule="auto"/>
              <w:ind w:left="1" w:right="0" w:firstLine="0"/>
            </w:pPr>
            <w:r>
              <w:rPr>
                <w:rFonts w:cs="Cambria" w:hAnsi="Cambria" w:eastAsia="Cambria" w:ascii="Cambria"/>
                <w:b w:val="1"/>
                <w:sz w:val="22"/>
              </w:rPr>
              <w:t xml:space="preserve">Management </w:t>
            </w:r>
            <w:r>
              <w:rPr>
                <w:rFonts w:cs="Cambria" w:hAnsi="Cambria" w:eastAsia="Cambria" w:ascii="Cambria"/>
                <w:b w:val="1"/>
                <w:sz w:val="22"/>
              </w:rPr>
              <w:t xml:space="preserve"> </w:t>
            </w:r>
          </w:p>
        </w:tc>
        <w:tc>
          <w:tcPr>
            <w:tcW w:w="2568" w:type="dxa"/>
            <w:tcBorders>
              <w:top w:val="single" w:sz="4" w:color="000000"/>
              <w:left w:val="single" w:sz="4" w:color="000000"/>
              <w:bottom w:val="single" w:sz="4" w:color="000000"/>
              <w:right w:val="single" w:sz="4" w:color="000000"/>
            </w:tcBorders>
            <w:vAlign w:val="center"/>
          </w:tcPr>
          <w:p>
            <w:pPr>
              <w:numPr>
                <w:ilvl w:val="0"/>
                <w:numId w:val="46"/>
              </w:numPr>
              <w:spacing w:before="0" w:after="2" w:line="237" w:lineRule="auto"/>
              <w:ind w:left="259" w:right="257" w:hanging="182"/>
              <w:jc w:val="left"/>
            </w:pPr>
            <w:r>
              <w:rPr>
                <w:sz w:val="22"/>
              </w:rPr>
              <w:t xml:space="preserve">Un</w:t>
            </w:r>
            <w:r>
              <w:rPr>
                <w:sz w:val="22"/>
              </w:rPr>
              <w:t xml:space="preserve">-</w:t>
            </w:r>
            <w:r>
              <w:rPr>
                <w:sz w:val="22"/>
              </w:rPr>
              <w:t xml:space="preserve">fair distribution of project funds inter and intra affected  communities and </w:t>
            </w:r>
          </w:p>
          <w:p>
            <w:pPr>
              <w:spacing w:before="0" w:after="0" w:line="259" w:lineRule="auto"/>
              <w:ind w:left="259" w:right="0" w:firstLine="0"/>
              <w:jc w:val="left"/>
            </w:pPr>
            <w:r>
              <w:rPr>
                <w:sz w:val="22"/>
              </w:rPr>
              <w:t xml:space="preserve">regions </w:t>
            </w:r>
            <w:r>
              <w:rPr>
                <w:sz w:val="22"/>
              </w:rPr>
              <w:t xml:space="preserve"> </w:t>
            </w:r>
          </w:p>
          <w:p>
            <w:pPr>
              <w:spacing w:before="0" w:after="17" w:line="259" w:lineRule="auto"/>
              <w:ind w:left="259" w:right="0" w:firstLine="0"/>
              <w:jc w:val="left"/>
            </w:pPr>
            <w:r>
              <w:rPr>
                <w:sz w:val="22"/>
              </w:rPr>
              <w:t xml:space="preserve"> </w:t>
            </w:r>
          </w:p>
          <w:p>
            <w:pPr>
              <w:numPr>
                <w:ilvl w:val="0"/>
                <w:numId w:val="46"/>
              </w:numPr>
              <w:spacing w:before="0" w:after="2" w:line="237" w:lineRule="auto"/>
              <w:ind w:left="259" w:right="257" w:hanging="182"/>
              <w:jc w:val="left"/>
            </w:pPr>
            <w:r>
              <w:rPr>
                <w:sz w:val="22"/>
              </w:rPr>
              <w:t xml:space="preserve">Biased, non</w:t>
            </w:r>
            <w:r>
              <w:rPr>
                <w:sz w:val="22"/>
              </w:rPr>
              <w:t xml:space="preserve"/>
            </w:r>
            <w:r>
              <w:rPr>
                <w:sz w:val="22"/>
              </w:rPr>
              <w:t xml:space="preserve">participatory selection criteria of beneficiaries and </w:t>
            </w:r>
          </w:p>
          <w:p>
            <w:pPr>
              <w:spacing w:before="0" w:after="0" w:line="259" w:lineRule="auto"/>
              <w:ind w:left="259" w:right="0" w:firstLine="0"/>
              <w:jc w:val="left"/>
            </w:pPr>
            <w:r>
              <w:rPr>
                <w:sz w:val="22"/>
              </w:rPr>
              <w:t xml:space="preserve">interventions </w:t>
            </w:r>
            <w:r>
              <w:rPr>
                <w:sz w:val="22"/>
              </w:rPr>
              <w:t xml:space="preserve"> </w:t>
            </w:r>
          </w:p>
          <w:p>
            <w:pPr>
              <w:spacing w:before="0" w:after="17" w:line="259" w:lineRule="auto"/>
              <w:ind w:left="725" w:right="0" w:firstLine="0"/>
              <w:jc w:val="left"/>
            </w:pPr>
            <w:r>
              <w:rPr>
                <w:sz w:val="22"/>
              </w:rPr>
              <w:t xml:space="preserve"> </w:t>
            </w:r>
          </w:p>
          <w:p>
            <w:pPr>
              <w:numPr>
                <w:ilvl w:val="0"/>
                <w:numId w:val="46"/>
              </w:numPr>
              <w:spacing w:before="0" w:after="5" w:line="234" w:lineRule="auto"/>
              <w:ind w:left="259" w:right="257" w:hanging="182"/>
              <w:jc w:val="left"/>
            </w:pPr>
            <w:r>
              <w:rPr>
                <w:sz w:val="22"/>
              </w:rPr>
              <w:t xml:space="preserve">Ad</w:t>
            </w:r>
            <w:r>
              <w:rPr>
                <w:sz w:val="22"/>
              </w:rPr>
              <w:t xml:space="preserve">-</w:t>
            </w:r>
            <w:r>
              <w:rPr>
                <w:sz w:val="22"/>
              </w:rPr>
              <w:t xml:space="preserve">hoc coordination mechanisms</w:t>
            </w:r>
            <w:r>
              <w:rPr>
                <w:sz w:val="22"/>
              </w:rPr>
              <w:t xml:space="preserve"> </w:t>
            </w:r>
          </w:p>
          <w:p>
            <w:pPr>
              <w:spacing w:before="0" w:after="17" w:line="259" w:lineRule="auto"/>
              <w:ind w:left="77" w:right="0" w:firstLine="0"/>
              <w:jc w:val="left"/>
            </w:pPr>
            <w:r>
              <w:rPr>
                <w:sz w:val="22"/>
              </w:rPr>
              <w:t xml:space="preserve"> </w:t>
            </w:r>
          </w:p>
          <w:p>
            <w:pPr>
              <w:numPr>
                <w:ilvl w:val="0"/>
                <w:numId w:val="46"/>
              </w:numPr>
              <w:spacing w:before="0" w:after="0" w:line="259" w:lineRule="auto"/>
              <w:ind w:left="259" w:right="257" w:hanging="182"/>
              <w:jc w:val="left"/>
            </w:pPr>
            <w:r>
              <w:rPr>
                <w:sz w:val="22"/>
              </w:rPr>
              <w:t xml:space="preserve">Limited market capacities and high prices of material, tools and equipment </w:t>
            </w:r>
            <w:r>
              <w:rPr>
                <w:sz w:val="22"/>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16" w:line="259" w:lineRule="auto"/>
              <w:ind w:left="0" w:right="100" w:firstLine="0"/>
              <w:jc w:val="center"/>
            </w:pPr>
            <w:r>
              <w:rPr>
                <w:rFonts w:cs="Cambria" w:hAnsi="Cambria" w:eastAsia="Cambria" w:ascii="Cambria"/>
                <w:b w:val="1"/>
                <w:sz w:val="22"/>
              </w:rPr>
              <w:t xml:space="preserve">P2</w:t>
            </w:r>
            <w:r>
              <w:rPr>
                <w:rFonts w:cs="Cambria" w:hAnsi="Cambria" w:eastAsia="Cambria" w:ascii="Cambria"/>
                <w:b w:val="1"/>
                <w:sz w:val="22"/>
              </w:rPr>
              <w:t xml:space="preserve"> </w:t>
            </w:r>
          </w:p>
          <w:p>
            <w:pPr>
              <w:spacing w:before="0" w:after="0" w:line="259" w:lineRule="auto"/>
              <w:ind w:left="0" w:right="95" w:firstLine="0"/>
              <w:jc w:val="center"/>
            </w:pPr>
            <w:r>
              <w:rPr>
                <w:rFonts w:cs="Cambria" w:hAnsi="Cambria" w:eastAsia="Cambria" w:ascii="Cambria"/>
                <w:b w:val="1"/>
                <w:sz w:val="22"/>
              </w:rPr>
              <w:t xml:space="preserve">I </w:t>
            </w:r>
            <w:r>
              <w:rPr>
                <w:rFonts w:cs="Cambria" w:hAnsi="Cambria" w:eastAsia="Cambria" w:ascii="Cambria"/>
                <w:b w:val="1"/>
                <w:i w:val="1"/>
                <w:sz w:val="22"/>
              </w:rPr>
              <w:t xml:space="preserve">3</w:t>
            </w:r>
            <w:r>
              <w:rPr>
                <w:rFonts w:cs="Cambria" w:hAnsi="Cambria" w:eastAsia="Cambria" w:ascii="Cambria"/>
                <w:b w:val="1"/>
                <w:i w:val="1"/>
                <w:sz w:val="22"/>
              </w:rPr>
              <w:t xml:space="preserve"> </w:t>
            </w:r>
          </w:p>
        </w:tc>
        <w:tc>
          <w:tcPr>
            <w:tcW w:w="2947" w:type="dxa"/>
            <w:tcBorders>
              <w:top w:val="single" w:sz="4" w:color="000000"/>
              <w:left w:val="single" w:sz="4" w:color="000000"/>
              <w:bottom w:val="single" w:sz="4" w:color="000000"/>
              <w:right w:val="single" w:sz="4" w:color="000000"/>
            </w:tcBorders>
            <w:vAlign w:val="top"/>
          </w:tcPr>
          <w:p>
            <w:pPr>
              <w:numPr>
                <w:ilvl w:val="0"/>
                <w:numId w:val="47"/>
              </w:numPr>
              <w:spacing w:before="0" w:after="0" w:line="238" w:lineRule="auto"/>
              <w:ind w:left="259" w:right="179" w:hanging="182"/>
            </w:pPr>
            <w:r>
              <w:rPr>
                <w:sz w:val="22"/>
              </w:rPr>
              <w:t xml:space="preserve">Advocate and support of fair national resource distribution mechanisms</w:t>
            </w:r>
            <w:r>
              <w:rPr>
                <w:sz w:val="22"/>
              </w:rPr>
              <w:t xml:space="preserve"> </w:t>
            </w:r>
          </w:p>
          <w:p>
            <w:pPr>
              <w:numPr>
                <w:ilvl w:val="0"/>
                <w:numId w:val="47"/>
              </w:numPr>
              <w:spacing w:before="0" w:after="2" w:line="237" w:lineRule="auto"/>
              <w:ind w:left="259" w:right="179" w:hanging="182"/>
            </w:pPr>
            <w:r>
              <w:rPr>
                <w:sz w:val="22"/>
              </w:rPr>
              <w:t xml:space="preserve">Develop and facilitate consensus on the project selection criteria for equitable and inclusive resource distribution </w:t>
            </w:r>
            <w:r>
              <w:rPr>
                <w:sz w:val="22"/>
              </w:rPr>
              <w:t xml:space="preserve"> </w:t>
            </w:r>
          </w:p>
          <w:p>
            <w:pPr>
              <w:numPr>
                <w:ilvl w:val="0"/>
                <w:numId w:val="47"/>
              </w:numPr>
              <w:spacing w:before="0" w:after="0" w:line="238" w:lineRule="auto"/>
              <w:ind w:left="259" w:right="179" w:hanging="182"/>
            </w:pPr>
            <w:r>
              <w:rPr>
                <w:sz w:val="22"/>
              </w:rPr>
              <w:t xml:space="preserve">Adopt participatory consultation mechanisms for the identification and design of projects targeting women and youth</w:t>
            </w:r>
            <w:r>
              <w:rPr>
                <w:sz w:val="22"/>
              </w:rPr>
              <w:t xml:space="preserve"> </w:t>
            </w:r>
          </w:p>
          <w:p>
            <w:pPr>
              <w:numPr>
                <w:ilvl w:val="0"/>
                <w:numId w:val="47"/>
              </w:numPr>
              <w:spacing w:before="0" w:after="0" w:line="238" w:lineRule="auto"/>
              <w:ind w:left="259" w:right="179" w:hanging="182"/>
            </w:pPr>
            <w:r>
              <w:rPr>
                <w:sz w:val="22"/>
              </w:rPr>
              <w:t xml:space="preserve">Continuous context monitoring to ensure no harm approach and implementation of results</w:t>
            </w:r>
            <w:r>
              <w:rPr>
                <w:sz w:val="22"/>
              </w:rPr>
              <w:t xml:space="preserve"> </w:t>
            </w:r>
          </w:p>
          <w:p>
            <w:pPr>
              <w:numPr>
                <w:ilvl w:val="0"/>
                <w:numId w:val="47"/>
              </w:numPr>
              <w:spacing w:before="0" w:after="0" w:line="239" w:lineRule="auto"/>
              <w:ind w:left="259" w:right="179" w:hanging="182"/>
            </w:pPr>
            <w:r>
              <w:rPr>
                <w:sz w:val="22"/>
              </w:rPr>
              <w:t xml:space="preserve">Strengthen communication and civic awareness related to the project</w:t>
            </w:r>
            <w:r>
              <w:rPr>
                <w:sz w:val="22"/>
              </w:rPr>
              <w:t xml:space="preserve"> </w:t>
            </w:r>
          </w:p>
          <w:p>
            <w:pPr>
              <w:numPr>
                <w:ilvl w:val="0"/>
                <w:numId w:val="47"/>
              </w:numPr>
              <w:spacing w:before="0" w:after="2" w:line="237" w:lineRule="auto"/>
              <w:ind w:left="259" w:right="179" w:hanging="182"/>
            </w:pPr>
            <w:r>
              <w:rPr>
                <w:sz w:val="22"/>
              </w:rPr>
              <w:t xml:space="preserve">Institutionalization of sustainable coordination mechanism and ensure synergies and coherence with on</w:t>
            </w:r>
            <w:r>
              <w:rPr>
                <w:sz w:val="22"/>
              </w:rPr>
              <w:t xml:space="preserve">-</w:t>
            </w:r>
            <w:r>
              <w:rPr>
                <w:sz w:val="22"/>
              </w:rPr>
              <w:t xml:space="preserve">going initiatives </w:t>
            </w:r>
            <w:r>
              <w:rPr>
                <w:sz w:val="22"/>
              </w:rPr>
              <w:t xml:space="preserve"> </w:t>
            </w:r>
          </w:p>
          <w:p>
            <w:pPr>
              <w:numPr>
                <w:ilvl w:val="0"/>
                <w:numId w:val="47"/>
              </w:numPr>
              <w:spacing w:before="0" w:after="0" w:line="259" w:lineRule="auto"/>
              <w:ind w:left="259" w:right="179" w:hanging="182"/>
            </w:pPr>
            <w:r>
              <w:rPr>
                <w:sz w:val="22"/>
              </w:rPr>
              <w:t xml:space="preserve">Carry out ad</w:t>
            </w:r>
            <w:r>
              <w:rPr>
                <w:sz w:val="22"/>
              </w:rPr>
              <w:t xml:space="preserve">-</w:t>
            </w:r>
            <w:r>
              <w:rPr>
                <w:sz w:val="22"/>
              </w:rPr>
              <w:t xml:space="preserve">hoc market price surveys of certain commodities </w:t>
            </w:r>
            <w:r>
              <w:rPr>
                <w:sz w:val="22"/>
              </w:rPr>
              <w:t xml:space="preserve"> </w:t>
            </w:r>
          </w:p>
        </w:tc>
        <w:tc>
          <w:tcPr>
            <w:tcW w:w="1890" w:type="dxa"/>
            <w:tcBorders>
              <w:top w:val="single" w:sz="4" w:color="000000"/>
              <w:left w:val="single" w:sz="4" w:color="000000"/>
              <w:bottom w:val="single" w:sz="4" w:color="000000"/>
              <w:right w:val="single" w:sz="4" w:color="000000"/>
            </w:tcBorders>
            <w:vAlign w:val="center"/>
          </w:tcPr>
          <w:p>
            <w:pPr>
              <w:numPr>
                <w:ilvl w:val="0"/>
                <w:numId w:val="48"/>
              </w:numPr>
              <w:spacing w:before="0" w:after="2" w:line="237" w:lineRule="auto"/>
              <w:ind w:left="254" w:right="221" w:hanging="182"/>
            </w:pPr>
            <w:r>
              <w:rPr>
                <w:sz w:val="22"/>
              </w:rPr>
              <w:t xml:space="preserve">Consultations with communities and their </w:t>
            </w:r>
          </w:p>
          <w:p>
            <w:pPr>
              <w:spacing w:before="0" w:after="0" w:line="259" w:lineRule="auto"/>
              <w:ind w:left="254" w:right="0" w:firstLine="0"/>
              <w:jc w:val="left"/>
            </w:pPr>
            <w:r>
              <w:rPr>
                <w:sz w:val="22"/>
              </w:rPr>
              <w:t xml:space="preserve">representative</w:t>
            </w:r>
          </w:p>
          <w:p>
            <w:pPr>
              <w:spacing w:before="0" w:after="0" w:line="259" w:lineRule="auto"/>
              <w:ind w:left="254" w:right="0" w:firstLine="0"/>
              <w:jc w:val="left"/>
            </w:pPr>
            <w:r>
              <w:rPr>
                <w:sz w:val="22"/>
              </w:rPr>
              <w:t xml:space="preserve">s </w:t>
            </w:r>
            <w:r>
              <w:rPr>
                <w:sz w:val="22"/>
              </w:rPr>
              <w:t xml:space="preserve"> </w:t>
            </w:r>
          </w:p>
          <w:p>
            <w:pPr>
              <w:numPr>
                <w:ilvl w:val="0"/>
                <w:numId w:val="48"/>
              </w:numPr>
              <w:spacing w:before="0" w:after="2" w:line="237" w:lineRule="auto"/>
              <w:ind w:left="254" w:right="221" w:hanging="182"/>
            </w:pPr>
            <w:r>
              <w:rPr>
                <w:sz w:val="22"/>
              </w:rPr>
              <w:t xml:space="preserve">Regular project board meetings to review progress and mitigate any potential conflict situation </w:t>
            </w:r>
            <w:r>
              <w:rPr>
                <w:sz w:val="22"/>
              </w:rPr>
              <w:t xml:space="preserve"> </w:t>
            </w:r>
          </w:p>
          <w:p>
            <w:pPr>
              <w:numPr>
                <w:ilvl w:val="0"/>
                <w:numId w:val="48"/>
              </w:numPr>
              <w:spacing w:before="0" w:after="0" w:line="239" w:lineRule="auto"/>
              <w:ind w:left="254" w:right="221" w:hanging="182"/>
            </w:pPr>
            <w:r>
              <w:rPr>
                <w:sz w:val="22"/>
              </w:rPr>
              <w:t xml:space="preserve">Support and strengthen </w:t>
            </w:r>
          </w:p>
          <w:p>
            <w:pPr>
              <w:spacing w:before="0" w:after="0" w:line="259" w:lineRule="auto"/>
              <w:ind w:left="254" w:right="0" w:firstLine="0"/>
              <w:jc w:val="left"/>
            </w:pPr>
            <w:r>
              <w:rPr>
                <w:sz w:val="22"/>
              </w:rPr>
              <w:t xml:space="preserve">government</w:t>
            </w:r>
            <w:r>
              <w:rPr>
                <w:sz w:val="22"/>
              </w:rPr>
              <w:t xml:space="preserve">-</w:t>
            </w:r>
          </w:p>
          <w:p>
            <w:pPr>
              <w:spacing w:before="0" w:after="0" w:line="238" w:lineRule="auto"/>
              <w:ind w:left="254" w:right="0" w:firstLine="0"/>
              <w:jc w:val="left"/>
            </w:pPr>
            <w:r>
              <w:rPr>
                <w:sz w:val="22"/>
              </w:rPr>
              <w:t xml:space="preserve">led coordination </w:t>
            </w:r>
          </w:p>
          <w:p>
            <w:pPr>
              <w:spacing w:before="0" w:after="0" w:line="259" w:lineRule="auto"/>
              <w:ind w:left="254" w:right="0" w:firstLine="0"/>
              <w:jc w:val="left"/>
            </w:pPr>
            <w:r>
              <w:rPr>
                <w:sz w:val="22"/>
              </w:rPr>
              <w:t xml:space="preserve">mechanisms</w:t>
            </w:r>
            <w:r>
              <w:rPr>
                <w:sz w:val="22"/>
              </w:rPr>
              <w:t xml:space="preserve"> </w:t>
            </w:r>
          </w:p>
          <w:p>
            <w:pPr>
              <w:spacing w:before="0" w:after="0" w:line="259" w:lineRule="auto"/>
              <w:ind w:left="254" w:right="0" w:firstLine="0"/>
              <w:jc w:val="left"/>
            </w:pPr>
            <w:r>
              <w:rPr>
                <w:sz w:val="22"/>
              </w:rPr>
              <w:t xml:space="preserve"> </w:t>
            </w:r>
          </w:p>
        </w:tc>
      </w:tr>
    </w:tbl>
    <w:p>
      <w:pPr>
        <w:spacing w:before="0" w:after="0" w:line="259" w:lineRule="auto"/>
        <w:ind w:left="-1440" w:right="276" w:firstLine="0"/>
        <w:jc w:val="left"/>
      </w:pPr>
    </w:p>
    <w:tbl>
      <w:tblPr>
        <w:tblStyle w:val="TableGrid"/>
        <w:tblW w:w="10349" w:type="dxa"/>
        <w:tblInd w:w="-1259" w:type="dxa"/>
        <w:tblCellMar>
          <w:top w:w="38" w:type="dxa"/>
          <w:left w:w="106" w:type="dxa"/>
          <w:bottom w:w="0" w:type="dxa"/>
          <w:right w:w="62" w:type="dxa"/>
        </w:tblCellMar>
      </w:tblPr>
      <w:tblGrid>
        <w:gridCol w:w="1528"/>
        <w:gridCol w:w="2568"/>
        <w:gridCol w:w="1416"/>
        <w:gridCol w:w="2947"/>
        <w:gridCol w:w="1890"/>
      </w:tblGrid>
      <w:tr>
        <w:trPr>
          <w:trHeight w:val="899" w:hRule="atLeast"/>
        </w:trPr>
        <w:tc>
          <w:tcPr>
            <w:tcW w:w="1528" w:type="dxa"/>
            <w:tcBorders>
              <w:top w:val="single" w:sz="4" w:color="ffffff"/>
              <w:left w:val="single" w:sz="4" w:color="333333"/>
              <w:bottom w:val="single" w:sz="4" w:color="000000"/>
              <w:right w:val="single" w:sz="4" w:color="ffffff"/>
            </w:tcBorders>
            <w:shd w:val="clear" w:fill="000080"/>
            <w:vAlign w:val="center"/>
          </w:tcPr>
          <w:p>
            <w:pPr>
              <w:spacing w:before="0" w:after="0" w:line="259" w:lineRule="auto"/>
              <w:ind w:left="227" w:right="0" w:firstLine="0"/>
              <w:jc w:val="left"/>
            </w:pPr>
            <w:r>
              <w:rPr>
                <w:rFonts w:cs="Cambria" w:hAnsi="Cambria" w:eastAsia="Cambria" w:ascii="Cambria"/>
                <w:b w:val="1"/>
                <w:color w:val="ffffff"/>
                <w:sz w:val="22"/>
              </w:rPr>
              <w:t xml:space="preserve">Area</w:t>
            </w:r>
            <w:r>
              <w:rPr>
                <w:rFonts w:cs="Cambria" w:hAnsi="Cambria" w:eastAsia="Cambria" w:ascii="Cambria"/>
                <w:b w:val="1"/>
                <w:color w:val="ffffff"/>
                <w:sz w:val="22"/>
              </w:rPr>
              <w:t xml:space="preserve"> </w:t>
            </w:r>
          </w:p>
        </w:tc>
        <w:tc>
          <w:tcPr>
            <w:tcW w:w="2568"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34" w:right="0" w:firstLine="0"/>
              <w:jc w:val="left"/>
            </w:pPr>
            <w:r>
              <w:rPr>
                <w:rFonts w:cs="Cambria" w:hAnsi="Cambria" w:eastAsia="Cambria" w:ascii="Cambria"/>
                <w:b w:val="1"/>
                <w:color w:val="ffffff"/>
                <w:sz w:val="22"/>
              </w:rPr>
              <w:t xml:space="preserve">Conflict/Disaster/Risk</w:t>
            </w:r>
            <w:r>
              <w:rPr>
                <w:rFonts w:cs="Cambria" w:hAnsi="Cambria" w:eastAsia="Cambria" w:ascii="Cambria"/>
                <w:b w:val="1"/>
                <w:color w:val="ffffff"/>
                <w:sz w:val="22"/>
              </w:rPr>
              <w:t xml:space="preserve"> </w:t>
            </w:r>
          </w:p>
        </w:tc>
        <w:tc>
          <w:tcPr>
            <w:tcW w:w="1416"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29" w:right="0" w:hanging="29"/>
              <w:jc w:val="left"/>
            </w:pPr>
            <w:r>
              <w:rPr>
                <w:rFonts w:cs="Cambria" w:hAnsi="Cambria" w:eastAsia="Cambria" w:ascii="Cambria"/>
                <w:b w:val="1"/>
                <w:color w:val="ffffff"/>
                <w:sz w:val="22"/>
              </w:rPr>
              <w:t xml:space="preserve">Impact &amp;</w:t>
            </w:r>
            <w:r>
              <w:rPr>
                <w:rFonts w:cs="Cambria" w:hAnsi="Cambria" w:eastAsia="Cambria" w:ascii="Cambria"/>
                <w:b w:val="1"/>
                <w:color w:val="ffffff"/>
                <w:sz w:val="22"/>
              </w:rPr>
              <w:t xml:space="preserve"> </w:t>
            </w:r>
            <w:r>
              <w:rPr>
                <w:rFonts w:cs="Cambria" w:hAnsi="Cambria" w:eastAsia="Cambria" w:ascii="Cambria"/>
                <w:b w:val="1"/>
                <w:color w:val="ffffff"/>
                <w:sz w:val="22"/>
              </w:rPr>
              <w:t xml:space="preserve">Probability</w:t>
            </w:r>
            <w:r>
              <w:rPr>
                <w:rFonts w:cs="Cambria" w:hAnsi="Cambria" w:eastAsia="Cambria" w:ascii="Cambria"/>
                <w:b w:val="1"/>
                <w:color w:val="ffffff"/>
                <w:sz w:val="22"/>
              </w:rPr>
              <w:t xml:space="preserve"> </w:t>
            </w:r>
          </w:p>
        </w:tc>
        <w:tc>
          <w:tcPr>
            <w:tcW w:w="2947"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0" w:right="43" w:firstLine="0"/>
              <w:jc w:val="center"/>
            </w:pPr>
            <w:r>
              <w:rPr>
                <w:rFonts w:cs="Cambria" w:hAnsi="Cambria" w:eastAsia="Cambria" w:ascii="Cambria"/>
                <w:b w:val="1"/>
                <w:color w:val="ffffff"/>
                <w:sz w:val="22"/>
              </w:rPr>
              <w:t xml:space="preserve">Mitigation Measures</w:t>
            </w:r>
            <w:r>
              <w:rPr>
                <w:rFonts w:cs="Cambria" w:hAnsi="Cambria" w:eastAsia="Cambria" w:ascii="Cambria"/>
                <w:b w:val="1"/>
                <w:color w:val="ffffff"/>
                <w:sz w:val="22"/>
              </w:rPr>
              <w:t xml:space="preserve"> </w:t>
            </w:r>
          </w:p>
        </w:tc>
        <w:tc>
          <w:tcPr>
            <w:tcW w:w="1890" w:type="dxa"/>
            <w:tcBorders>
              <w:top w:val="single" w:sz="4" w:color="ffffff"/>
              <w:left w:val="single" w:sz="4" w:color="ffffff"/>
              <w:bottom w:val="single" w:sz="4" w:color="000000"/>
              <w:right w:val="single" w:sz="4" w:color="333333"/>
            </w:tcBorders>
            <w:shd w:val="clear" w:fill="000080"/>
            <w:vAlign w:val="top"/>
          </w:tcPr>
          <w:p>
            <w:pPr>
              <w:spacing w:before="0" w:after="16" w:line="259" w:lineRule="auto"/>
              <w:ind w:left="0" w:right="54" w:firstLine="0"/>
              <w:jc w:val="center"/>
            </w:pPr>
            <w:r>
              <w:rPr>
                <w:rFonts w:cs="Cambria" w:hAnsi="Cambria" w:eastAsia="Cambria" w:ascii="Cambria"/>
                <w:b w:val="1"/>
                <w:color w:val="ffffff"/>
                <w:sz w:val="22"/>
              </w:rPr>
              <w:t xml:space="preserve">Management </w:t>
            </w:r>
          </w:p>
          <w:p>
            <w:pPr>
              <w:spacing w:before="0" w:after="16" w:line="259" w:lineRule="auto"/>
              <w:ind w:left="0" w:right="47" w:firstLine="0"/>
              <w:jc w:val="center"/>
            </w:pPr>
            <w:r>
              <w:rPr>
                <w:rFonts w:cs="Cambria" w:hAnsi="Cambria" w:eastAsia="Cambria" w:ascii="Cambria"/>
                <w:b w:val="1"/>
                <w:color w:val="ffffff"/>
                <w:sz w:val="22"/>
              </w:rPr>
              <w:t xml:space="preserve">Options &amp; </w:t>
            </w:r>
          </w:p>
          <w:p>
            <w:pPr>
              <w:spacing w:before="0" w:after="0" w:line="259" w:lineRule="auto"/>
              <w:ind w:left="0" w:right="55" w:firstLine="0"/>
              <w:jc w:val="center"/>
            </w:pPr>
            <w:r>
              <w:rPr>
                <w:rFonts w:cs="Cambria" w:hAnsi="Cambria" w:eastAsia="Cambria" w:ascii="Cambria"/>
                <w:b w:val="1"/>
                <w:color w:val="ffffff"/>
                <w:sz w:val="22"/>
              </w:rPr>
              <w:t xml:space="preserve">Response</w:t>
            </w:r>
            <w:r>
              <w:rPr>
                <w:rFonts w:cs="Cambria" w:hAnsi="Cambria" w:eastAsia="Cambria" w:ascii="Cambria"/>
                <w:b w:val="1"/>
                <w:color w:val="ffffff"/>
                <w:sz w:val="22"/>
              </w:rPr>
              <w:t xml:space="preserve"> </w:t>
            </w:r>
          </w:p>
        </w:tc>
      </w:tr>
      <w:tr>
        <w:trPr>
          <w:trHeight w:val="11872"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2" w:line="272" w:lineRule="auto"/>
              <w:ind w:left="1" w:right="0" w:firstLine="0"/>
              <w:jc w:val="left"/>
            </w:pPr>
            <w:r>
              <w:rPr>
                <w:rFonts w:cs="Cambria" w:hAnsi="Cambria" w:eastAsia="Cambria" w:ascii="Cambria"/>
                <w:b w:val="1"/>
                <w:sz w:val="22"/>
              </w:rPr>
              <w:t xml:space="preserve">Environmen tal</w:t>
            </w:r>
            <w:r>
              <w:rPr>
                <w:rFonts w:cs="Cambria" w:hAnsi="Cambria" w:eastAsia="Cambria" w:ascii="Cambria"/>
                <w:b w:val="1"/>
                <w:sz w:val="22"/>
              </w:rPr>
              <w:t xml:space="preserve">-</w:t>
            </w:r>
            <w:r>
              <w:rPr>
                <w:rFonts w:cs="Cambria" w:hAnsi="Cambria" w:eastAsia="Cambria" w:ascii="Cambria"/>
                <w:b w:val="1"/>
                <w:sz w:val="22"/>
              </w:rPr>
              <w:t xml:space="preserve">NRM/ physical</w:t>
            </w:r>
            <w:r>
              <w:rPr>
                <w:rFonts w:cs="Cambria" w:hAnsi="Cambria" w:eastAsia="Cambria" w:ascii="Cambria"/>
                <w:b w:val="1"/>
                <w:sz w:val="22"/>
              </w:rPr>
              <w:t xml:space="preserve"> </w:t>
            </w:r>
          </w:p>
          <w:p>
            <w:pPr>
              <w:spacing w:before="0" w:after="0" w:line="259" w:lineRule="auto"/>
              <w:ind w:left="1" w:right="0" w:firstLine="0"/>
              <w:jc w:val="left"/>
            </w:pPr>
            <w:r>
              <w:rPr>
                <w:rFonts w:cs="Cambria" w:hAnsi="Cambria" w:eastAsia="Cambria" w:ascii="Cambria"/>
                <w:b w:val="1"/>
                <w:sz w:val="22"/>
              </w:rPr>
              <w:t xml:space="preserve"> </w:t>
            </w:r>
          </w:p>
        </w:tc>
        <w:tc>
          <w:tcPr>
            <w:tcW w:w="2568" w:type="dxa"/>
            <w:tcBorders>
              <w:top w:val="single" w:sz="4" w:color="000000"/>
              <w:left w:val="single" w:sz="4" w:color="000000"/>
              <w:bottom w:val="single" w:sz="4" w:color="000000"/>
              <w:right w:val="single" w:sz="4" w:color="000000"/>
            </w:tcBorders>
            <w:vAlign w:val="center"/>
          </w:tcPr>
          <w:p>
            <w:pPr>
              <w:numPr>
                <w:ilvl w:val="0"/>
                <w:numId w:val="49"/>
              </w:numPr>
              <w:spacing w:before="0" w:after="0" w:line="238" w:lineRule="auto"/>
              <w:ind w:left="297" w:right="204" w:hanging="182"/>
            </w:pPr>
            <w:r>
              <w:rPr>
                <w:sz w:val="22"/>
              </w:rPr>
              <w:t xml:space="preserve">Exploration and extraction rights of both oil and minerals are done</w:t>
            </w:r>
            <w:r>
              <w:rPr>
                <w:sz w:val="22"/>
              </w:rPr>
              <w:t xml:space="preserve"> </w:t>
            </w:r>
            <w:r>
              <w:rPr>
                <w:sz w:val="22"/>
              </w:rPr>
              <w:t xml:space="preserve">discretely with minor engagement of local communities and other specialized </w:t>
            </w:r>
          </w:p>
          <w:p>
            <w:pPr>
              <w:spacing w:before="0" w:after="1" w:line="238" w:lineRule="auto"/>
              <w:ind w:left="293" w:right="0" w:firstLine="0"/>
              <w:jc w:val="left"/>
            </w:pPr>
            <w:r>
              <w:rPr>
                <w:sz w:val="22"/>
              </w:rPr>
              <w:t xml:space="preserve">branches of the government</w:t>
            </w:r>
            <w:r>
              <w:rPr>
                <w:sz w:val="22"/>
              </w:rPr>
              <w:t xml:space="preserve"> </w:t>
            </w:r>
          </w:p>
          <w:p>
            <w:pPr>
              <w:numPr>
                <w:ilvl w:val="0"/>
                <w:numId w:val="49"/>
              </w:numPr>
              <w:spacing w:before="0" w:after="0" w:line="237" w:lineRule="auto"/>
              <w:ind w:left="297" w:right="204" w:hanging="182"/>
            </w:pPr>
            <w:r>
              <w:rPr>
                <w:sz w:val="22"/>
              </w:rPr>
              <w:t xml:space="preserve">Land tenure and use governed not necessarily by clear policies, but also by customary practices</w:t>
            </w:r>
            <w:r>
              <w:rPr>
                <w:sz w:val="22"/>
              </w:rPr>
              <w:t xml:space="preserve"> </w:t>
            </w:r>
          </w:p>
          <w:p>
            <w:pPr>
              <w:numPr>
                <w:ilvl w:val="0"/>
                <w:numId w:val="49"/>
              </w:numPr>
              <w:spacing w:before="0" w:after="0" w:line="238" w:lineRule="auto"/>
              <w:ind w:left="297" w:right="204" w:hanging="182"/>
            </w:pPr>
            <w:r>
              <w:rPr>
                <w:sz w:val="22"/>
              </w:rPr>
              <w:t xml:space="preserve">Decisions on project types and locations do not take int</w:t>
            </w:r>
            <w:r>
              <w:rPr>
                <w:sz w:val="22"/>
              </w:rPr>
              <w:t xml:space="preserve">o </w:t>
            </w:r>
            <w:r>
              <w:rPr>
                <w:sz w:val="22"/>
              </w:rPr>
              <w:t xml:space="preserve">consideration </w:t>
            </w:r>
          </w:p>
          <w:p>
            <w:pPr>
              <w:spacing w:before="0" w:after="0" w:line="259" w:lineRule="auto"/>
              <w:ind w:left="0" w:right="97" w:firstLine="0"/>
              <w:jc w:val="right"/>
            </w:pPr>
            <w:r>
              <w:rPr>
                <w:sz w:val="22"/>
              </w:rPr>
              <w:t xml:space="preserve">environmental issues </w:t>
            </w:r>
            <w:r>
              <w:rPr>
                <w:sz w:val="22"/>
              </w:rPr>
              <w:t xml:space="preserve"> </w:t>
            </w:r>
          </w:p>
          <w:p>
            <w:pPr>
              <w:numPr>
                <w:ilvl w:val="0"/>
                <w:numId w:val="49"/>
              </w:numPr>
              <w:spacing w:before="0" w:after="2" w:line="237" w:lineRule="auto"/>
              <w:ind w:left="297" w:right="204" w:hanging="182"/>
            </w:pPr>
            <w:r>
              <w:rPr>
                <w:sz w:val="22"/>
              </w:rPr>
              <w:t xml:space="preserve">Difficulty in integrating community projects into wider sector planning for future maintenance and development</w:t>
            </w:r>
            <w:r>
              <w:rPr>
                <w:sz w:val="22"/>
              </w:rPr>
              <w:t xml:space="preserve"> </w:t>
            </w:r>
          </w:p>
          <w:p>
            <w:pPr>
              <w:numPr>
                <w:ilvl w:val="0"/>
                <w:numId w:val="49"/>
              </w:numPr>
              <w:spacing w:before="0" w:after="0" w:line="259" w:lineRule="auto"/>
              <w:ind w:left="297" w:right="204" w:hanging="182"/>
            </w:pPr>
            <w:r>
              <w:rPr>
                <w:sz w:val="22"/>
              </w:rPr>
              <w:t xml:space="preserve">Limited municipal, social and economic services </w:t>
            </w:r>
            <w:r>
              <w:rPr>
                <w:sz w:val="22"/>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2" w:line="259" w:lineRule="auto"/>
              <w:ind w:left="0" w:right="52" w:firstLine="0"/>
              <w:jc w:val="center"/>
            </w:pPr>
            <w:r>
              <w:rPr>
                <w:rFonts w:cs="Cambria" w:hAnsi="Cambria" w:eastAsia="Cambria" w:ascii="Cambria"/>
                <w:b w:val="1"/>
                <w:sz w:val="22"/>
              </w:rPr>
              <w:t xml:space="preserve">P 3</w:t>
            </w:r>
            <w:r>
              <w:rPr>
                <w:rFonts w:cs="Cambria" w:hAnsi="Cambria" w:eastAsia="Cambria" w:ascii="Cambria"/>
                <w:b w:val="1"/>
                <w:sz w:val="22"/>
                <w:vertAlign w:val="subscript"/>
              </w:rPr>
              <w:t xml:space="preserve"> </w:t>
            </w:r>
          </w:p>
          <w:p>
            <w:pPr>
              <w:spacing w:before="0" w:after="16" w:line="259" w:lineRule="auto"/>
              <w:ind w:left="0" w:right="52" w:firstLine="0"/>
              <w:jc w:val="center"/>
            </w:pPr>
            <w:r>
              <w:rPr>
                <w:rFonts w:cs="Cambria" w:hAnsi="Cambria" w:eastAsia="Cambria" w:ascii="Cambria"/>
                <w:b w:val="1"/>
                <w:sz w:val="22"/>
              </w:rPr>
              <w:t xml:space="preserve">I  3</w:t>
            </w: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1"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1"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16" w:line="259" w:lineRule="auto"/>
              <w:ind w:left="0" w:right="0" w:firstLine="0"/>
              <w:jc w:val="center"/>
            </w:pPr>
            <w:r>
              <w:rPr>
                <w:rFonts w:cs="Cambria" w:hAnsi="Cambria" w:eastAsia="Cambria" w:ascii="Cambria"/>
                <w:b w:val="1"/>
                <w:sz w:val="22"/>
              </w:rPr>
              <w:t xml:space="preserve"> </w:t>
            </w:r>
          </w:p>
          <w:p>
            <w:pPr>
              <w:spacing w:before="0" w:after="0" w:line="259" w:lineRule="auto"/>
              <w:ind w:left="0" w:right="0" w:firstLine="0"/>
              <w:jc w:val="center"/>
            </w:pPr>
            <w:r>
              <w:rPr>
                <w:rFonts w:cs="Cambria" w:hAnsi="Cambria" w:eastAsia="Cambria" w:ascii="Cambria"/>
                <w:b w:val="1"/>
                <w:sz w:val="22"/>
              </w:rPr>
              <w:t xml:space="preserve"> </w:t>
            </w:r>
          </w:p>
        </w:tc>
        <w:tc>
          <w:tcPr>
            <w:tcW w:w="2947" w:type="dxa"/>
            <w:tcBorders>
              <w:top w:val="single" w:sz="4" w:color="000000"/>
              <w:left w:val="single" w:sz="4" w:color="000000"/>
              <w:bottom w:val="single" w:sz="4" w:color="000000"/>
              <w:right w:val="single" w:sz="4" w:color="000000"/>
            </w:tcBorders>
            <w:vAlign w:val="top"/>
          </w:tcPr>
          <w:p>
            <w:pPr>
              <w:numPr>
                <w:ilvl w:val="0"/>
                <w:numId w:val="50"/>
              </w:numPr>
              <w:spacing w:before="0" w:after="3" w:line="237" w:lineRule="auto"/>
              <w:ind w:left="259" w:right="64" w:hanging="182"/>
            </w:pPr>
            <w:r>
              <w:rPr>
                <w:sz w:val="22"/>
              </w:rPr>
              <w:t xml:space="preserve">Proper engagement of specialized branched of the government, local communities and civil society in contracts negotiation and bidding;</w:t>
            </w:r>
            <w:r>
              <w:rPr>
                <w:sz w:val="22"/>
              </w:rPr>
              <w:t xml:space="preserve"> </w:t>
            </w:r>
          </w:p>
          <w:p>
            <w:pPr>
              <w:numPr>
                <w:ilvl w:val="0"/>
                <w:numId w:val="50"/>
              </w:numPr>
              <w:spacing w:before="0" w:after="2" w:line="237" w:lineRule="auto"/>
              <w:ind w:left="259" w:right="64" w:hanging="182"/>
            </w:pPr>
            <w:r>
              <w:rPr>
                <w:sz w:val="22"/>
              </w:rPr>
              <w:t xml:space="preserve">Advocacy for the application of land policies and harmonization of customary practices;</w:t>
            </w:r>
            <w:r>
              <w:rPr>
                <w:sz w:val="22"/>
              </w:rPr>
              <w:t xml:space="preserve"> </w:t>
            </w:r>
          </w:p>
          <w:p>
            <w:pPr>
              <w:numPr>
                <w:ilvl w:val="0"/>
                <w:numId w:val="50"/>
              </w:numPr>
              <w:spacing w:before="0" w:after="0" w:line="237" w:lineRule="auto"/>
              <w:ind w:left="259" w:right="64" w:hanging="182"/>
            </w:pPr>
            <w:r>
              <w:rPr>
                <w:sz w:val="22"/>
              </w:rPr>
              <w:t xml:space="preserve">Support the establishment of grievances mechanisms at the local as well as at the national levels</w:t>
            </w:r>
            <w:r>
              <w:rPr>
                <w:sz w:val="22"/>
              </w:rPr>
              <w:t xml:space="preserve"> </w:t>
            </w:r>
          </w:p>
          <w:p>
            <w:pPr>
              <w:numPr>
                <w:ilvl w:val="0"/>
                <w:numId w:val="50"/>
              </w:numPr>
              <w:spacing w:before="0" w:after="0" w:line="238" w:lineRule="auto"/>
              <w:ind w:left="259" w:right="64" w:hanging="182"/>
            </w:pPr>
            <w:r>
              <w:rPr>
                <w:sz w:val="22"/>
              </w:rPr>
              <w:t xml:space="preserve">Benefit from past experiences from other countries in the management and use of natural resources especially oil and minerals exploitation</w:t>
            </w:r>
            <w:r>
              <w:rPr>
                <w:sz w:val="22"/>
              </w:rPr>
              <w:t xml:space="preserve"> </w:t>
            </w:r>
          </w:p>
          <w:p>
            <w:pPr>
              <w:numPr>
                <w:ilvl w:val="0"/>
                <w:numId w:val="50"/>
              </w:numPr>
              <w:spacing w:before="0" w:after="1" w:line="238" w:lineRule="auto"/>
              <w:ind w:left="259" w:right="64" w:hanging="182"/>
            </w:pPr>
            <w:r>
              <w:rPr>
                <w:sz w:val="22"/>
              </w:rPr>
              <w:t xml:space="preserve">Include environmental selection criteria of sites and ensure laws and policies are integral parts of any exploitation process of natural resources </w:t>
            </w:r>
            <w:r>
              <w:rPr>
                <w:sz w:val="22"/>
              </w:rPr>
              <w:t xml:space="preserve"> </w:t>
            </w:r>
          </w:p>
          <w:p>
            <w:pPr>
              <w:numPr>
                <w:ilvl w:val="0"/>
                <w:numId w:val="50"/>
              </w:numPr>
              <w:spacing w:before="0" w:after="5" w:line="234" w:lineRule="auto"/>
              <w:ind w:left="259" w:right="64" w:hanging="182"/>
            </w:pPr>
            <w:r>
              <w:rPr>
                <w:sz w:val="22"/>
              </w:rPr>
              <w:t xml:space="preserve">Promote environmental awareness and advocacy </w:t>
            </w:r>
          </w:p>
          <w:p>
            <w:pPr>
              <w:spacing w:before="0" w:after="0" w:line="259" w:lineRule="auto"/>
              <w:ind w:left="259" w:right="0" w:firstLine="0"/>
              <w:jc w:val="left"/>
            </w:pPr>
            <w:r>
              <w:rPr>
                <w:sz w:val="22"/>
              </w:rPr>
              <w:t xml:space="preserve">and involve the </w:t>
            </w:r>
          </w:p>
          <w:p>
            <w:pPr>
              <w:spacing w:before="0" w:after="0" w:line="259" w:lineRule="auto"/>
              <w:ind w:left="259" w:right="0" w:firstLine="0"/>
              <w:jc w:val="left"/>
            </w:pPr>
            <w:r>
              <w:rPr>
                <w:sz w:val="22"/>
              </w:rPr>
              <w:t xml:space="preserve">Environment </w:t>
            </w:r>
          </w:p>
          <w:p>
            <w:pPr>
              <w:spacing w:before="0" w:after="1" w:line="238" w:lineRule="auto"/>
              <w:ind w:left="259" w:right="0" w:firstLine="0"/>
            </w:pPr>
            <w:r>
              <w:rPr>
                <w:sz w:val="22"/>
              </w:rPr>
              <w:t xml:space="preserve">Agency/Authority in the selection process</w:t>
            </w:r>
            <w:r>
              <w:rPr>
                <w:sz w:val="22"/>
              </w:rPr>
              <w:t xml:space="preserve"> </w:t>
            </w:r>
          </w:p>
          <w:p>
            <w:pPr>
              <w:numPr>
                <w:ilvl w:val="0"/>
                <w:numId w:val="50"/>
              </w:numPr>
              <w:spacing w:before="0" w:after="2" w:line="237" w:lineRule="auto"/>
              <w:ind w:left="259" w:right="64" w:hanging="182"/>
            </w:pPr>
            <w:r>
              <w:rPr>
                <w:sz w:val="22"/>
              </w:rPr>
              <w:t xml:space="preserve">Establish standard operating procedures for exploitation of natural resources including land use</w:t>
            </w:r>
            <w:r>
              <w:rPr>
                <w:sz w:val="22"/>
              </w:rPr>
              <w:t xml:space="preserve"> </w:t>
            </w:r>
          </w:p>
          <w:p>
            <w:pPr>
              <w:numPr>
                <w:ilvl w:val="0"/>
                <w:numId w:val="50"/>
              </w:numPr>
              <w:spacing w:before="0" w:after="0" w:line="259" w:lineRule="auto"/>
              <w:ind w:left="259" w:right="64" w:hanging="182"/>
            </w:pPr>
            <w:r>
              <w:rPr>
                <w:sz w:val="22"/>
              </w:rPr>
              <w:t xml:space="preserve">Involve concerned authorities and communities as early as possible to foster ownership and synergies</w:t>
            </w:r>
            <w:r>
              <w:rPr>
                <w:sz w:val="22"/>
              </w:rPr>
              <w:t xml:space="preserve"> </w:t>
            </w:r>
          </w:p>
        </w:tc>
        <w:tc>
          <w:tcPr>
            <w:tcW w:w="1890" w:type="dxa"/>
            <w:tcBorders>
              <w:top w:val="single" w:sz="4" w:color="000000"/>
              <w:left w:val="single" w:sz="4" w:color="000000"/>
              <w:bottom w:val="single" w:sz="4" w:color="000000"/>
              <w:right w:val="single" w:sz="4" w:color="000000"/>
            </w:tcBorders>
            <w:vAlign w:val="center"/>
          </w:tcPr>
          <w:p>
            <w:pPr>
              <w:spacing w:before="0" w:after="0" w:line="243" w:lineRule="auto"/>
              <w:ind w:left="720" w:right="0" w:hanging="360"/>
              <w:jc w:val="left"/>
            </w:pPr>
            <w:r>
              <w:rPr>
                <w:rFonts w:cs="Arial" w:hAnsi="Arial" w:eastAsia="Arial" w:ascii="Arial"/>
                <w:sz w:val="22"/>
              </w:rPr>
              <w:t xml:space="preserve">- 	</w:t>
            </w:r>
            <w:r>
              <w:rPr>
                <w:sz w:val="22"/>
              </w:rPr>
              <w:t xml:space="preserve">Impleme ntation </w:t>
            </w:r>
          </w:p>
          <w:p>
            <w:pPr>
              <w:spacing w:before="0" w:after="0" w:line="259" w:lineRule="auto"/>
              <w:ind w:left="70" w:right="0" w:firstLine="0"/>
              <w:jc w:val="center"/>
            </w:pPr>
            <w:r>
              <w:rPr>
                <w:sz w:val="22"/>
              </w:rPr>
              <w:t xml:space="preserve">and </w:t>
            </w:r>
          </w:p>
          <w:p>
            <w:pPr>
              <w:spacing w:before="0" w:after="1" w:line="237" w:lineRule="auto"/>
              <w:ind w:left="720" w:right="0" w:firstLine="0"/>
              <w:jc w:val="left"/>
            </w:pPr>
            <w:r>
              <w:rPr>
                <w:sz w:val="22"/>
              </w:rPr>
              <w:t xml:space="preserve">managem ent of the project in partnersh ip with </w:t>
            </w:r>
          </w:p>
          <w:p>
            <w:pPr>
              <w:spacing w:before="0" w:after="0" w:line="259" w:lineRule="auto"/>
              <w:ind w:left="720" w:right="0" w:firstLine="0"/>
              <w:jc w:val="left"/>
            </w:pPr>
            <w:r>
              <w:rPr>
                <w:sz w:val="22"/>
              </w:rPr>
              <w:t xml:space="preserve">governme</w:t>
            </w:r>
          </w:p>
          <w:p>
            <w:pPr>
              <w:spacing w:before="0" w:after="0" w:line="237" w:lineRule="auto"/>
              <w:ind w:left="720" w:right="0" w:firstLine="0"/>
              <w:jc w:val="left"/>
            </w:pPr>
            <w:r>
              <w:rPr>
                <w:sz w:val="22"/>
              </w:rPr>
              <w:t xml:space="preserve">nt, local authoritie s and other  </w:t>
            </w:r>
          </w:p>
          <w:p>
            <w:pPr>
              <w:spacing w:before="0" w:after="10" w:line="238" w:lineRule="auto"/>
              <w:ind w:left="720" w:right="0" w:firstLine="0"/>
              <w:jc w:val="left"/>
            </w:pPr>
            <w:r>
              <w:rPr>
                <w:sz w:val="22"/>
              </w:rPr>
              <w:t xml:space="preserve">local partners</w:t>
            </w:r>
            <w:r>
              <w:rPr>
                <w:sz w:val="22"/>
              </w:rPr>
              <w:t xml:space="preserve"> </w:t>
            </w:r>
          </w:p>
          <w:p>
            <w:pPr>
              <w:spacing w:before="0" w:after="0" w:line="243" w:lineRule="auto"/>
              <w:ind w:left="720" w:right="0" w:hanging="360"/>
              <w:jc w:val="left"/>
            </w:pPr>
            <w:r>
              <w:rPr>
                <w:rFonts w:cs="Arial" w:hAnsi="Arial" w:eastAsia="Arial" w:ascii="Arial"/>
                <w:sz w:val="22"/>
              </w:rPr>
              <w:t xml:space="preserve">- 	</w:t>
            </w:r>
            <w:r>
              <w:rPr>
                <w:sz w:val="22"/>
              </w:rPr>
              <w:t xml:space="preserve">Constant monitorin</w:t>
            </w:r>
          </w:p>
          <w:p>
            <w:pPr>
              <w:spacing w:before="0" w:after="0" w:line="259" w:lineRule="auto"/>
              <w:ind w:left="0" w:right="174" w:firstLine="0"/>
              <w:jc w:val="center"/>
            </w:pPr>
            <w:r>
              <w:rPr>
                <w:sz w:val="22"/>
              </w:rPr>
              <w:t xml:space="preserve">g</w:t>
            </w:r>
            <w:r>
              <w:rPr>
                <w:sz w:val="22"/>
              </w:rPr>
              <w:t xml:space="preserve"> </w:t>
            </w:r>
          </w:p>
          <w:p>
            <w:pPr>
              <w:spacing w:before="0" w:after="0" w:line="259" w:lineRule="auto"/>
              <w:ind w:left="360" w:right="0" w:firstLine="0"/>
              <w:jc w:val="left"/>
            </w:pPr>
            <w:r>
              <w:rPr>
                <w:sz w:val="22"/>
              </w:rPr>
              <w:t xml:space="preserve"> </w:t>
            </w:r>
          </w:p>
        </w:tc>
      </w:tr>
    </w:tbl>
    <w:p>
      <w:pPr>
        <w:spacing w:before="0" w:after="0" w:line="259" w:lineRule="auto"/>
        <w:ind w:left="-1440" w:right="276" w:firstLine="0"/>
        <w:jc w:val="left"/>
      </w:pPr>
    </w:p>
    <w:tbl>
      <w:tblPr>
        <w:tblStyle w:val="TableGrid"/>
        <w:tblW w:w="10349" w:type="dxa"/>
        <w:tblInd w:w="-1259" w:type="dxa"/>
        <w:tblCellMar>
          <w:top w:w="38" w:type="dxa"/>
          <w:left w:w="106" w:type="dxa"/>
          <w:bottom w:w="0" w:type="dxa"/>
          <w:right w:w="23" w:type="dxa"/>
        </w:tblCellMar>
      </w:tblPr>
      <w:tblGrid>
        <w:gridCol w:w="1528"/>
        <w:gridCol w:w="2568"/>
        <w:gridCol w:w="1416"/>
        <w:gridCol w:w="2947"/>
        <w:gridCol w:w="1890"/>
      </w:tblGrid>
      <w:tr>
        <w:trPr>
          <w:trHeight w:val="899" w:hRule="atLeast"/>
        </w:trPr>
        <w:tc>
          <w:tcPr>
            <w:tcW w:w="1528" w:type="dxa"/>
            <w:tcBorders>
              <w:top w:val="single" w:sz="4" w:color="ffffff"/>
              <w:left w:val="single" w:sz="4" w:color="333333"/>
              <w:bottom w:val="single" w:sz="4" w:color="000000"/>
              <w:right w:val="single" w:sz="4" w:color="ffffff"/>
            </w:tcBorders>
            <w:shd w:val="clear" w:fill="000080"/>
            <w:vAlign w:val="center"/>
          </w:tcPr>
          <w:p>
            <w:pPr>
              <w:spacing w:before="0" w:after="0" w:line="259" w:lineRule="auto"/>
              <w:ind w:left="227" w:right="0" w:firstLine="0"/>
              <w:jc w:val="left"/>
            </w:pPr>
            <w:r>
              <w:rPr>
                <w:rFonts w:cs="Cambria" w:hAnsi="Cambria" w:eastAsia="Cambria" w:ascii="Cambria"/>
                <w:b w:val="1"/>
                <w:color w:val="ffffff"/>
                <w:sz w:val="22"/>
              </w:rPr>
              <w:t xml:space="preserve">Area</w:t>
            </w:r>
            <w:r>
              <w:rPr>
                <w:rFonts w:cs="Cambria" w:hAnsi="Cambria" w:eastAsia="Cambria" w:ascii="Cambria"/>
                <w:b w:val="1"/>
                <w:color w:val="ffffff"/>
                <w:sz w:val="22"/>
              </w:rPr>
              <w:t xml:space="preserve"> </w:t>
            </w:r>
          </w:p>
        </w:tc>
        <w:tc>
          <w:tcPr>
            <w:tcW w:w="2568"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34" w:right="0" w:firstLine="0"/>
              <w:jc w:val="left"/>
            </w:pPr>
            <w:r>
              <w:rPr>
                <w:rFonts w:cs="Cambria" w:hAnsi="Cambria" w:eastAsia="Cambria" w:ascii="Cambria"/>
                <w:b w:val="1"/>
                <w:color w:val="ffffff"/>
                <w:sz w:val="22"/>
              </w:rPr>
              <w:t xml:space="preserve">Conflict/Disaster/Risk</w:t>
            </w:r>
            <w:r>
              <w:rPr>
                <w:rFonts w:cs="Cambria" w:hAnsi="Cambria" w:eastAsia="Cambria" w:ascii="Cambria"/>
                <w:b w:val="1"/>
                <w:color w:val="ffffff"/>
                <w:sz w:val="22"/>
              </w:rPr>
              <w:t xml:space="preserve"> </w:t>
            </w:r>
          </w:p>
        </w:tc>
        <w:tc>
          <w:tcPr>
            <w:tcW w:w="1416"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29" w:right="0" w:hanging="29"/>
              <w:jc w:val="left"/>
            </w:pPr>
            <w:r>
              <w:rPr>
                <w:rFonts w:cs="Cambria" w:hAnsi="Cambria" w:eastAsia="Cambria" w:ascii="Cambria"/>
                <w:b w:val="1"/>
                <w:color w:val="ffffff"/>
                <w:sz w:val="22"/>
              </w:rPr>
              <w:t xml:space="preserve">Impact &amp;</w:t>
            </w:r>
            <w:r>
              <w:rPr>
                <w:rFonts w:cs="Cambria" w:hAnsi="Cambria" w:eastAsia="Cambria" w:ascii="Cambria"/>
                <w:b w:val="1"/>
                <w:color w:val="ffffff"/>
                <w:sz w:val="22"/>
              </w:rPr>
              <w:t xml:space="preserve"> </w:t>
            </w:r>
            <w:r>
              <w:rPr>
                <w:rFonts w:cs="Cambria" w:hAnsi="Cambria" w:eastAsia="Cambria" w:ascii="Cambria"/>
                <w:b w:val="1"/>
                <w:color w:val="ffffff"/>
                <w:sz w:val="22"/>
              </w:rPr>
              <w:t xml:space="preserve">Probability</w:t>
            </w:r>
            <w:r>
              <w:rPr>
                <w:rFonts w:cs="Cambria" w:hAnsi="Cambria" w:eastAsia="Cambria" w:ascii="Cambria"/>
                <w:b w:val="1"/>
                <w:color w:val="ffffff"/>
                <w:sz w:val="22"/>
              </w:rPr>
              <w:t xml:space="preserve"> </w:t>
            </w:r>
          </w:p>
        </w:tc>
        <w:tc>
          <w:tcPr>
            <w:tcW w:w="2947"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0" w:right="24" w:firstLine="0"/>
              <w:jc w:val="center"/>
            </w:pPr>
            <w:r>
              <w:rPr>
                <w:rFonts w:cs="Cambria" w:hAnsi="Cambria" w:eastAsia="Cambria" w:ascii="Cambria"/>
                <w:b w:val="1"/>
                <w:color w:val="ffffff"/>
                <w:sz w:val="22"/>
              </w:rPr>
              <w:t xml:space="preserve">Mitigation Measures</w:t>
            </w:r>
            <w:r>
              <w:rPr>
                <w:rFonts w:cs="Cambria" w:hAnsi="Cambria" w:eastAsia="Cambria" w:ascii="Cambria"/>
                <w:b w:val="1"/>
                <w:color w:val="ffffff"/>
                <w:sz w:val="22"/>
              </w:rPr>
              <w:t xml:space="preserve"> </w:t>
            </w:r>
          </w:p>
        </w:tc>
        <w:tc>
          <w:tcPr>
            <w:tcW w:w="1890" w:type="dxa"/>
            <w:tcBorders>
              <w:top w:val="single" w:sz="4" w:color="ffffff"/>
              <w:left w:val="single" w:sz="4" w:color="ffffff"/>
              <w:bottom w:val="single" w:sz="4" w:color="000000"/>
              <w:right w:val="single" w:sz="4" w:color="333333"/>
            </w:tcBorders>
            <w:shd w:val="clear" w:fill="000080"/>
            <w:vAlign w:val="top"/>
          </w:tcPr>
          <w:p>
            <w:pPr>
              <w:spacing w:before="0" w:after="16" w:line="259" w:lineRule="auto"/>
              <w:ind w:left="0" w:right="35" w:firstLine="0"/>
              <w:jc w:val="center"/>
            </w:pPr>
            <w:r>
              <w:rPr>
                <w:rFonts w:cs="Cambria" w:hAnsi="Cambria" w:eastAsia="Cambria" w:ascii="Cambria"/>
                <w:b w:val="1"/>
                <w:color w:val="ffffff"/>
                <w:sz w:val="22"/>
              </w:rPr>
              <w:t xml:space="preserve">Management </w:t>
            </w:r>
          </w:p>
          <w:p>
            <w:pPr>
              <w:spacing w:before="0" w:after="16" w:line="259" w:lineRule="auto"/>
              <w:ind w:left="0" w:right="28" w:firstLine="0"/>
              <w:jc w:val="center"/>
            </w:pPr>
            <w:r>
              <w:rPr>
                <w:rFonts w:cs="Cambria" w:hAnsi="Cambria" w:eastAsia="Cambria" w:ascii="Cambria"/>
                <w:b w:val="1"/>
                <w:color w:val="ffffff"/>
                <w:sz w:val="22"/>
              </w:rPr>
              <w:t xml:space="preserve">Options &amp; </w:t>
            </w:r>
          </w:p>
          <w:p>
            <w:pPr>
              <w:spacing w:before="0" w:after="0" w:line="259" w:lineRule="auto"/>
              <w:ind w:left="0" w:right="35" w:firstLine="0"/>
              <w:jc w:val="center"/>
            </w:pPr>
            <w:r>
              <w:rPr>
                <w:rFonts w:cs="Cambria" w:hAnsi="Cambria" w:eastAsia="Cambria" w:ascii="Cambria"/>
                <w:b w:val="1"/>
                <w:color w:val="ffffff"/>
                <w:sz w:val="22"/>
              </w:rPr>
              <w:t xml:space="preserve">Response</w:t>
            </w:r>
            <w:r>
              <w:rPr>
                <w:rFonts w:cs="Cambria" w:hAnsi="Cambria" w:eastAsia="Cambria" w:ascii="Cambria"/>
                <w:b w:val="1"/>
                <w:color w:val="ffffff"/>
                <w:sz w:val="22"/>
              </w:rPr>
              <w:t xml:space="preserve"> </w:t>
            </w:r>
          </w:p>
        </w:tc>
      </w:tr>
      <w:tr>
        <w:trPr>
          <w:trHeight w:val="4169" w:hRule="atLeast"/>
        </w:trPr>
        <w:tc>
          <w:tcPr>
            <w:tcW w:w="1528" w:type="dxa"/>
            <w:tcBorders>
              <w:top w:val="single" w:sz="4" w:color="000000"/>
              <w:left w:val="single" w:sz="4" w:color="000000"/>
              <w:bottom w:val="single" w:sz="4" w:color="000000"/>
              <w:right w:val="single" w:sz="4" w:color="000000"/>
            </w:tcBorders>
            <w:shd w:val="clear" w:fill="b7b7ff"/>
            <w:vAlign w:val="top"/>
          </w:tcPr>
          <w:p>
            <w:pPr>
              <w:bidi w:val="0"/>
              <w:spacing w:before="0" w:after="160" w:line="259" w:lineRule="auto"/>
              <w:ind w:left="0" w:right="0" w:firstLine="0"/>
              <w:jc w:val="left"/>
            </w:pPr>
          </w:p>
        </w:tc>
        <w:tc>
          <w:tcPr>
            <w:tcW w:w="256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1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947" w:type="dxa"/>
            <w:tcBorders>
              <w:top w:val="single" w:sz="4" w:color="000000"/>
              <w:left w:val="single" w:sz="4" w:color="000000"/>
              <w:bottom w:val="single" w:sz="4" w:color="000000"/>
              <w:right w:val="single" w:sz="4" w:color="000000"/>
            </w:tcBorders>
            <w:vAlign w:val="top"/>
          </w:tcPr>
          <w:p>
            <w:pPr>
              <w:spacing w:before="0" w:after="0" w:line="259" w:lineRule="auto"/>
              <w:ind w:left="259" w:right="227" w:hanging="182"/>
            </w:pPr>
            <w:r>
              <w:rPr>
                <w:rFonts w:cs="Arial" w:hAnsi="Arial" w:eastAsia="Arial" w:ascii="Arial"/>
                <w:sz w:val="22"/>
              </w:rPr>
              <w:t xml:space="preserve">- </w:t>
            </w:r>
            <w:r>
              <w:rPr>
                <w:sz w:val="22"/>
              </w:rPr>
              <w:t xml:space="preserve">Carry</w:t>
            </w:r>
            <w:r>
              <w:rPr>
                <w:sz w:val="22"/>
              </w:rPr>
              <w:t xml:space="preserve">-</w:t>
            </w:r>
            <w:r>
              <w:rPr>
                <w:sz w:val="22"/>
              </w:rPr>
              <w:t xml:space="preserve">out needs assessment and address gaps where and when possible</w:t>
            </w:r>
            <w:r>
              <w:rPr>
                <w:sz w:val="22"/>
              </w:rPr>
              <w:t xml:space="preserve"> </w:t>
            </w:r>
          </w:p>
        </w:tc>
        <w:tc>
          <w:tcPr>
            <w:tcW w:w="1890"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866"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0" w:line="259" w:lineRule="auto"/>
              <w:ind w:left="1" w:right="0" w:firstLine="0"/>
              <w:jc w:val="left"/>
            </w:pPr>
            <w:r>
              <w:rPr>
                <w:rFonts w:cs="Cambria" w:hAnsi="Cambria" w:eastAsia="Cambria" w:ascii="Cambria"/>
                <w:b w:val="1"/>
                <w:sz w:val="22"/>
              </w:rPr>
              <w:t xml:space="preserve">Institutional</w:t>
            </w:r>
            <w:r>
              <w:rPr>
                <w:rFonts w:cs="Cambria" w:hAnsi="Cambria" w:eastAsia="Cambria" w:ascii="Cambria"/>
                <w:b w:val="1"/>
                <w:sz w:val="22"/>
              </w:rPr>
              <w:t xml:space="preserve"> </w:t>
            </w:r>
          </w:p>
        </w:tc>
        <w:tc>
          <w:tcPr>
            <w:tcW w:w="2568" w:type="dxa"/>
            <w:tcBorders>
              <w:top w:val="single" w:sz="4" w:color="000000"/>
              <w:left w:val="single" w:sz="4" w:color="000000"/>
              <w:bottom w:val="single" w:sz="4" w:color="000000"/>
              <w:right w:val="single" w:sz="4" w:color="000000"/>
            </w:tcBorders>
            <w:vAlign w:val="center"/>
          </w:tcPr>
          <w:p>
            <w:pPr>
              <w:numPr>
                <w:ilvl w:val="0"/>
                <w:numId w:val="51"/>
              </w:numPr>
              <w:spacing w:before="0" w:after="5" w:line="234" w:lineRule="auto"/>
              <w:ind w:left="259" w:right="0" w:hanging="182"/>
              <w:jc w:val="left"/>
            </w:pPr>
            <w:r>
              <w:rPr>
                <w:sz w:val="22"/>
              </w:rPr>
              <w:t xml:space="preserve">Limited capacities of local implementing </w:t>
            </w:r>
          </w:p>
          <w:p>
            <w:pPr>
              <w:spacing w:before="0" w:after="1" w:line="238" w:lineRule="auto"/>
              <w:ind w:left="259" w:right="0" w:firstLine="0"/>
              <w:jc w:val="left"/>
            </w:pPr>
            <w:r>
              <w:rPr>
                <w:sz w:val="22"/>
              </w:rPr>
              <w:t xml:space="preserve">institutions/authoriti es </w:t>
            </w:r>
            <w:r>
              <w:rPr>
                <w:sz w:val="22"/>
              </w:rPr>
              <w:t xml:space="preserve"> </w:t>
            </w:r>
          </w:p>
          <w:p>
            <w:pPr>
              <w:numPr>
                <w:ilvl w:val="0"/>
                <w:numId w:val="51"/>
              </w:numPr>
              <w:spacing w:before="0" w:after="2" w:line="236" w:lineRule="auto"/>
              <w:ind w:left="259" w:right="0" w:hanging="182"/>
              <w:jc w:val="left"/>
            </w:pPr>
            <w:r>
              <w:rPr>
                <w:sz w:val="22"/>
              </w:rPr>
              <w:t xml:space="preserve">Lack of clarity on division of responsibilities as </w:t>
            </w:r>
          </w:p>
          <w:p>
            <w:pPr>
              <w:spacing w:before="0" w:after="2" w:line="236" w:lineRule="auto"/>
              <w:ind w:left="259" w:right="588" w:firstLine="0"/>
            </w:pPr>
            <w:r>
              <w:rPr>
                <w:sz w:val="22"/>
              </w:rPr>
              <w:t xml:space="preserve">well as different agenda amongst stakeholders.  </w:t>
            </w:r>
            <w:r>
              <w:rPr>
                <w:sz w:val="22"/>
              </w:rPr>
              <w:t xml:space="preserve"> </w:t>
            </w:r>
          </w:p>
          <w:p>
            <w:pPr>
              <w:spacing w:before="0" w:after="0" w:line="259" w:lineRule="auto"/>
              <w:ind w:left="259" w:right="0" w:firstLine="0"/>
              <w:jc w:val="left"/>
            </w:pPr>
            <w:r>
              <w:rPr>
                <w:sz w:val="22"/>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11" w:line="259" w:lineRule="auto"/>
              <w:ind w:left="0" w:right="33" w:firstLine="0"/>
              <w:jc w:val="center"/>
            </w:pPr>
            <w:r>
              <w:rPr>
                <w:rFonts w:cs="Cambria" w:hAnsi="Cambria" w:eastAsia="Cambria" w:ascii="Cambria"/>
                <w:b w:val="1"/>
                <w:sz w:val="22"/>
              </w:rPr>
              <w:t xml:space="preserve">P3</w:t>
            </w:r>
            <w:r>
              <w:rPr>
                <w:rFonts w:cs="Cambria" w:hAnsi="Cambria" w:eastAsia="Cambria" w:ascii="Cambria"/>
                <w:b w:val="1"/>
                <w:sz w:val="22"/>
              </w:rPr>
              <w:t xml:space="preserve"> </w:t>
            </w:r>
          </w:p>
          <w:p>
            <w:pPr>
              <w:spacing w:before="0" w:after="0" w:line="259" w:lineRule="auto"/>
              <w:ind w:left="0" w:right="33" w:firstLine="0"/>
              <w:jc w:val="center"/>
            </w:pPr>
            <w:r>
              <w:rPr>
                <w:rFonts w:cs="Cambria" w:hAnsi="Cambria" w:eastAsia="Cambria" w:ascii="Cambria"/>
                <w:b w:val="1"/>
                <w:sz w:val="22"/>
              </w:rPr>
              <w:t xml:space="preserve">I 3</w:t>
            </w:r>
            <w:r>
              <w:rPr>
                <w:rFonts w:cs="Cambria" w:hAnsi="Cambria" w:eastAsia="Cambria" w:ascii="Cambria"/>
                <w:b w:val="1"/>
                <w:sz w:val="22"/>
              </w:rPr>
              <w:t xml:space="preserve"> </w:t>
            </w:r>
          </w:p>
        </w:tc>
        <w:tc>
          <w:tcPr>
            <w:tcW w:w="2947" w:type="dxa"/>
            <w:tcBorders>
              <w:top w:val="single" w:sz="4" w:color="000000"/>
              <w:left w:val="single" w:sz="4" w:color="000000"/>
              <w:bottom w:val="single" w:sz="4" w:color="000000"/>
              <w:right w:val="single" w:sz="4" w:color="000000"/>
            </w:tcBorders>
            <w:vAlign w:val="center"/>
          </w:tcPr>
          <w:p>
            <w:pPr>
              <w:numPr>
                <w:ilvl w:val="0"/>
                <w:numId w:val="52"/>
              </w:numPr>
              <w:spacing w:before="0" w:after="59" w:line="238" w:lineRule="auto"/>
              <w:ind w:left="259" w:right="0" w:hanging="182"/>
              <w:jc w:val="left"/>
            </w:pPr>
            <w:r>
              <w:rPr>
                <w:sz w:val="22"/>
              </w:rPr>
              <w:t xml:space="preserve">The project will provide capacity development to ensure appropriate project and financial management, transparent implementation, monitoring and reporting </w:t>
            </w:r>
            <w:r>
              <w:rPr>
                <w:sz w:val="22"/>
              </w:rPr>
              <w:t xml:space="preserve"> </w:t>
            </w:r>
          </w:p>
          <w:p>
            <w:pPr>
              <w:numPr>
                <w:ilvl w:val="0"/>
                <w:numId w:val="52"/>
              </w:numPr>
              <w:spacing w:before="0" w:after="59" w:line="237" w:lineRule="auto"/>
              <w:ind w:left="259" w:right="0" w:hanging="182"/>
              <w:jc w:val="left"/>
            </w:pPr>
            <w:r>
              <w:rPr>
                <w:sz w:val="22"/>
              </w:rPr>
              <w:t xml:space="preserve">The project will depend on diversified implementation modalities that include engaging and contracting of local authorities, community based organizations, NGOs, and private sector. </w:t>
            </w:r>
            <w:r>
              <w:rPr>
                <w:sz w:val="22"/>
              </w:rPr>
              <w:t xml:space="preserve"> </w:t>
            </w:r>
          </w:p>
          <w:p>
            <w:pPr>
              <w:numPr>
                <w:ilvl w:val="0"/>
                <w:numId w:val="52"/>
              </w:numPr>
              <w:spacing w:before="0" w:after="1" w:line="238" w:lineRule="auto"/>
              <w:ind w:left="259" w:right="0" w:hanging="182"/>
              <w:jc w:val="left"/>
            </w:pPr>
            <w:r>
              <w:rPr>
                <w:sz w:val="22"/>
              </w:rPr>
              <w:t xml:space="preserve">The project will follow a participatory consultative approach to assist national counterparts in reaching a consensus and agreement on division of </w:t>
            </w:r>
          </w:p>
          <w:p>
            <w:pPr>
              <w:spacing w:before="0" w:after="0" w:line="259" w:lineRule="auto"/>
              <w:ind w:left="259" w:right="0" w:firstLine="0"/>
              <w:jc w:val="left"/>
            </w:pPr>
            <w:r>
              <w:rPr>
                <w:sz w:val="22"/>
              </w:rPr>
              <w:t xml:space="preserve">labour </w:t>
            </w:r>
            <w:r>
              <w:rPr>
                <w:sz w:val="22"/>
              </w:rPr>
              <w:t xml:space="preserve"> </w:t>
            </w:r>
          </w:p>
        </w:tc>
        <w:tc>
          <w:tcPr>
            <w:tcW w:w="1890" w:type="dxa"/>
            <w:tcBorders>
              <w:top w:val="single" w:sz="4" w:color="000000"/>
              <w:left w:val="single" w:sz="4" w:color="000000"/>
              <w:bottom w:val="single" w:sz="4" w:color="000000"/>
              <w:right w:val="single" w:sz="4" w:color="000000"/>
            </w:tcBorders>
            <w:vAlign w:val="top"/>
          </w:tcPr>
          <w:p>
            <w:pPr>
              <w:numPr>
                <w:ilvl w:val="0"/>
                <w:numId w:val="53"/>
              </w:numPr>
              <w:spacing w:before="0" w:after="65" w:line="237" w:lineRule="auto"/>
              <w:ind w:left="254" w:right="40" w:hanging="182"/>
            </w:pPr>
            <w:r>
              <w:rPr>
                <w:sz w:val="22"/>
              </w:rPr>
              <w:t xml:space="preserve">UNDP will work</w:t>
            </w:r>
            <w:r>
              <w:rPr>
                <w:sz w:val="22"/>
              </w:rPr>
              <w:t xml:space="preserve"> </w:t>
            </w:r>
            <w:r>
              <w:rPr>
                <w:sz w:val="22"/>
              </w:rPr>
              <w:t xml:space="preserve">with public institutions to enhance local governance </w:t>
            </w:r>
            <w:r>
              <w:rPr>
                <w:sz w:val="22"/>
              </w:rPr>
              <w:t xml:space="preserve"> </w:t>
            </w:r>
          </w:p>
          <w:p>
            <w:pPr>
              <w:numPr>
                <w:ilvl w:val="0"/>
                <w:numId w:val="53"/>
              </w:numPr>
              <w:spacing w:before="0" w:after="60" w:line="237" w:lineRule="auto"/>
              <w:ind w:left="254" w:right="40" w:hanging="182"/>
            </w:pPr>
            <w:r>
              <w:rPr>
                <w:sz w:val="22"/>
              </w:rPr>
              <w:t xml:space="preserve">The project will engage a wide range of local project partners and stakeholders to facilitate and enable the project implementatio n and ensure the project ownership by the communities/t arget groups </w:t>
            </w:r>
            <w:r>
              <w:rPr>
                <w:sz w:val="22"/>
              </w:rPr>
              <w:t xml:space="preserve"> </w:t>
            </w:r>
          </w:p>
          <w:p>
            <w:pPr>
              <w:numPr>
                <w:ilvl w:val="0"/>
                <w:numId w:val="53"/>
              </w:numPr>
              <w:spacing w:before="0" w:after="0" w:line="239" w:lineRule="auto"/>
              <w:ind w:left="254" w:right="40" w:hanging="182"/>
            </w:pPr>
            <w:r>
              <w:rPr>
                <w:sz w:val="22"/>
              </w:rPr>
              <w:t xml:space="preserve">Web based information </w:t>
            </w:r>
          </w:p>
          <w:p>
            <w:pPr>
              <w:spacing w:before="0" w:after="0" w:line="259" w:lineRule="auto"/>
              <w:ind w:left="254" w:right="0" w:firstLine="0"/>
              <w:jc w:val="left"/>
            </w:pPr>
            <w:r>
              <w:rPr>
                <w:sz w:val="22"/>
              </w:rPr>
              <w:t xml:space="preserve">management and reporting system to enable the project and management </w:t>
            </w:r>
          </w:p>
        </w:tc>
      </w:tr>
    </w:tbl>
    <w:tbl>
      <w:tblPr>
        <w:tblStyle w:val="TableGrid"/>
        <w:tblW w:w="10349" w:type="dxa"/>
        <w:tblInd w:w="-1259" w:type="dxa"/>
        <w:tblCellMar>
          <w:top w:w="38" w:type="dxa"/>
          <w:left w:w="106" w:type="dxa"/>
          <w:bottom w:w="0" w:type="dxa"/>
          <w:right w:w="23" w:type="dxa"/>
        </w:tblCellMar>
      </w:tblPr>
      <w:tblGrid>
        <w:gridCol w:w="1528"/>
        <w:gridCol w:w="2568"/>
        <w:gridCol w:w="1416"/>
        <w:gridCol w:w="2947"/>
        <w:gridCol w:w="1890"/>
      </w:tblGrid>
      <w:tr>
        <w:trPr>
          <w:trHeight w:val="899" w:hRule="atLeast"/>
        </w:trPr>
        <w:tc>
          <w:tcPr>
            <w:tcW w:w="1528" w:type="dxa"/>
            <w:tcBorders>
              <w:top w:val="single" w:sz="4" w:color="ffffff"/>
              <w:left w:val="single" w:sz="4" w:color="333333"/>
              <w:bottom w:val="single" w:sz="4" w:color="000000"/>
              <w:right w:val="single" w:sz="4" w:color="ffffff"/>
            </w:tcBorders>
            <w:shd w:val="clear" w:fill="000080"/>
            <w:vAlign w:val="center"/>
          </w:tcPr>
          <w:p>
            <w:pPr>
              <w:spacing w:before="0" w:after="0" w:line="259" w:lineRule="auto"/>
              <w:ind w:left="227" w:right="0" w:firstLine="0"/>
              <w:jc w:val="left"/>
            </w:pPr>
            <w:r>
              <w:rPr>
                <w:rFonts w:cs="Cambria" w:hAnsi="Cambria" w:eastAsia="Cambria" w:ascii="Cambria"/>
                <w:b w:val="1"/>
                <w:color w:val="ffffff"/>
                <w:sz w:val="22"/>
              </w:rPr>
              <w:t xml:space="preserve">Area</w:t>
            </w:r>
            <w:r>
              <w:rPr>
                <w:rFonts w:cs="Cambria" w:hAnsi="Cambria" w:eastAsia="Cambria" w:ascii="Cambria"/>
                <w:b w:val="1"/>
                <w:color w:val="ffffff"/>
                <w:sz w:val="22"/>
              </w:rPr>
              <w:t xml:space="preserve"> </w:t>
            </w:r>
          </w:p>
        </w:tc>
        <w:tc>
          <w:tcPr>
            <w:tcW w:w="2568"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34" w:right="0" w:firstLine="0"/>
              <w:jc w:val="left"/>
            </w:pPr>
            <w:r>
              <w:rPr>
                <w:rFonts w:cs="Cambria" w:hAnsi="Cambria" w:eastAsia="Cambria" w:ascii="Cambria"/>
                <w:b w:val="1"/>
                <w:color w:val="ffffff"/>
                <w:sz w:val="22"/>
              </w:rPr>
              <w:t xml:space="preserve">Conflict/Disaster/Risk</w:t>
            </w:r>
            <w:r>
              <w:rPr>
                <w:rFonts w:cs="Cambria" w:hAnsi="Cambria" w:eastAsia="Cambria" w:ascii="Cambria"/>
                <w:b w:val="1"/>
                <w:color w:val="ffffff"/>
                <w:sz w:val="22"/>
              </w:rPr>
              <w:t xml:space="preserve"> </w:t>
            </w:r>
          </w:p>
        </w:tc>
        <w:tc>
          <w:tcPr>
            <w:tcW w:w="1416"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29" w:right="0" w:hanging="29"/>
              <w:jc w:val="left"/>
            </w:pPr>
            <w:r>
              <w:rPr>
                <w:rFonts w:cs="Cambria" w:hAnsi="Cambria" w:eastAsia="Cambria" w:ascii="Cambria"/>
                <w:b w:val="1"/>
                <w:color w:val="ffffff"/>
                <w:sz w:val="22"/>
              </w:rPr>
              <w:t xml:space="preserve">Impact &amp;</w:t>
            </w:r>
            <w:r>
              <w:rPr>
                <w:rFonts w:cs="Cambria" w:hAnsi="Cambria" w:eastAsia="Cambria" w:ascii="Cambria"/>
                <w:b w:val="1"/>
                <w:color w:val="ffffff"/>
                <w:sz w:val="22"/>
              </w:rPr>
              <w:t xml:space="preserve"> </w:t>
            </w:r>
            <w:r>
              <w:rPr>
                <w:rFonts w:cs="Cambria" w:hAnsi="Cambria" w:eastAsia="Cambria" w:ascii="Cambria"/>
                <w:b w:val="1"/>
                <w:color w:val="ffffff"/>
                <w:sz w:val="22"/>
              </w:rPr>
              <w:t xml:space="preserve">Probability</w:t>
            </w:r>
            <w:r>
              <w:rPr>
                <w:rFonts w:cs="Cambria" w:hAnsi="Cambria" w:eastAsia="Cambria" w:ascii="Cambria"/>
                <w:b w:val="1"/>
                <w:color w:val="ffffff"/>
                <w:sz w:val="22"/>
              </w:rPr>
              <w:t xml:space="preserve"> </w:t>
            </w:r>
          </w:p>
        </w:tc>
        <w:tc>
          <w:tcPr>
            <w:tcW w:w="2947" w:type="dxa"/>
            <w:tcBorders>
              <w:top w:val="single" w:sz="4" w:color="ffffff"/>
              <w:left w:val="single" w:sz="4" w:color="ffffff"/>
              <w:bottom w:val="single" w:sz="4" w:color="000000"/>
              <w:right w:val="single" w:sz="4" w:color="ffffff"/>
            </w:tcBorders>
            <w:shd w:val="clear" w:fill="000080"/>
            <w:vAlign w:val="center"/>
          </w:tcPr>
          <w:p>
            <w:pPr>
              <w:spacing w:before="0" w:after="0" w:line="259" w:lineRule="auto"/>
              <w:ind w:left="0" w:right="82" w:firstLine="0"/>
              <w:jc w:val="center"/>
            </w:pPr>
            <w:r>
              <w:rPr>
                <w:rFonts w:cs="Cambria" w:hAnsi="Cambria" w:eastAsia="Cambria" w:ascii="Cambria"/>
                <w:b w:val="1"/>
                <w:color w:val="ffffff"/>
                <w:sz w:val="22"/>
              </w:rPr>
              <w:t xml:space="preserve">Mitigation Measures</w:t>
            </w:r>
            <w:r>
              <w:rPr>
                <w:rFonts w:cs="Cambria" w:hAnsi="Cambria" w:eastAsia="Cambria" w:ascii="Cambria"/>
                <w:b w:val="1"/>
                <w:color w:val="ffffff"/>
                <w:sz w:val="22"/>
              </w:rPr>
              <w:t xml:space="preserve"> </w:t>
            </w:r>
          </w:p>
        </w:tc>
        <w:tc>
          <w:tcPr>
            <w:tcW w:w="1890" w:type="dxa"/>
            <w:tcBorders>
              <w:top w:val="single" w:sz="4" w:color="ffffff"/>
              <w:left w:val="single" w:sz="4" w:color="ffffff"/>
              <w:bottom w:val="single" w:sz="4" w:color="000000"/>
              <w:right w:val="single" w:sz="4" w:color="333333"/>
            </w:tcBorders>
            <w:shd w:val="clear" w:fill="000080"/>
            <w:vAlign w:val="top"/>
          </w:tcPr>
          <w:p>
            <w:pPr>
              <w:spacing w:before="0" w:after="16" w:line="259" w:lineRule="auto"/>
              <w:ind w:left="0" w:right="92" w:firstLine="0"/>
              <w:jc w:val="center"/>
            </w:pPr>
            <w:r>
              <w:rPr>
                <w:rFonts w:cs="Cambria" w:hAnsi="Cambria" w:eastAsia="Cambria" w:ascii="Cambria"/>
                <w:b w:val="1"/>
                <w:color w:val="ffffff"/>
                <w:sz w:val="22"/>
              </w:rPr>
              <w:t xml:space="preserve">Management </w:t>
            </w:r>
          </w:p>
          <w:p>
            <w:pPr>
              <w:spacing w:before="0" w:after="16" w:line="259" w:lineRule="auto"/>
              <w:ind w:left="0" w:right="86" w:firstLine="0"/>
              <w:jc w:val="center"/>
            </w:pPr>
            <w:r>
              <w:rPr>
                <w:rFonts w:cs="Cambria" w:hAnsi="Cambria" w:eastAsia="Cambria" w:ascii="Cambria"/>
                <w:b w:val="1"/>
                <w:color w:val="ffffff"/>
                <w:sz w:val="22"/>
              </w:rPr>
              <w:t xml:space="preserve">Options &amp; </w:t>
            </w:r>
          </w:p>
          <w:p>
            <w:pPr>
              <w:spacing w:before="0" w:after="0" w:line="259" w:lineRule="auto"/>
              <w:ind w:left="0" w:right="93" w:firstLine="0"/>
              <w:jc w:val="center"/>
            </w:pPr>
            <w:r>
              <w:rPr>
                <w:rFonts w:cs="Cambria" w:hAnsi="Cambria" w:eastAsia="Cambria" w:ascii="Cambria"/>
                <w:b w:val="1"/>
                <w:color w:val="ffffff"/>
                <w:sz w:val="22"/>
              </w:rPr>
              <w:t xml:space="preserve">Response</w:t>
            </w:r>
            <w:r>
              <w:rPr>
                <w:rFonts w:cs="Cambria" w:hAnsi="Cambria" w:eastAsia="Cambria" w:ascii="Cambria"/>
                <w:b w:val="1"/>
                <w:color w:val="ffffff"/>
                <w:sz w:val="22"/>
              </w:rPr>
              <w:t xml:space="preserve"> </w:t>
            </w:r>
          </w:p>
        </w:tc>
      </w:tr>
      <w:tr>
        <w:trPr>
          <w:trHeight w:val="2407" w:hRule="atLeast"/>
        </w:trPr>
        <w:tc>
          <w:tcPr>
            <w:tcW w:w="1528" w:type="dxa"/>
            <w:tcBorders>
              <w:top w:val="single" w:sz="4" w:color="000000"/>
              <w:left w:val="single" w:sz="4" w:color="000000"/>
              <w:bottom w:val="single" w:sz="4" w:color="000000"/>
              <w:right w:val="single" w:sz="4" w:color="000000"/>
            </w:tcBorders>
            <w:shd w:val="clear" w:fill="b7b7ff"/>
            <w:vAlign w:val="top"/>
          </w:tcPr>
          <w:p>
            <w:pPr>
              <w:bidi w:val="0"/>
              <w:spacing w:before="0" w:after="160" w:line="259" w:lineRule="auto"/>
              <w:ind w:left="0" w:right="0" w:firstLine="0"/>
              <w:jc w:val="left"/>
            </w:pPr>
          </w:p>
        </w:tc>
        <w:tc>
          <w:tcPr>
            <w:tcW w:w="2568"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1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2947"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890" w:type="dxa"/>
            <w:tcBorders>
              <w:top w:val="single" w:sz="4" w:color="000000"/>
              <w:left w:val="single" w:sz="4" w:color="000000"/>
              <w:bottom w:val="single" w:sz="4" w:color="000000"/>
              <w:right w:val="single" w:sz="4" w:color="000000"/>
            </w:tcBorders>
            <w:vAlign w:val="top"/>
          </w:tcPr>
          <w:p>
            <w:pPr>
              <w:spacing w:before="0" w:after="0" w:line="259" w:lineRule="auto"/>
              <w:ind w:left="254" w:right="36" w:firstLine="0"/>
              <w:jc w:val="left"/>
            </w:pPr>
            <w:r>
              <w:rPr>
                <w:sz w:val="22"/>
              </w:rPr>
              <w:t xml:space="preserve">to monitor the progress online </w:t>
            </w:r>
            <w:r>
              <w:rPr>
                <w:sz w:val="22"/>
              </w:rPr>
              <w:t xml:space="preserve"> </w:t>
            </w:r>
          </w:p>
        </w:tc>
      </w:tr>
      <w:tr>
        <w:trPr>
          <w:trHeight w:val="3397" w:hRule="atLeast"/>
        </w:trPr>
        <w:tc>
          <w:tcPr>
            <w:tcW w:w="1528" w:type="dxa"/>
            <w:tcBorders>
              <w:top w:val="single" w:sz="4" w:color="000000"/>
              <w:left w:val="single" w:sz="4" w:color="000000"/>
              <w:bottom w:val="single" w:sz="4" w:color="000000"/>
              <w:right w:val="single" w:sz="4" w:color="000000"/>
            </w:tcBorders>
            <w:shd w:val="clear" w:fill="b7b7ff"/>
            <w:vAlign w:val="center"/>
          </w:tcPr>
          <w:p>
            <w:pPr>
              <w:spacing w:before="0" w:after="16" w:line="259" w:lineRule="auto"/>
              <w:ind w:left="1" w:right="0" w:firstLine="0"/>
              <w:jc w:val="left"/>
            </w:pPr>
            <w:r>
              <w:rPr>
                <w:rFonts w:cs="Cambria" w:hAnsi="Cambria" w:eastAsia="Cambria" w:ascii="Cambria"/>
                <w:b w:val="1"/>
                <w:sz w:val="22"/>
              </w:rPr>
              <w:t xml:space="preserve">High </w:t>
            </w:r>
          </w:p>
          <w:p>
            <w:pPr>
              <w:spacing w:before="0" w:after="0" w:line="259" w:lineRule="auto"/>
              <w:ind w:left="1" w:right="0" w:firstLine="0"/>
              <w:jc w:val="left"/>
            </w:pPr>
            <w:r>
              <w:rPr>
                <w:rFonts w:cs="Cambria" w:hAnsi="Cambria" w:eastAsia="Cambria" w:ascii="Cambria"/>
                <w:b w:val="1"/>
                <w:sz w:val="22"/>
              </w:rPr>
              <w:t xml:space="preserve">Expectations </w:t>
            </w:r>
            <w:r>
              <w:rPr>
                <w:rFonts w:cs="Cambria" w:hAnsi="Cambria" w:eastAsia="Cambria" w:ascii="Cambria"/>
                <w:b w:val="1"/>
                <w:sz w:val="22"/>
              </w:rPr>
              <w:t xml:space="preserve"> </w:t>
            </w:r>
          </w:p>
        </w:tc>
        <w:tc>
          <w:tcPr>
            <w:tcW w:w="2568" w:type="dxa"/>
            <w:tcBorders>
              <w:top w:val="single" w:sz="4" w:color="000000"/>
              <w:left w:val="single" w:sz="4" w:color="000000"/>
              <w:bottom w:val="single" w:sz="4" w:color="000000"/>
              <w:right w:val="single" w:sz="4" w:color="000000"/>
            </w:tcBorders>
            <w:vAlign w:val="center"/>
          </w:tcPr>
          <w:p>
            <w:pPr>
              <w:spacing w:before="0" w:after="1" w:line="237" w:lineRule="auto"/>
              <w:ind w:left="259" w:right="156" w:hanging="182"/>
            </w:pPr>
            <w:r>
              <w:rPr>
                <w:rFonts w:cs="Arial" w:hAnsi="Arial" w:eastAsia="Arial" w:ascii="Arial"/>
                <w:sz w:val="22"/>
              </w:rPr>
              <w:t xml:space="preserve">- </w:t>
            </w:r>
            <w:r>
              <w:rPr>
                <w:sz w:val="22"/>
              </w:rPr>
              <w:t xml:space="preserve">Negative perception of segments of the public regarding project due to limited information of the </w:t>
            </w:r>
          </w:p>
          <w:p>
            <w:pPr>
              <w:spacing w:before="0" w:after="0" w:line="259" w:lineRule="auto"/>
              <w:ind w:left="259" w:right="0" w:firstLine="0"/>
              <w:jc w:val="left"/>
            </w:pPr>
            <w:r>
              <w:rPr>
                <w:sz w:val="22"/>
              </w:rPr>
              <w:t xml:space="preserve">various activities and un</w:t>
            </w:r>
            <w:r>
              <w:rPr>
                <w:sz w:val="22"/>
              </w:rPr>
              <w:t xml:space="preserve">-</w:t>
            </w:r>
            <w:r>
              <w:rPr>
                <w:sz w:val="22"/>
              </w:rPr>
              <w:t xml:space="preserve">managed expectation </w:t>
            </w:r>
            <w:r>
              <w:rPr>
                <w:sz w:val="22"/>
              </w:rPr>
              <w:t xml:space="preserve"> </w:t>
            </w:r>
          </w:p>
        </w:tc>
        <w:tc>
          <w:tcPr>
            <w:tcW w:w="1416" w:type="dxa"/>
            <w:tcBorders>
              <w:top w:val="single" w:sz="4" w:color="000000"/>
              <w:left w:val="single" w:sz="4" w:color="000000"/>
              <w:bottom w:val="single" w:sz="4" w:color="000000"/>
              <w:right w:val="single" w:sz="4" w:color="000000"/>
            </w:tcBorders>
            <w:vAlign w:val="top"/>
          </w:tcPr>
          <w:p>
            <w:pPr>
              <w:spacing w:before="0" w:after="11" w:line="259" w:lineRule="auto"/>
              <w:ind w:left="0" w:right="91" w:firstLine="0"/>
              <w:jc w:val="center"/>
            </w:pPr>
            <w:r>
              <w:rPr>
                <w:rFonts w:cs="Cambria" w:hAnsi="Cambria" w:eastAsia="Cambria" w:ascii="Cambria"/>
                <w:b w:val="1"/>
                <w:sz w:val="22"/>
              </w:rPr>
              <w:t xml:space="preserve">P3</w:t>
            </w:r>
            <w:r>
              <w:rPr>
                <w:rFonts w:cs="Cambria" w:hAnsi="Cambria" w:eastAsia="Cambria" w:ascii="Cambria"/>
                <w:b w:val="1"/>
                <w:sz w:val="22"/>
              </w:rPr>
              <w:t xml:space="preserve"> </w:t>
            </w:r>
          </w:p>
          <w:p>
            <w:pPr>
              <w:spacing w:before="0" w:after="0" w:line="259" w:lineRule="auto"/>
              <w:ind w:left="0" w:right="91" w:firstLine="0"/>
              <w:jc w:val="center"/>
            </w:pPr>
            <w:r>
              <w:rPr>
                <w:rFonts w:cs="Cambria" w:hAnsi="Cambria" w:eastAsia="Cambria" w:ascii="Cambria"/>
                <w:b w:val="1"/>
                <w:sz w:val="22"/>
              </w:rPr>
              <w:t xml:space="preserve">I 3</w:t>
            </w:r>
            <w:r>
              <w:rPr>
                <w:sz w:val="22"/>
              </w:rPr>
              <w:t xml:space="preserve"> </w:t>
            </w:r>
          </w:p>
        </w:tc>
        <w:tc>
          <w:tcPr>
            <w:tcW w:w="2947" w:type="dxa"/>
            <w:tcBorders>
              <w:top w:val="single" w:sz="4" w:color="000000"/>
              <w:left w:val="single" w:sz="4" w:color="000000"/>
              <w:bottom w:val="single" w:sz="4" w:color="000000"/>
              <w:right w:val="single" w:sz="4" w:color="000000"/>
            </w:tcBorders>
            <w:vAlign w:val="top"/>
          </w:tcPr>
          <w:p>
            <w:pPr>
              <w:numPr>
                <w:ilvl w:val="0"/>
                <w:numId w:val="54"/>
              </w:numPr>
              <w:spacing w:before="0" w:after="2" w:line="237" w:lineRule="auto"/>
              <w:ind w:left="259" w:right="7" w:hanging="182"/>
              <w:jc w:val="left"/>
            </w:pPr>
            <w:r>
              <w:rPr>
                <w:sz w:val="22"/>
              </w:rPr>
              <w:t xml:space="preserve">Stronger focus on communicating results and working with communities </w:t>
            </w:r>
            <w:r>
              <w:rPr>
                <w:sz w:val="22"/>
              </w:rPr>
              <w:t xml:space="preserve"> </w:t>
            </w:r>
          </w:p>
          <w:p>
            <w:pPr>
              <w:numPr>
                <w:ilvl w:val="0"/>
                <w:numId w:val="54"/>
              </w:numPr>
              <w:spacing w:before="0" w:after="0" w:line="237" w:lineRule="auto"/>
              <w:ind w:left="259" w:right="7" w:hanging="182"/>
              <w:jc w:val="left"/>
            </w:pPr>
            <w:r>
              <w:rPr>
                <w:sz w:val="22"/>
              </w:rPr>
              <w:t xml:space="preserve">In critical locations UNDP focuses on rapid delivery of highly visible support to communities</w:t>
            </w:r>
            <w:r>
              <w:rPr>
                <w:sz w:val="22"/>
              </w:rPr>
              <w:t xml:space="preserve"> </w:t>
            </w:r>
          </w:p>
          <w:p>
            <w:pPr>
              <w:numPr>
                <w:ilvl w:val="0"/>
                <w:numId w:val="54"/>
              </w:numPr>
              <w:spacing w:before="0" w:after="0" w:line="239" w:lineRule="auto"/>
              <w:ind w:left="259" w:right="7" w:hanging="182"/>
              <w:jc w:val="left"/>
            </w:pPr>
            <w:r>
              <w:rPr>
                <w:sz w:val="22"/>
              </w:rPr>
              <w:t xml:space="preserve">Joint analysis and mitigation of “public perception” risks is </w:t>
            </w:r>
          </w:p>
          <w:p>
            <w:pPr>
              <w:spacing w:before="0" w:after="0" w:line="259" w:lineRule="auto"/>
              <w:ind w:left="259" w:right="0" w:firstLine="0"/>
              <w:jc w:val="left"/>
            </w:pPr>
            <w:r>
              <w:rPr>
                <w:sz w:val="22"/>
              </w:rPr>
              <w:t xml:space="preserve">strengthened </w:t>
            </w:r>
            <w:r>
              <w:rPr>
                <w:sz w:val="22"/>
              </w:rPr>
              <w:t xml:space="preserve"> </w:t>
            </w:r>
          </w:p>
          <w:p>
            <w:pPr>
              <w:spacing w:before="0" w:after="0" w:line="259" w:lineRule="auto"/>
              <w:ind w:left="5" w:right="0" w:firstLine="0"/>
              <w:jc w:val="left"/>
            </w:pPr>
            <w:r>
              <w:rPr>
                <w:sz w:val="22"/>
              </w:rPr>
              <w:t xml:space="preserve"> </w:t>
            </w:r>
          </w:p>
        </w:tc>
        <w:tc>
          <w:tcPr>
            <w:tcW w:w="1890" w:type="dxa"/>
            <w:tcBorders>
              <w:top w:val="single" w:sz="4" w:color="000000"/>
              <w:left w:val="single" w:sz="4" w:color="000000"/>
              <w:bottom w:val="single" w:sz="4" w:color="000000"/>
              <w:right w:val="single" w:sz="4" w:color="000000"/>
            </w:tcBorders>
            <w:vAlign w:val="center"/>
          </w:tcPr>
          <w:p>
            <w:pPr>
              <w:spacing w:before="0" w:after="0" w:line="239" w:lineRule="auto"/>
              <w:ind w:left="254" w:right="14" w:hanging="182"/>
            </w:pPr>
            <w:r>
              <w:rPr>
                <w:rFonts w:cs="Arial" w:hAnsi="Arial" w:eastAsia="Arial" w:ascii="Arial"/>
                <w:sz w:val="22"/>
              </w:rPr>
              <w:t xml:space="preserve">- </w:t>
            </w:r>
            <w:r>
              <w:rPr>
                <w:sz w:val="22"/>
              </w:rPr>
              <w:t xml:space="preserve">Communicatio n strategy</w:t>
            </w:r>
            <w:r>
              <w:rPr>
                <w:sz w:val="22"/>
              </w:rPr>
              <w:t xml:space="preserve"> </w:t>
            </w:r>
          </w:p>
          <w:p>
            <w:pPr>
              <w:spacing w:before="0" w:after="0" w:line="259" w:lineRule="auto"/>
              <w:ind w:left="254" w:right="0" w:firstLine="0"/>
              <w:jc w:val="left"/>
            </w:pPr>
            <w:r>
              <w:rPr>
                <w:sz w:val="22"/>
              </w:rPr>
              <w:t xml:space="preserve"> </w:t>
            </w:r>
          </w:p>
        </w:tc>
      </w:tr>
    </w:tbl>
    <w:p>
      <w:pPr>
        <w:spacing w:before="0" w:after="13" w:line="259" w:lineRule="auto"/>
        <w:ind w:right="0"/>
        <w:jc w:val="left"/>
      </w:pPr>
      <w:r>
        <w:rPr>
          <w:rFonts w:cs="Cambria" w:hAnsi="Cambria" w:eastAsia="Cambria" w:ascii="Cambria"/>
          <w:i w:val="1"/>
          <w:sz w:val="22"/>
        </w:rPr>
        <w:t xml:space="preserve">* Impact (</w:t>
      </w:r>
      <w:r>
        <w:rPr>
          <w:rFonts w:cs="Cambria" w:hAnsi="Cambria" w:eastAsia="Cambria" w:ascii="Cambria"/>
          <w:b w:val="1"/>
          <w:i w:val="1"/>
          <w:sz w:val="22"/>
        </w:rPr>
        <w:t xml:space="preserve">1</w:t>
      </w:r>
      <w:r>
        <w:rPr>
          <w:rFonts w:cs="Cambria" w:hAnsi="Cambria" w:eastAsia="Cambria" w:ascii="Cambria"/>
          <w:i w:val="1"/>
          <w:sz w:val="22"/>
        </w:rPr>
        <w:t xml:space="preserve">: very low; </w:t>
      </w:r>
      <w:r>
        <w:rPr>
          <w:rFonts w:cs="Cambria" w:hAnsi="Cambria" w:eastAsia="Cambria" w:ascii="Cambria"/>
          <w:b w:val="1"/>
          <w:i w:val="1"/>
          <w:sz w:val="22"/>
        </w:rPr>
        <w:t xml:space="preserve">5</w:t>
      </w:r>
      <w:r>
        <w:rPr>
          <w:rFonts w:cs="Cambria" w:hAnsi="Cambria" w:eastAsia="Cambria" w:ascii="Cambria"/>
          <w:i w:val="1"/>
          <w:sz w:val="22"/>
        </w:rPr>
        <w:t xml:space="preserve">: very high)</w:t>
      </w:r>
      <w:r>
        <w:rPr>
          <w:rFonts w:cs="Cambria" w:hAnsi="Cambria" w:eastAsia="Cambria" w:ascii="Cambria"/>
          <w:i w:val="1"/>
          <w:sz w:val="22"/>
        </w:rPr>
        <w:t xml:space="preserve"> </w:t>
      </w:r>
    </w:p>
    <w:p>
      <w:pPr>
        <w:spacing w:before="0" w:after="13" w:line="259" w:lineRule="auto"/>
        <w:ind w:right="0"/>
        <w:jc w:val="left"/>
      </w:pPr>
      <w:r>
        <w:rPr>
          <w:rFonts w:cs="Cambria" w:hAnsi="Cambria" w:eastAsia="Cambria" w:ascii="Cambria"/>
          <w:i w:val="1"/>
          <w:sz w:val="22"/>
        </w:rPr>
        <w:t xml:space="preserve">** Probability (</w:t>
      </w:r>
      <w:r>
        <w:rPr>
          <w:rFonts w:cs="Cambria" w:hAnsi="Cambria" w:eastAsia="Cambria" w:ascii="Cambria"/>
          <w:b w:val="1"/>
          <w:i w:val="1"/>
          <w:sz w:val="22"/>
        </w:rPr>
        <w:t xml:space="preserve">1</w:t>
      </w:r>
      <w:r>
        <w:rPr>
          <w:rFonts w:cs="Cambria" w:hAnsi="Cambria" w:eastAsia="Cambria" w:ascii="Cambria"/>
          <w:i w:val="1"/>
          <w:sz w:val="22"/>
        </w:rPr>
        <w:t xml:space="preserve">: very low; </w:t>
      </w:r>
      <w:r>
        <w:rPr>
          <w:rFonts w:cs="Cambria" w:hAnsi="Cambria" w:eastAsia="Cambria" w:ascii="Cambria"/>
          <w:b w:val="1"/>
          <w:i w:val="1"/>
          <w:sz w:val="22"/>
        </w:rPr>
        <w:t xml:space="preserve">5</w:t>
      </w:r>
      <w:r>
        <w:rPr>
          <w:rFonts w:cs="Cambria" w:hAnsi="Cambria" w:eastAsia="Cambria" w:ascii="Cambria"/>
          <w:i w:val="1"/>
          <w:sz w:val="22"/>
        </w:rPr>
        <w:t xml:space="preserve">: very high)</w:t>
      </w:r>
      <w:r>
        <w:rPr>
          <w:sz w:val="22"/>
        </w:rPr>
        <w:t xml:space="preserve"> </w:t>
      </w:r>
      <w:r>
        <w:rPr>
          <w:rFonts w:cs="Garamond" w:hAnsi="Garamond" w:eastAsia="Garamond" w:ascii="Garamond"/>
          <w:b w:val="1"/>
          <w:sz w:val="22"/>
        </w:rPr>
        <w:t xml:space="preserve">Sample Project Progress</w:t>
      </w:r>
      <w:r>
        <w:rPr>
          <w:rFonts w:cs="Garamond" w:hAnsi="Garamond" w:eastAsia="Garamond" w:ascii="Garamond"/>
          <w:b w:val="1"/>
          <w:sz w:val="22"/>
        </w:rPr>
        <w:t xml:space="preserve"> </w:t>
      </w:r>
      <w:r>
        <w:rPr>
          <w:rFonts w:cs="Garamond" w:hAnsi="Garamond" w:eastAsia="Garamond" w:ascii="Garamond"/>
          <w:b w:val="1"/>
          <w:sz w:val="22"/>
        </w:rPr>
        <w:t xml:space="preserve">Report</w:t>
      </w:r>
      <w:r>
        <w:rPr>
          <w:rFonts w:cs="Garamond" w:hAnsi="Garamond" w:eastAsia="Garamond" w:ascii="Garamond"/>
          <w:b w:val="1"/>
          <w:sz w:val="22"/>
        </w:rPr>
        <w:t xml:space="preserve">                                                                                                      </w:t>
      </w:r>
      <w:r>
        <w:drawing>
          <wp:inline distT="0" distB="0" distL="0" distR="0">
            <wp:extent cx="423672" cy="758952"/>
            <wp:effectExtent l="0" t="0" r="0" b="0"/>
            <wp:docPr id="25437" name="Picture 25437"/>
            <wp:cNvGraphicFramePr/>
            <a:graphic>
              <a:graphicData uri="http://schemas.openxmlformats.org/drawingml/2006/picture">
                <pic:pic xmlns:pic="http://schemas.openxmlformats.org/drawingml/2006/picture">
                  <pic:nvPicPr>
                    <pic:cNvPr id="25437" name="Picture 25437"/>
                    <pic:cNvPicPr/>
                  </pic:nvPicPr>
                  <pic:blipFill>
                    <a:blip r:embed="rId82"/>
                    <a:stretch>
                      <a:fillRect/>
                    </a:stretch>
                  </pic:blipFill>
                  <pic:spPr>
                    <a:xfrm>
                      <a:off x="0" y="0"/>
                      <a:ext cx="423672" cy="758952"/>
                    </a:xfrm>
                    <a:prstGeom prst="rect">
                      <a:avLst/>
                    </a:prstGeom>
                  </pic:spPr>
                </pic:pic>
              </a:graphicData>
            </a:graphic>
          </wp:inline>
        </w:drawing>
      </w:r>
      <w:r>
        <w:rPr>
          <w:rFonts w:cs="Garamond" w:hAnsi="Garamond" w:eastAsia="Garamond" w:ascii="Garamond"/>
          <w:b w:val="1"/>
          <w:sz w:val="22"/>
        </w:rPr>
        <w:t xml:space="preserve">                             </w:t>
      </w:r>
    </w:p>
    <w:p>
      <w:pPr>
        <w:spacing w:before="0" w:after="0" w:line="259" w:lineRule="auto"/>
        <w:ind w:left="2880" w:right="0" w:firstLine="0"/>
        <w:jc w:val="left"/>
      </w:pPr>
      <w:r>
        <w:rPr>
          <w:rFonts w:cs="Garamond" w:hAnsi="Garamond" w:eastAsia="Garamond" w:ascii="Garamond"/>
          <w:b w:val="1"/>
          <w:sz w:val="22"/>
        </w:rPr>
        <w:t xml:space="preserve"> </w:t>
      </w:r>
    </w:p>
    <w:tbl>
      <w:tblPr>
        <w:tblStyle w:val="TableGrid"/>
        <w:tblW w:w="9977" w:type="dxa"/>
        <w:tblInd w:w="-709" w:type="dxa"/>
        <w:tblCellMar>
          <w:top w:w="38" w:type="dxa"/>
          <w:left w:w="106" w:type="dxa"/>
          <w:bottom w:w="0" w:type="dxa"/>
          <w:right w:w="68" w:type="dxa"/>
        </w:tblCellMar>
      </w:tblPr>
      <w:tblGrid>
        <w:gridCol w:w="1880"/>
        <w:gridCol w:w="8096"/>
      </w:tblGrid>
      <w:tr>
        <w:trPr>
          <w:trHeight w:val="395" w:hRule="atLeast"/>
        </w:trPr>
        <w:tc>
          <w:tcPr>
            <w:tcW w:w="188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4" w:right="0" w:firstLine="0"/>
              <w:jc w:val="left"/>
            </w:pPr>
            <w:r>
              <w:rPr>
                <w:rFonts w:cs="Calibri" w:hAnsi="Calibri" w:eastAsia="Calibri" w:ascii="Calibri"/>
                <w:b w:val="1"/>
                <w:sz w:val="19"/>
              </w:rPr>
              <w:t xml:space="preserve">UNDAF Outcome:</w:t>
            </w:r>
            <w:r>
              <w:rPr>
                <w:rFonts w:cs="Calibri" w:hAnsi="Calibri" w:eastAsia="Calibri" w:ascii="Calibri"/>
                <w:b w:val="1"/>
                <w:sz w:val="19"/>
              </w:rPr>
              <w:t xml:space="preserve"> </w:t>
            </w:r>
          </w:p>
        </w:tc>
        <w:tc>
          <w:tcPr>
            <w:tcW w:w="809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0" w:firstLine="0"/>
              <w:jc w:val="left"/>
            </w:pPr>
            <w:r>
              <w:rPr>
                <w:rFonts w:cs="Calibri" w:hAnsi="Calibri" w:eastAsia="Calibri" w:ascii="Calibri"/>
                <w:sz w:val="19"/>
              </w:rPr>
              <w:t xml:space="preserve"> </w:t>
            </w:r>
          </w:p>
        </w:tc>
      </w:tr>
      <w:tr>
        <w:trPr>
          <w:trHeight w:val="542" w:hRule="atLeast"/>
        </w:trPr>
        <w:tc>
          <w:tcPr>
            <w:tcW w:w="1880" w:type="dxa"/>
            <w:tcBorders>
              <w:top w:val="single" w:sz="4" w:color="000000"/>
              <w:left w:val="single" w:sz="4" w:color="000000"/>
              <w:bottom w:val="single" w:sz="4" w:color="000000"/>
              <w:right w:val="single" w:sz="4" w:color="000000"/>
            </w:tcBorders>
            <w:shd w:val="clear" w:fill="d9d9d9"/>
            <w:vAlign w:val="top"/>
          </w:tcPr>
          <w:p>
            <w:pPr>
              <w:tabs>
                <w:tab w:val="right" w:pos="1707"/>
              </w:tabs>
              <w:spacing w:before="0" w:after="16" w:line="259" w:lineRule="auto"/>
              <w:ind w:left="0" w:right="0" w:firstLine="0"/>
              <w:jc w:val="left"/>
            </w:pPr>
            <w:r>
              <w:rPr>
                <w:rFonts w:cs="Calibri" w:hAnsi="Calibri" w:eastAsia="Calibri" w:ascii="Calibri"/>
                <w:b w:val="1"/>
                <w:sz w:val="19"/>
              </w:rPr>
              <w:t xml:space="preserve">Expected 	CP </w:t>
            </w:r>
          </w:p>
          <w:p>
            <w:pPr>
              <w:spacing w:before="0" w:after="0" w:line="259" w:lineRule="auto"/>
              <w:ind w:left="4" w:right="0" w:firstLine="0"/>
              <w:jc w:val="left"/>
            </w:pPr>
            <w:r>
              <w:rPr>
                <w:rFonts w:cs="Calibri" w:hAnsi="Calibri" w:eastAsia="Calibri" w:ascii="Calibri"/>
                <w:b w:val="1"/>
                <w:sz w:val="19"/>
              </w:rPr>
              <w:t xml:space="preserve">Outcome:</w:t>
            </w:r>
            <w:r>
              <w:rPr>
                <w:rFonts w:cs="Calibri" w:hAnsi="Calibri" w:eastAsia="Calibri" w:ascii="Calibri"/>
                <w:b w:val="1"/>
                <w:sz w:val="19"/>
              </w:rPr>
              <w:t xml:space="preserve"> </w:t>
            </w:r>
          </w:p>
        </w:tc>
        <w:tc>
          <w:tcPr>
            <w:tcW w:w="809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0" w:firstLine="0"/>
              <w:jc w:val="left"/>
            </w:pPr>
            <w:r>
              <w:rPr>
                <w:rFonts w:cs="Calibri" w:hAnsi="Calibri" w:eastAsia="Calibri" w:ascii="Calibri"/>
                <w:sz w:val="19"/>
              </w:rPr>
              <w:t xml:space="preserve"> </w:t>
            </w:r>
          </w:p>
        </w:tc>
      </w:tr>
      <w:tr>
        <w:trPr>
          <w:trHeight w:val="547" w:hRule="atLeast"/>
        </w:trPr>
        <w:tc>
          <w:tcPr>
            <w:tcW w:w="188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4" w:right="0" w:firstLine="0"/>
              <w:jc w:val="left"/>
            </w:pPr>
            <w:r>
              <w:rPr>
                <w:rFonts w:cs="Calibri" w:hAnsi="Calibri" w:eastAsia="Calibri" w:ascii="Calibri"/>
                <w:b w:val="1"/>
                <w:sz w:val="19"/>
              </w:rPr>
              <w:t xml:space="preserve">Implementing Partner:</w:t>
            </w:r>
            <w:r>
              <w:rPr>
                <w:rFonts w:cs="Calibri" w:hAnsi="Calibri" w:eastAsia="Calibri" w:ascii="Calibri"/>
                <w:b w:val="1"/>
                <w:sz w:val="19"/>
              </w:rPr>
              <w:t xml:space="preserve"> </w:t>
            </w:r>
          </w:p>
        </w:tc>
        <w:tc>
          <w:tcPr>
            <w:tcW w:w="809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0" w:firstLine="0"/>
              <w:jc w:val="left"/>
            </w:pPr>
            <w:r>
              <w:rPr>
                <w:rFonts w:cs="Calibri" w:hAnsi="Calibri" w:eastAsia="Calibri" w:ascii="Calibri"/>
                <w:color w:val="1f497d"/>
                <w:sz w:val="19"/>
              </w:rPr>
              <w:t xml:space="preserve"> </w:t>
            </w:r>
          </w:p>
        </w:tc>
      </w:tr>
      <w:tr>
        <w:trPr>
          <w:trHeight w:val="392" w:hRule="atLeast"/>
        </w:trPr>
        <w:tc>
          <w:tcPr>
            <w:tcW w:w="1880"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4" w:right="0" w:firstLine="0"/>
              <w:jc w:val="left"/>
            </w:pPr>
            <w:r>
              <w:rPr>
                <w:rFonts w:cs="Calibri" w:hAnsi="Calibri" w:eastAsia="Calibri" w:ascii="Calibri"/>
                <w:b w:val="1"/>
                <w:sz w:val="19"/>
              </w:rPr>
              <w:t xml:space="preserve">Other Partners:</w:t>
            </w:r>
            <w:r>
              <w:rPr>
                <w:rFonts w:cs="Calibri" w:hAnsi="Calibri" w:eastAsia="Calibri" w:ascii="Calibri"/>
                <w:b w:val="1"/>
                <w:sz w:val="19"/>
              </w:rPr>
              <w:t xml:space="preserve"> </w:t>
            </w:r>
          </w:p>
        </w:tc>
        <w:tc>
          <w:tcPr>
            <w:tcW w:w="8096"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0" w:firstLine="0"/>
              <w:jc w:val="left"/>
            </w:pPr>
            <w:r>
              <w:rPr>
                <w:rFonts w:cs="Calibri" w:hAnsi="Calibri" w:eastAsia="Calibri" w:ascii="Calibri"/>
                <w:sz w:val="19"/>
              </w:rPr>
              <w:t xml:space="preserve"> </w:t>
            </w:r>
          </w:p>
        </w:tc>
      </w:tr>
    </w:tbl>
    <w:p>
      <w:pPr>
        <w:spacing w:before="0" w:after="17" w:line="259" w:lineRule="auto"/>
        <w:ind w:left="0" w:right="0" w:firstLine="0"/>
        <w:jc w:val="left"/>
      </w:pPr>
      <w:r>
        <w:rPr>
          <w:rFonts w:cs="Garamond" w:hAnsi="Garamond" w:eastAsia="Garamond" w:ascii="Garamond"/>
          <w:sz w:val="22"/>
        </w:rPr>
        <w:t xml:space="preserve"> </w:t>
      </w:r>
    </w:p>
    <w:p>
      <w:pPr>
        <w:spacing w:before="0" w:after="0" w:line="259" w:lineRule="auto"/>
        <w:ind w:left="0" w:right="0" w:firstLine="0"/>
        <w:jc w:val="left"/>
      </w:pPr>
      <w:r>
        <w:rPr>
          <w:rFonts w:cs="Garamond" w:hAnsi="Garamond" w:eastAsia="Garamond" w:ascii="Garamond"/>
          <w:sz w:val="22"/>
        </w:rPr>
        <w:t xml:space="preserve"> </w:t>
      </w:r>
    </w:p>
    <w:tbl>
      <w:tblPr>
        <w:tblStyle w:val="TableGrid"/>
        <w:tblW w:w="9986" w:type="dxa"/>
        <w:tblInd w:w="-719" w:type="dxa"/>
        <w:tblCellMar>
          <w:top w:w="49" w:type="dxa"/>
          <w:left w:w="104" w:type="dxa"/>
          <w:bottom w:w="0" w:type="dxa"/>
          <w:right w:w="13" w:type="dxa"/>
        </w:tblCellMar>
      </w:tblPr>
      <w:tblGrid>
        <w:gridCol w:w="1079"/>
        <w:gridCol w:w="1349"/>
        <w:gridCol w:w="1171"/>
        <w:gridCol w:w="1349"/>
        <w:gridCol w:w="1354"/>
        <w:gridCol w:w="989"/>
        <w:gridCol w:w="720"/>
        <w:gridCol w:w="1169"/>
        <w:gridCol w:w="808"/>
      </w:tblGrid>
      <w:tr>
        <w:trPr>
          <w:trHeight w:val="2167" w:hRule="atLeast"/>
        </w:trPr>
        <w:tc>
          <w:tcPr>
            <w:tcW w:w="1079" w:type="dxa"/>
            <w:tcBorders>
              <w:top w:val="single" w:sz="4" w:color="000000"/>
              <w:left w:val="single" w:sz="4" w:color="000000"/>
              <w:bottom w:val="single" w:sz="4" w:color="000000"/>
              <w:right w:val="single" w:sz="4" w:color="000000"/>
            </w:tcBorders>
            <w:shd w:val="clear" w:fill="d9d9d9"/>
            <w:vAlign w:val="top"/>
          </w:tcPr>
          <w:p>
            <w:pPr>
              <w:spacing w:before="0" w:after="16" w:line="259" w:lineRule="auto"/>
              <w:ind w:left="0" w:right="0" w:firstLine="0"/>
              <w:jc w:val="left"/>
            </w:pPr>
            <w:r>
              <w:rPr>
                <w:rFonts w:cs="Calibri" w:hAnsi="Calibri" w:eastAsia="Calibri" w:ascii="Calibri"/>
                <w:b w:val="1"/>
                <w:sz w:val="22"/>
              </w:rPr>
              <w:t xml:space="preserve">Expected </w:t>
            </w:r>
          </w:p>
          <w:p>
            <w:pPr>
              <w:spacing w:before="0" w:after="0" w:line="259" w:lineRule="auto"/>
              <w:ind w:left="0" w:right="0" w:firstLine="0"/>
              <w:jc w:val="left"/>
            </w:pPr>
            <w:r>
              <w:rPr>
                <w:rFonts w:cs="Calibri" w:hAnsi="Calibri" w:eastAsia="Calibri" w:ascii="Calibri"/>
                <w:b w:val="1"/>
                <w:sz w:val="22"/>
              </w:rPr>
              <w:t xml:space="preserve">CPAP Output(i ncluding indicator s, annual targets </w:t>
            </w:r>
            <w:r>
              <w:rPr>
                <w:rFonts w:cs="Calibri" w:hAnsi="Calibri" w:eastAsia="Calibri" w:ascii="Calibri"/>
                <w:b w:val="1"/>
                <w:sz w:val="22"/>
              </w:rPr>
              <w:t xml:space="preserve"> </w:t>
            </w:r>
          </w:p>
        </w:tc>
        <w:tc>
          <w:tcPr>
            <w:tcW w:w="1349" w:type="dxa"/>
            <w:vMerge w:val="restart"/>
            <w:tcBorders>
              <w:top w:val="single" w:sz="4" w:color="000000"/>
              <w:left w:val="single" w:sz="4" w:color="000000"/>
              <w:bottom w:val="single" w:sz="4" w:color="000000"/>
              <w:right w:val="single" w:sz="4" w:color="000000"/>
            </w:tcBorders>
            <w:shd w:val="clear" w:fill="d9d9d9"/>
            <w:vAlign w:val="top"/>
          </w:tcPr>
          <w:p>
            <w:pPr>
              <w:spacing w:before="0" w:after="15" w:line="275" w:lineRule="auto"/>
              <w:ind w:left="1" w:right="92" w:firstLine="0"/>
            </w:pPr>
            <w:r>
              <w:rPr>
                <w:rFonts w:cs="Calibri" w:hAnsi="Calibri" w:eastAsia="Calibri" w:ascii="Calibri"/>
                <w:b w:val="1"/>
                <w:sz w:val="22"/>
              </w:rPr>
              <w:t xml:space="preserve"> </w:t>
            </w:r>
            <w:r>
              <w:rPr>
                <w:rFonts w:cs="Calibri" w:hAnsi="Calibri" w:eastAsia="Calibri" w:ascii="Calibri"/>
                <w:b w:val="1"/>
                <w:sz w:val="22"/>
              </w:rPr>
              <w:t xml:space="preserve">Planned activities (as indicated in the AWP) </w:t>
            </w:r>
          </w:p>
          <w:p>
            <w:pPr>
              <w:spacing w:before="0" w:after="0" w:line="289" w:lineRule="auto"/>
              <w:ind w:left="1" w:right="94" w:firstLine="0"/>
            </w:pPr>
            <w:r>
              <w:rPr>
                <w:rFonts w:cs="Calibri" w:hAnsi="Calibri" w:eastAsia="Calibri" w:ascii="Calibri"/>
                <w:b w:val="1"/>
                <w:sz w:val="22"/>
              </w:rPr>
              <w:t xml:space="preserve">e.g.</w:t>
            </w:r>
            <w:r>
              <w:rPr>
                <w:rFonts w:cs="Calibri" w:hAnsi="Calibri" w:eastAsia="Calibri" w:ascii="Calibri"/>
                <w:b w:val="1"/>
                <w:sz w:val="22"/>
              </w:rPr>
              <w:t xml:space="preserve">  </w:t>
            </w:r>
            <w:r>
              <w:rPr>
                <w:rFonts w:cs="Calibri" w:hAnsi="Calibri" w:eastAsia="Calibri" w:ascii="Calibri"/>
                <w:i w:val="1"/>
                <w:sz w:val="18"/>
              </w:rPr>
              <w:t xml:space="preserve">Conduct training of NPA staff 	in </w:t>
            </w:r>
          </w:p>
          <w:p>
            <w:pPr>
              <w:spacing w:before="0" w:after="0" w:line="274" w:lineRule="auto"/>
              <w:ind w:left="1" w:right="0" w:firstLine="0"/>
              <w:jc w:val="left"/>
            </w:pPr>
            <w:r>
              <w:rPr>
                <w:rFonts w:cs="Calibri" w:hAnsi="Calibri" w:eastAsia="Calibri" w:ascii="Calibri"/>
                <w:i w:val="1"/>
                <w:sz w:val="18"/>
              </w:rPr>
              <w:t xml:space="preserve">participatory planning</w:t>
            </w:r>
            <w:r>
              <w:rPr>
                <w:rFonts w:cs="Calibri" w:hAnsi="Calibri" w:eastAsia="Calibri" w:ascii="Calibri"/>
                <w:i w:val="1"/>
                <w:sz w:val="18"/>
              </w:rPr>
              <w:t xml:space="preserve"> </w:t>
            </w:r>
          </w:p>
          <w:p>
            <w:pPr>
              <w:spacing w:before="0" w:after="57" w:line="259" w:lineRule="auto"/>
              <w:ind w:left="1" w:right="0" w:firstLine="0"/>
              <w:jc w:val="left"/>
            </w:pPr>
            <w:r>
              <w:rPr>
                <w:rFonts w:cs="Calibri" w:hAnsi="Calibri" w:eastAsia="Calibri" w:ascii="Calibri"/>
                <w:i w:val="1"/>
                <w:sz w:val="18"/>
              </w:rPr>
              <w:t xml:space="preserve"> </w:t>
            </w:r>
          </w:p>
          <w:p>
            <w:pPr>
              <w:spacing w:before="0" w:after="16" w:line="259" w:lineRule="auto"/>
              <w:ind w:left="1" w:right="0" w:firstLine="0"/>
              <w:jc w:val="left"/>
            </w:pPr>
            <w:r>
              <w:rPr>
                <w:rFonts w:cs="Calibri" w:hAnsi="Calibri" w:eastAsia="Calibri" w:ascii="Calibri"/>
                <w:sz w:val="22"/>
              </w:rPr>
              <w:t xml:space="preserve"> </w:t>
            </w:r>
          </w:p>
          <w:p>
            <w:pPr>
              <w:spacing w:before="0" w:after="0" w:line="259" w:lineRule="auto"/>
              <w:ind w:left="1" w:right="0" w:firstLine="0"/>
              <w:jc w:val="left"/>
            </w:pPr>
            <w:r>
              <w:rPr>
                <w:rFonts w:cs="Calibri" w:hAnsi="Calibri" w:eastAsia="Calibri" w:ascii="Calibri"/>
                <w:b w:val="1"/>
                <w:sz w:val="22"/>
              </w:rPr>
              <w:t xml:space="preserve"> </w:t>
            </w:r>
          </w:p>
        </w:tc>
        <w:tc>
          <w:tcPr>
            <w:tcW w:w="1171" w:type="dxa"/>
            <w:vMerge w:val="restart"/>
            <w:tcBorders>
              <w:top w:val="single" w:sz="4" w:color="000000"/>
              <w:left w:val="single" w:sz="4" w:color="000000"/>
              <w:bottom w:val="single" w:sz="4" w:color="000000"/>
              <w:right w:val="single" w:sz="4" w:color="000000"/>
            </w:tcBorders>
            <w:shd w:val="clear" w:fill="d9d9d9"/>
            <w:vAlign w:val="top"/>
          </w:tcPr>
          <w:p>
            <w:pPr>
              <w:spacing w:before="0" w:after="0" w:line="276" w:lineRule="auto"/>
              <w:ind w:left="6" w:right="70" w:firstLine="0"/>
              <w:jc w:val="left"/>
            </w:pPr>
            <w:r>
              <w:rPr>
                <w:rFonts w:cs="Calibri" w:hAnsi="Calibri" w:eastAsia="Calibri" w:ascii="Calibri"/>
                <w:b w:val="1"/>
                <w:sz w:val="22"/>
              </w:rPr>
              <w:t xml:space="preserve">Activities complete d</w:t>
            </w:r>
            <w:r>
              <w:rPr>
                <w:rFonts w:cs="Calibri" w:hAnsi="Calibri" w:eastAsia="Calibri" w:ascii="Calibri"/>
                <w:b w:val="1"/>
                <w:sz w:val="22"/>
              </w:rPr>
              <w:t xml:space="preserve"> </w:t>
            </w:r>
          </w:p>
          <w:p>
            <w:pPr>
              <w:spacing w:before="0" w:after="13" w:line="259" w:lineRule="auto"/>
              <w:ind w:left="6" w:right="0" w:firstLine="0"/>
              <w:jc w:val="left"/>
            </w:pPr>
            <w:r>
              <w:rPr>
                <w:rFonts w:cs="Calibri" w:hAnsi="Calibri" w:eastAsia="Calibri" w:ascii="Calibri"/>
                <w:i w:val="1"/>
                <w:sz w:val="20"/>
              </w:rPr>
              <w:t xml:space="preserve">Training of  </w:t>
            </w:r>
          </w:p>
          <w:p>
            <w:pPr>
              <w:spacing w:before="0" w:after="26" w:line="274" w:lineRule="auto"/>
              <w:ind w:left="6" w:right="89" w:firstLine="0"/>
            </w:pPr>
            <w:r>
              <w:rPr>
                <w:rFonts w:cs="Calibri" w:hAnsi="Calibri" w:eastAsia="Calibri" w:ascii="Calibri"/>
                <w:i w:val="1"/>
                <w:sz w:val="20"/>
              </w:rPr>
              <w:t xml:space="preserve">NPA staff (20 men and 10 women) in participato ry planning completed</w:t>
            </w:r>
            <w:r>
              <w:rPr>
                <w:rFonts w:cs="Calibri" w:hAnsi="Calibri" w:eastAsia="Calibri" w:ascii="Calibri"/>
                <w:i w:val="1"/>
                <w:sz w:val="20"/>
              </w:rPr>
              <w:t xml:space="preserve"> </w:t>
            </w:r>
          </w:p>
          <w:p>
            <w:pPr>
              <w:spacing w:before="0" w:after="0" w:line="259" w:lineRule="auto"/>
              <w:ind w:left="6" w:right="0" w:firstLine="0"/>
              <w:jc w:val="left"/>
            </w:pPr>
            <w:r>
              <w:rPr>
                <w:rFonts w:cs="Calibri" w:hAnsi="Calibri" w:eastAsia="Calibri" w:ascii="Calibri"/>
                <w:b w:val="1"/>
                <w:sz w:val="22"/>
              </w:rPr>
              <w:t xml:space="preserve"> </w:t>
            </w:r>
          </w:p>
        </w:tc>
        <w:tc>
          <w:tcPr>
            <w:tcW w:w="1349" w:type="dxa"/>
            <w:vMerge w:val="restart"/>
            <w:tcBorders>
              <w:top w:val="single" w:sz="4" w:color="000000"/>
              <w:left w:val="single" w:sz="4" w:color="000000"/>
              <w:bottom w:val="single" w:sz="4" w:color="000000"/>
              <w:right w:val="single" w:sz="4" w:color="000000"/>
            </w:tcBorders>
            <w:shd w:val="clear" w:fill="d9d9d9"/>
            <w:vAlign w:val="top"/>
          </w:tcPr>
          <w:p>
            <w:pPr>
              <w:spacing w:before="0" w:after="16" w:line="259" w:lineRule="auto"/>
              <w:ind w:left="1" w:right="0" w:firstLine="0"/>
              <w:jc w:val="left"/>
            </w:pPr>
            <w:r>
              <w:rPr>
                <w:rFonts w:cs="Calibri" w:hAnsi="Calibri" w:eastAsia="Calibri" w:ascii="Calibri"/>
                <w:b w:val="1"/>
                <w:sz w:val="22"/>
              </w:rPr>
              <w:t xml:space="preserve">Results </w:t>
            </w:r>
          </w:p>
          <w:p>
            <w:pPr>
              <w:spacing w:before="0" w:after="50" w:line="259" w:lineRule="auto"/>
              <w:ind w:left="1" w:right="0" w:firstLine="0"/>
              <w:jc w:val="left"/>
            </w:pPr>
            <w:r>
              <w:rPr>
                <w:rFonts w:cs="Calibri" w:hAnsi="Calibri" w:eastAsia="Calibri" w:ascii="Calibri"/>
                <w:b w:val="1"/>
                <w:sz w:val="22"/>
              </w:rPr>
              <w:t xml:space="preserve">Attained </w:t>
            </w:r>
          </w:p>
          <w:p>
            <w:pPr>
              <w:spacing w:before="0" w:after="0" w:line="285" w:lineRule="auto"/>
              <w:ind w:left="1" w:right="97" w:firstLine="0"/>
            </w:pPr>
            <w:r>
              <w:rPr>
                <w:rFonts w:cs="Calibri" w:hAnsi="Calibri" w:eastAsia="Calibri" w:ascii="Calibri"/>
                <w:b w:val="1"/>
                <w:sz w:val="22"/>
              </w:rPr>
              <w:t xml:space="preserve">e.g.</w:t>
            </w:r>
            <w:r>
              <w:rPr>
                <w:rFonts w:cs="Calibri" w:hAnsi="Calibri" w:eastAsia="Calibri" w:ascii="Calibri"/>
                <w:b w:val="1"/>
                <w:sz w:val="22"/>
              </w:rPr>
              <w:t xml:space="preserve"> </w:t>
            </w:r>
            <w:r>
              <w:rPr>
                <w:rFonts w:cs="Calibri" w:hAnsi="Calibri" w:eastAsia="Calibri" w:ascii="Calibri"/>
                <w:i w:val="1"/>
                <w:sz w:val="16"/>
              </w:rPr>
              <w:t xml:space="preserve">Improved planning and reporting.</w:t>
            </w:r>
            <w:r>
              <w:rPr>
                <w:rFonts w:cs="Calibri" w:hAnsi="Calibri" w:eastAsia="Calibri" w:ascii="Calibri"/>
                <w:i w:val="1"/>
                <w:sz w:val="16"/>
              </w:rPr>
              <w:t xml:space="preserve"> </w:t>
            </w:r>
            <w:r>
              <w:rPr>
                <w:rFonts w:cs="Calibri" w:hAnsi="Calibri" w:eastAsia="Calibri" w:ascii="Calibri"/>
                <w:i w:val="1"/>
                <w:sz w:val="16"/>
              </w:rPr>
              <w:t xml:space="preserve">by NPA staff e.g.</w:t>
            </w:r>
            <w:r>
              <w:rPr>
                <w:rFonts w:cs="Calibri" w:hAnsi="Calibri" w:eastAsia="Calibri" w:ascii="Calibri"/>
                <w:i w:val="1"/>
                <w:sz w:val="16"/>
              </w:rPr>
              <w:t xml:space="preserve"> </w:t>
            </w:r>
            <w:r>
              <w:rPr>
                <w:rFonts w:cs="Calibri" w:hAnsi="Calibri" w:eastAsia="Calibri" w:ascii="Calibri"/>
                <w:i w:val="1"/>
                <w:sz w:val="16"/>
              </w:rPr>
              <w:t xml:space="preserve">existence of quality work plans</w:t>
            </w:r>
            <w:r>
              <w:rPr>
                <w:rFonts w:cs="Calibri" w:hAnsi="Calibri" w:eastAsia="Calibri" w:ascii="Calibri"/>
                <w:i w:val="1"/>
                <w:sz w:val="16"/>
              </w:rPr>
              <w:t xml:space="preserve"> (</w:t>
            </w:r>
            <w:r>
              <w:rPr>
                <w:rFonts w:cs="Calibri" w:hAnsi="Calibri" w:eastAsia="Calibri" w:ascii="Calibri"/>
                <w:i w:val="1"/>
                <w:sz w:val="16"/>
              </w:rPr>
              <w:t xml:space="preserve">i.e.</w:t>
            </w:r>
            <w:r>
              <w:rPr>
                <w:rFonts w:cs="Calibri" w:hAnsi="Calibri" w:eastAsia="Calibri" w:ascii="Calibri"/>
                <w:i w:val="1"/>
                <w:sz w:val="16"/>
              </w:rPr>
              <w:t xml:space="preserve"> </w:t>
            </w:r>
          </w:p>
          <w:p>
            <w:pPr>
              <w:spacing w:before="0" w:after="17" w:line="259" w:lineRule="auto"/>
              <w:ind w:left="1" w:right="0" w:firstLine="0"/>
              <w:jc w:val="left"/>
            </w:pPr>
            <w:r>
              <w:rPr>
                <w:rFonts w:cs="Calibri" w:hAnsi="Calibri" w:eastAsia="Calibri" w:ascii="Calibri"/>
                <w:i w:val="1"/>
                <w:sz w:val="16"/>
              </w:rPr>
              <w:t xml:space="preserve">Specific; </w:t>
            </w:r>
          </w:p>
          <w:p>
            <w:pPr>
              <w:spacing w:before="0" w:after="12" w:line="259" w:lineRule="auto"/>
              <w:ind w:left="1" w:right="0" w:firstLine="0"/>
              <w:jc w:val="left"/>
            </w:pPr>
            <w:r>
              <w:rPr>
                <w:rFonts w:cs="Calibri" w:hAnsi="Calibri" w:eastAsia="Calibri" w:ascii="Calibri"/>
                <w:i w:val="1"/>
                <w:sz w:val="16"/>
              </w:rPr>
              <w:t xml:space="preserve">Measurable; </w:t>
            </w:r>
          </w:p>
          <w:p>
            <w:pPr>
              <w:spacing w:before="0" w:after="7" w:line="284" w:lineRule="auto"/>
              <w:ind w:left="1" w:right="20" w:firstLine="0"/>
              <w:jc w:val="left"/>
            </w:pPr>
            <w:r>
              <w:rPr>
                <w:rFonts w:cs="Calibri" w:hAnsi="Calibri" w:eastAsia="Calibri" w:ascii="Calibri"/>
                <w:i w:val="1"/>
                <w:sz w:val="16"/>
              </w:rPr>
              <w:t xml:space="preserve">Achievable; Realistic; 	Time bound) integrating </w:t>
            </w:r>
          </w:p>
          <w:p>
            <w:pPr>
              <w:spacing w:before="0" w:after="0" w:line="259" w:lineRule="auto"/>
              <w:ind w:left="1" w:right="0" w:firstLine="0"/>
              <w:jc w:val="left"/>
            </w:pPr>
            <w:r>
              <w:rPr>
                <w:rFonts w:cs="Calibri" w:hAnsi="Calibri" w:eastAsia="Calibri" w:ascii="Calibri"/>
                <w:i w:val="1"/>
                <w:sz w:val="16"/>
              </w:rPr>
              <w:t xml:space="preserve">issues 	of marginalized</w:t>
            </w:r>
            <w:r>
              <w:rPr>
                <w:rFonts w:cs="Calibri" w:hAnsi="Calibri" w:eastAsia="Calibri" w:ascii="Calibri"/>
                <w:i w:val="1"/>
                <w:sz w:val="16"/>
              </w:rPr>
              <w:t xml:space="preserve"> </w:t>
            </w:r>
            <w:r>
              <w:rPr>
                <w:rFonts w:cs="Calibri" w:hAnsi="Calibri" w:eastAsia="Calibri" w:ascii="Calibri"/>
                <w:i w:val="1"/>
                <w:sz w:val="16"/>
              </w:rPr>
              <w:t xml:space="preserve">groups </w:t>
            </w:r>
            <w:r>
              <w:rPr>
                <w:rFonts w:cs="Calibri" w:hAnsi="Calibri" w:eastAsia="Calibri" w:ascii="Calibri"/>
                <w:b w:val="1"/>
                <w:sz w:val="22"/>
              </w:rPr>
              <w:t xml:space="preserve"> </w:t>
            </w:r>
          </w:p>
        </w:tc>
        <w:tc>
          <w:tcPr>
            <w:tcW w:w="2342" w:type="dxa"/>
            <w:gridSpan w:val="2"/>
            <w:vMerge w:val="restart"/>
            <w:tcBorders>
              <w:top w:val="single" w:sz="4" w:color="000000"/>
              <w:left w:val="single" w:sz="4" w:color="000000"/>
              <w:bottom w:val="single" w:sz="4" w:color="000000"/>
              <w:right w:val="nil"/>
            </w:tcBorders>
            <w:shd w:val="clear" w:fill="d9d9d9"/>
            <w:vAlign w:val="top"/>
          </w:tcPr>
          <w:p>
            <w:pPr>
              <w:spacing w:before="0" w:after="0" w:line="259" w:lineRule="auto"/>
              <w:ind w:left="6" w:right="0" w:firstLine="0"/>
              <w:jc w:val="left"/>
            </w:pPr>
            <w:r>
              <w:rPr>
                <w:rFonts w:cs="Calibri" w:hAnsi="Calibri" w:eastAsia="Calibri" w:ascii="Calibri"/>
                <w:b w:val="1"/>
                <w:sz w:val="22"/>
              </w:rPr>
              <w:t xml:space="preserve">       </w:t>
            </w:r>
            <w:r>
              <w:rPr>
                <w:rFonts w:cs="Calibri" w:hAnsi="Calibri" w:eastAsia="Calibri" w:ascii="Calibri"/>
                <w:b w:val="1"/>
                <w:sz w:val="22"/>
              </w:rPr>
              <w:t xml:space="preserve">RESOURCES (UGX)</w:t>
            </w:r>
            <w:r>
              <w:rPr>
                <w:rFonts w:cs="Calibri" w:hAnsi="Calibri" w:eastAsia="Calibri" w:ascii="Calibri"/>
                <w:b w:val="1"/>
                <w:sz w:val="22"/>
              </w:rPr>
              <w:t xml:space="preserve"> </w:t>
            </w:r>
          </w:p>
        </w:tc>
        <w:tc>
          <w:tcPr>
            <w:tcW w:w="720" w:type="dxa"/>
            <w:vMerge w:val="restart"/>
            <w:tcBorders>
              <w:top w:val="single" w:sz="4" w:color="000000"/>
              <w:left w:val="nil"/>
              <w:bottom w:val="single" w:sz="4" w:color="000000"/>
              <w:right w:val="single" w:sz="4" w:color="000000"/>
            </w:tcBorders>
            <w:shd w:val="clear" w:fill="d9d9d9"/>
            <w:vAlign w:val="top"/>
          </w:tcPr>
          <w:p>
            <w:pPr>
              <w:bidi w:val="0"/>
              <w:spacing w:before="0" w:after="160" w:line="259" w:lineRule="auto"/>
              <w:ind w:left="0" w:right="0" w:firstLine="0"/>
              <w:jc w:val="left"/>
            </w:pPr>
          </w:p>
        </w:tc>
        <w:tc>
          <w:tcPr>
            <w:tcW w:w="1169" w:type="dxa"/>
            <w:vMerge w:val="restart"/>
            <w:tcBorders>
              <w:top w:val="single" w:sz="4" w:color="000000"/>
              <w:left w:val="single" w:sz="4" w:color="000000"/>
              <w:bottom w:val="single" w:sz="4" w:color="000000"/>
              <w:right w:val="single" w:sz="4" w:color="000000"/>
            </w:tcBorders>
            <w:shd w:val="clear" w:fill="d9d9d9"/>
            <w:vAlign w:val="top"/>
          </w:tcPr>
          <w:p>
            <w:pPr>
              <w:spacing w:before="0" w:after="16" w:line="259" w:lineRule="auto"/>
              <w:ind w:left="1" w:right="0" w:firstLine="0"/>
              <w:jc w:val="left"/>
            </w:pPr>
            <w:r>
              <w:rPr>
                <w:rFonts w:cs="Calibri" w:hAnsi="Calibri" w:eastAsia="Calibri" w:ascii="Calibri"/>
                <w:b w:val="1"/>
                <w:sz w:val="22"/>
              </w:rPr>
              <w:t xml:space="preserve">Key </w:t>
            </w:r>
          </w:p>
          <w:p>
            <w:pPr>
              <w:spacing w:before="0" w:after="21" w:line="259" w:lineRule="auto"/>
              <w:ind w:left="1" w:right="0" w:firstLine="0"/>
              <w:jc w:val="left"/>
            </w:pPr>
            <w:r>
              <w:rPr>
                <w:rFonts w:cs="Calibri" w:hAnsi="Calibri" w:eastAsia="Calibri" w:ascii="Calibri"/>
                <w:b w:val="1"/>
                <w:sz w:val="22"/>
              </w:rPr>
              <w:t xml:space="preserve">Implemen</w:t>
            </w:r>
          </w:p>
          <w:p>
            <w:pPr>
              <w:spacing w:before="0" w:after="0" w:line="278" w:lineRule="auto"/>
              <w:ind w:left="1" w:right="84" w:firstLine="0"/>
              <w:jc w:val="left"/>
            </w:pPr>
            <w:r>
              <w:rPr>
                <w:rFonts w:cs="Calibri" w:hAnsi="Calibri" w:eastAsia="Calibri" w:ascii="Calibri"/>
                <w:b w:val="1"/>
                <w:sz w:val="22"/>
              </w:rPr>
              <w:t xml:space="preserve">tation Issues/ris ks </w:t>
            </w:r>
            <w:r>
              <w:rPr>
                <w:rFonts w:cs="Calibri" w:hAnsi="Calibri" w:eastAsia="Calibri" w:ascii="Calibri"/>
                <w:b w:val="1"/>
                <w:i w:val="1"/>
                <w:sz w:val="20"/>
              </w:rPr>
              <w:t xml:space="preserve">(</w:t>
            </w:r>
            <w:r>
              <w:rPr>
                <w:rFonts w:cs="Calibri" w:hAnsi="Calibri" w:eastAsia="Calibri" w:ascii="Calibri"/>
                <w:b w:val="1"/>
                <w:i w:val="1"/>
                <w:sz w:val="20"/>
              </w:rPr>
              <w:t xml:space="preserve">i.e.</w:t>
            </w:r>
            <w:r>
              <w:rPr>
                <w:rFonts w:cs="Calibri" w:hAnsi="Calibri" w:eastAsia="Calibri" w:ascii="Calibri"/>
                <w:b w:val="1"/>
                <w:i w:val="1"/>
                <w:sz w:val="20"/>
              </w:rPr>
              <w:t xml:space="preserve"> </w:t>
            </w:r>
            <w:r>
              <w:rPr>
                <w:rFonts w:cs="Calibri" w:hAnsi="Calibri" w:eastAsia="Calibri" w:ascii="Calibri"/>
                <w:b w:val="1"/>
                <w:i w:val="1"/>
                <w:sz w:val="20"/>
              </w:rPr>
              <w:t xml:space="preserve">as stated 	in the project documents , plus any emerging </w:t>
            </w:r>
          </w:p>
          <w:p>
            <w:pPr>
              <w:spacing w:before="0" w:after="17" w:line="259" w:lineRule="auto"/>
              <w:ind w:left="1" w:right="0" w:firstLine="0"/>
              <w:jc w:val="left"/>
            </w:pPr>
            <w:r>
              <w:rPr>
                <w:rFonts w:cs="Calibri" w:hAnsi="Calibri" w:eastAsia="Calibri" w:ascii="Calibri"/>
                <w:b w:val="1"/>
                <w:i w:val="1"/>
                <w:sz w:val="20"/>
              </w:rPr>
              <w:t xml:space="preserve">Challenges, </w:t>
            </w:r>
          </w:p>
          <w:p>
            <w:pPr>
              <w:spacing w:before="0" w:after="13" w:line="259" w:lineRule="auto"/>
              <w:ind w:left="1" w:right="0" w:firstLine="0"/>
              <w:jc w:val="left"/>
            </w:pPr>
            <w:r>
              <w:rPr>
                <w:rFonts w:cs="Calibri" w:hAnsi="Calibri" w:eastAsia="Calibri" w:ascii="Calibri"/>
                <w:b w:val="1"/>
                <w:i w:val="1"/>
                <w:sz w:val="20"/>
              </w:rPr>
              <w:t xml:space="preserve">&amp; </w:t>
            </w:r>
          </w:p>
          <w:p>
            <w:pPr>
              <w:spacing w:before="0" w:after="25" w:line="259" w:lineRule="auto"/>
              <w:ind w:left="1" w:right="0" w:firstLine="0"/>
              <w:jc w:val="left"/>
            </w:pPr>
            <w:r>
              <w:rPr>
                <w:rFonts w:cs="Calibri" w:hAnsi="Calibri" w:eastAsia="Calibri" w:ascii="Calibri"/>
                <w:b w:val="1"/>
                <w:i w:val="1"/>
                <w:sz w:val="20"/>
              </w:rPr>
              <w:t xml:space="preserve">Constraints</w:t>
            </w:r>
          </w:p>
          <w:p>
            <w:pPr>
              <w:spacing w:before="0" w:after="0" w:line="259" w:lineRule="auto"/>
              <w:ind w:left="1" w:right="0" w:firstLine="0"/>
              <w:jc w:val="left"/>
            </w:pPr>
            <w:r>
              <w:rPr>
                <w:rFonts w:cs="Calibri" w:hAnsi="Calibri" w:eastAsia="Calibri" w:ascii="Calibri"/>
                <w:b w:val="1"/>
                <w:i w:val="1"/>
                <w:sz w:val="20"/>
              </w:rPr>
              <w:t xml:space="preserve">)</w:t>
            </w:r>
            <w:r>
              <w:rPr>
                <w:rFonts w:cs="Calibri" w:hAnsi="Calibri" w:eastAsia="Calibri" w:ascii="Calibri"/>
                <w:b w:val="1"/>
                <w:sz w:val="22"/>
              </w:rPr>
              <w:t xml:space="preserve"> </w:t>
            </w:r>
          </w:p>
        </w:tc>
        <w:tc>
          <w:tcPr>
            <w:tcW w:w="808" w:type="dxa"/>
            <w:vMerge w:val="restart"/>
            <w:tcBorders>
              <w:top w:val="single" w:sz="4" w:color="000000"/>
              <w:left w:val="single" w:sz="4" w:color="000000"/>
              <w:bottom w:val="single" w:sz="4" w:color="000000"/>
              <w:right w:val="single" w:sz="4" w:color="000000"/>
            </w:tcBorders>
            <w:shd w:val="clear" w:fill="d9d9d9"/>
            <w:vAlign w:val="top"/>
          </w:tcPr>
          <w:p>
            <w:pPr>
              <w:spacing w:before="0" w:after="16" w:line="259" w:lineRule="auto"/>
              <w:ind w:left="4" w:right="0" w:firstLine="0"/>
              <w:jc w:val="left"/>
            </w:pPr>
            <w:r>
              <w:rPr>
                <w:rFonts w:cs="Calibri" w:hAnsi="Calibri" w:eastAsia="Calibri" w:ascii="Calibri"/>
                <w:b w:val="1"/>
                <w:sz w:val="22"/>
              </w:rPr>
              <w:t xml:space="preserve">Reco</w:t>
            </w:r>
          </w:p>
          <w:p>
            <w:pPr>
              <w:spacing w:before="0" w:after="0" w:line="278" w:lineRule="auto"/>
              <w:ind w:left="4" w:right="0" w:firstLine="0"/>
              <w:jc w:val="left"/>
            </w:pPr>
            <w:r>
              <w:rPr>
                <w:rFonts w:cs="Calibri" w:hAnsi="Calibri" w:eastAsia="Calibri" w:ascii="Calibri"/>
                <w:b w:val="1"/>
                <w:sz w:val="22"/>
              </w:rPr>
              <w:t xml:space="preserve">mmen dation</w:t>
            </w:r>
          </w:p>
          <w:p>
            <w:pPr>
              <w:spacing w:before="0" w:after="16" w:line="259" w:lineRule="auto"/>
              <w:ind w:left="4" w:right="0" w:firstLine="0"/>
              <w:jc w:val="left"/>
            </w:pPr>
            <w:r>
              <w:rPr>
                <w:rFonts w:cs="Calibri" w:hAnsi="Calibri" w:eastAsia="Calibri" w:ascii="Calibri"/>
                <w:b w:val="1"/>
                <w:sz w:val="22"/>
              </w:rPr>
              <w:t xml:space="preserve">s </w:t>
            </w:r>
          </w:p>
          <w:p>
            <w:pPr>
              <w:spacing w:before="0" w:after="0" w:line="259" w:lineRule="auto"/>
              <w:ind w:left="4" w:right="0" w:firstLine="0"/>
              <w:jc w:val="left"/>
            </w:pPr>
            <w:r>
              <w:rPr>
                <w:rFonts w:cs="Calibri" w:hAnsi="Calibri" w:eastAsia="Calibri" w:ascii="Calibri"/>
                <w:b w:val="1"/>
                <w:sz w:val="22"/>
              </w:rPr>
              <w:t xml:space="preserve">based on Lesso ns Learnt</w:t>
            </w:r>
            <w:r>
              <w:rPr>
                <w:rFonts w:cs="Calibri" w:hAnsi="Calibri" w:eastAsia="Calibri" w:ascii="Calibri"/>
                <w:b w:val="1"/>
                <w:sz w:val="22"/>
              </w:rPr>
              <w:t xml:space="preserve"> </w:t>
            </w:r>
          </w:p>
        </w:tc>
      </w:tr>
      <w:tr>
        <w:trPr>
          <w:trHeight w:val="322" w:hRule="atLeast"/>
        </w:trPr>
        <w:tc>
          <w:tcPr>
            <w:tcW w:w="1079"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sz w:val="22"/>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gridSpan w:val="2"/>
            <w:vMerge w:val="continue"/>
            <w:tcBorders>
              <w:top w:val="nil"/>
              <w:left w:val="single" w:sz="4" w:color="000000"/>
              <w:bottom w:val="single" w:sz="4" w:color="000000"/>
              <w:right w:val="nil"/>
            </w:tcBorders>
            <w:vAlign w:val="top"/>
          </w:tcPr>
          <w:p>
            <w:pPr>
              <w:bidi w:val="0"/>
              <w:spacing w:before="0" w:after="160" w:line="259" w:lineRule="auto"/>
              <w:ind w:left="0" w:right="0" w:firstLine="0"/>
              <w:jc w:val="left"/>
            </w:pPr>
          </w:p>
        </w:tc>
        <w:tc>
          <w:tcPr>
            <w:vMerge w:val="continue"/>
            <w:tcBorders>
              <w:top w:val="nil"/>
              <w:left w:val="nil"/>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81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left"/>
            </w:pPr>
            <w:r>
              <w:rPr>
                <w:rFonts w:cs="Calibri" w:hAnsi="Calibri" w:eastAsia="Calibri" w:ascii="Calibri"/>
                <w:sz w:val="22"/>
              </w:rPr>
              <w:t xml:space="preserve">Quarter Budget per output </w:t>
            </w:r>
            <w:r>
              <w:rPr>
                <w:rFonts w:cs="Calibri" w:hAnsi="Calibri" w:eastAsia="Calibri" w:ascii="Calibri"/>
                <w:sz w:val="22"/>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16" w:line="259" w:lineRule="auto"/>
              <w:ind w:left="1" w:right="0" w:firstLine="0"/>
            </w:pPr>
            <w:r>
              <w:rPr>
                <w:rFonts w:cs="Calibri" w:hAnsi="Calibri" w:eastAsia="Calibri" w:ascii="Calibri"/>
                <w:sz w:val="22"/>
              </w:rPr>
              <w:t xml:space="preserve">Amount </w:t>
            </w:r>
          </w:p>
          <w:p>
            <w:pPr>
              <w:spacing w:before="0" w:after="0" w:line="259" w:lineRule="auto"/>
              <w:ind w:left="1" w:right="0" w:firstLine="0"/>
              <w:jc w:val="left"/>
            </w:pPr>
            <w:r>
              <w:rPr>
                <w:rFonts w:cs="Calibri" w:hAnsi="Calibri" w:eastAsia="Calibri" w:ascii="Calibri"/>
                <w:sz w:val="22"/>
              </w:rPr>
              <w:t xml:space="preserve">Utilized</w:t>
            </w:r>
            <w:r>
              <w:rPr>
                <w:rFonts w:cs="Calibri" w:hAnsi="Calibri" w:eastAsia="Calibri" w:ascii="Calibri"/>
                <w:sz w:val="22"/>
              </w:rPr>
              <w:t xml:space="preserve"> </w:t>
            </w:r>
          </w:p>
        </w:tc>
        <w:tc>
          <w:tcPr>
            <w:tcW w:w="72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Balan ce</w:t>
            </w:r>
            <w:r>
              <w:rPr>
                <w:rFonts w:cs="Calibri" w:hAnsi="Calibri" w:eastAsia="Calibri" w:ascii="Calibri"/>
                <w:sz w:val="22"/>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55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 </w:t>
            </w:r>
          </w:p>
        </w:tc>
        <w:tc>
          <w:tcPr>
            <w:tcW w:w="1171" w:type="dxa"/>
            <w:tcBorders>
              <w:top w:val="single" w:sz="4" w:color="000000"/>
              <w:left w:val="single" w:sz="4" w:color="000000"/>
              <w:bottom w:val="single" w:sz="4" w:color="000000"/>
              <w:right w:val="single" w:sz="4" w:color="000000"/>
            </w:tcBorders>
            <w:vAlign w:val="top"/>
          </w:tcPr>
          <w:p>
            <w:pPr>
              <w:spacing w:before="0" w:after="0" w:line="259" w:lineRule="auto"/>
              <w:ind w:left="448" w:right="0" w:firstLine="0"/>
              <w:jc w:val="center"/>
            </w:pPr>
            <w:r>
              <w:rPr>
                <w:rFonts w:cs="Calibri" w:hAnsi="Calibri" w:eastAsia="Calibri" w:ascii="Calibri"/>
                <w:sz w:val="22"/>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260" w:right="0" w:firstLine="0"/>
              <w:jc w:val="center"/>
            </w:pPr>
            <w:r>
              <w:rPr>
                <w:rFonts w:cs="Calibri" w:hAnsi="Calibri" w:eastAsia="Calibri" w:ascii="Calibri"/>
                <w:sz w:val="22"/>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left"/>
            </w:pPr>
            <w:r>
              <w:rPr>
                <w:rFonts w:cs="Calibri" w:hAnsi="Calibri" w:eastAsia="Calibri" w:ascii="Calibri"/>
                <w:sz w:val="22"/>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 </w:t>
            </w:r>
          </w:p>
        </w:tc>
        <w:tc>
          <w:tcPr>
            <w:tcW w:w="72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 </w:t>
            </w:r>
          </w:p>
        </w:tc>
        <w:tc>
          <w:tcPr>
            <w:tcW w:w="1169"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Calibri" w:hAnsi="Calibri" w:eastAsia="Calibri" w:ascii="Calibri"/>
                <w:sz w:val="22"/>
              </w:rPr>
              <w:t xml:space="preserve"> </w:t>
            </w:r>
          </w:p>
        </w:tc>
        <w:tc>
          <w:tcPr>
            <w:tcW w:w="808"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left"/>
            </w:pPr>
            <w:r>
              <w:rPr>
                <w:rFonts w:cs="Calibri" w:hAnsi="Calibri" w:eastAsia="Calibri" w:ascii="Calibri"/>
                <w:sz w:val="22"/>
              </w:rPr>
              <w:t xml:space="preserve"> </w:t>
            </w:r>
          </w:p>
        </w:tc>
      </w:tr>
      <w:tr>
        <w:trPr>
          <w:trHeight w:val="1248" w:hRule="atLeast"/>
        </w:trPr>
        <w:tc>
          <w:tcPr>
            <w:tcW w:w="1079"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Calibri" w:hAnsi="Calibri" w:eastAsia="Calibri" w:ascii="Calibri"/>
                <w:b w:val="1"/>
                <w:sz w:val="22"/>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0" w:line="259" w:lineRule="auto"/>
              <w:ind w:left="0" w:right="172" w:firstLine="0"/>
              <w:jc w:val="center"/>
            </w:pPr>
            <w:r>
              <w:rPr>
                <w:rFonts w:cs="Calibri" w:hAnsi="Calibri" w:eastAsia="Calibri" w:ascii="Calibri"/>
                <w:sz w:val="22"/>
              </w:rPr>
              <w:t xml:space="preserve"> </w:t>
            </w:r>
          </w:p>
        </w:tc>
        <w:tc>
          <w:tcPr>
            <w:tcW w:w="1171"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left"/>
            </w:pPr>
            <w:r>
              <w:rPr>
                <w:rFonts w:cs="Calibri" w:hAnsi="Calibri" w:eastAsia="Calibri" w:ascii="Calibri"/>
                <w:sz w:val="22"/>
              </w:rPr>
              <w:t xml:space="preserve"> </w:t>
            </w:r>
          </w:p>
        </w:tc>
        <w:tc>
          <w:tcPr>
            <w:tcW w:w="1349" w:type="dxa"/>
            <w:tcBorders>
              <w:top w:val="single" w:sz="4" w:color="000000"/>
              <w:left w:val="single" w:sz="4" w:color="000000"/>
              <w:bottom w:val="single" w:sz="4" w:color="000000"/>
              <w:right w:val="single" w:sz="4" w:color="000000"/>
            </w:tcBorders>
            <w:vAlign w:val="top"/>
          </w:tcPr>
          <w:p>
            <w:pPr>
              <w:spacing w:before="0" w:after="21" w:line="259" w:lineRule="auto"/>
              <w:ind w:left="1" w:right="0" w:firstLine="0"/>
              <w:jc w:val="left"/>
            </w:pPr>
            <w:r>
              <w:rPr>
                <w:rFonts w:cs="Calibri" w:hAnsi="Calibri" w:eastAsia="Calibri" w:ascii="Calibri"/>
                <w:sz w:val="22"/>
              </w:rPr>
              <w:t xml:space="preserve"> </w:t>
            </w:r>
          </w:p>
          <w:p>
            <w:pPr>
              <w:spacing w:before="0" w:after="16" w:line="259" w:lineRule="auto"/>
              <w:ind w:left="1" w:right="0" w:firstLine="0"/>
              <w:jc w:val="left"/>
            </w:pPr>
            <w:r>
              <w:rPr>
                <w:rFonts w:cs="Calibri" w:hAnsi="Calibri" w:eastAsia="Calibri" w:ascii="Calibri"/>
                <w:sz w:val="22"/>
              </w:rPr>
              <w:t xml:space="preserve"> </w:t>
            </w:r>
          </w:p>
          <w:p>
            <w:pPr>
              <w:spacing w:before="0" w:after="16" w:line="259" w:lineRule="auto"/>
              <w:ind w:left="1" w:right="0" w:firstLine="0"/>
              <w:jc w:val="left"/>
            </w:pPr>
            <w:r>
              <w:rPr>
                <w:rFonts w:cs="Calibri" w:hAnsi="Calibri" w:eastAsia="Calibri" w:ascii="Calibri"/>
                <w:sz w:val="22"/>
              </w:rPr>
              <w:t xml:space="preserve"> </w:t>
            </w:r>
          </w:p>
          <w:p>
            <w:pPr>
              <w:spacing w:before="0" w:after="0" w:line="259" w:lineRule="auto"/>
              <w:ind w:left="1" w:right="0" w:firstLine="0"/>
              <w:jc w:val="left"/>
            </w:pPr>
            <w:r>
              <w:rPr>
                <w:rFonts w:cs="Calibri" w:hAnsi="Calibri" w:eastAsia="Calibri" w:ascii="Calibri"/>
                <w:sz w:val="22"/>
              </w:rPr>
              <w:t xml:space="preserve"> </w:t>
            </w:r>
          </w:p>
        </w:tc>
        <w:tc>
          <w:tcPr>
            <w:tcW w:w="1354"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left"/>
            </w:pPr>
            <w:r>
              <w:rPr>
                <w:rFonts w:cs="Calibri" w:hAnsi="Calibri" w:eastAsia="Calibri" w:ascii="Calibri"/>
                <w:sz w:val="22"/>
              </w:rPr>
              <w:t xml:space="preserve"> </w:t>
            </w:r>
          </w:p>
        </w:tc>
        <w:tc>
          <w:tcPr>
            <w:tcW w:w="989"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 </w:t>
            </w:r>
          </w:p>
        </w:tc>
        <w:tc>
          <w:tcPr>
            <w:tcW w:w="720" w:type="dxa"/>
            <w:tcBorders>
              <w:top w:val="single" w:sz="4" w:color="000000"/>
              <w:left w:val="single" w:sz="4" w:color="000000"/>
              <w:bottom w:val="single" w:sz="4" w:color="000000"/>
              <w:right w:val="single" w:sz="4" w:color="000000"/>
            </w:tcBorders>
            <w:vAlign w:val="top"/>
          </w:tcPr>
          <w:p>
            <w:pPr>
              <w:spacing w:before="0" w:after="0" w:line="259" w:lineRule="auto"/>
              <w:ind w:left="1" w:right="0" w:firstLine="0"/>
              <w:jc w:val="left"/>
            </w:pPr>
            <w:r>
              <w:rPr>
                <w:rFonts w:cs="Calibri" w:hAnsi="Calibri" w:eastAsia="Calibri" w:ascii="Calibri"/>
                <w:sz w:val="22"/>
              </w:rPr>
              <w:t xml:space="preserve"> </w:t>
            </w:r>
          </w:p>
        </w:tc>
        <w:tc>
          <w:tcPr>
            <w:tcW w:w="1169" w:type="dxa"/>
            <w:tcBorders>
              <w:top w:val="single" w:sz="4" w:color="000000"/>
              <w:left w:val="single" w:sz="4" w:color="000000"/>
              <w:bottom w:val="single" w:sz="4" w:color="000000"/>
              <w:right w:val="single" w:sz="4" w:color="000000"/>
            </w:tcBorders>
            <w:vAlign w:val="center"/>
          </w:tcPr>
          <w:p>
            <w:pPr>
              <w:spacing w:before="0" w:after="0" w:line="259" w:lineRule="auto"/>
              <w:ind w:left="1" w:right="0" w:firstLine="0"/>
              <w:jc w:val="left"/>
            </w:pPr>
            <w:r>
              <w:rPr>
                <w:rFonts w:cs="Calibri" w:hAnsi="Calibri" w:eastAsia="Calibri" w:ascii="Calibri"/>
                <w:sz w:val="22"/>
              </w:rPr>
              <w:t xml:space="preserve"> </w:t>
            </w:r>
          </w:p>
        </w:tc>
        <w:tc>
          <w:tcPr>
            <w:tcW w:w="808" w:type="dxa"/>
            <w:tcBorders>
              <w:top w:val="single" w:sz="4" w:color="000000"/>
              <w:left w:val="single" w:sz="4" w:color="000000"/>
              <w:bottom w:val="single" w:sz="4" w:color="000000"/>
              <w:right w:val="single" w:sz="4" w:color="000000"/>
            </w:tcBorders>
            <w:vAlign w:val="center"/>
          </w:tcPr>
          <w:p>
            <w:pPr>
              <w:spacing w:before="0" w:after="0" w:line="259" w:lineRule="auto"/>
              <w:ind w:left="508" w:right="0" w:firstLine="0"/>
              <w:jc w:val="left"/>
            </w:pPr>
            <w:r>
              <w:rPr>
                <w:rFonts w:cs="Calibri" w:hAnsi="Calibri" w:eastAsia="Calibri" w:ascii="Calibri"/>
                <w:sz w:val="22"/>
              </w:rPr>
              <w:t xml:space="preserve"> </w:t>
            </w:r>
          </w:p>
        </w:tc>
      </w:tr>
    </w:tbl>
    <w:p>
      <w:pPr>
        <w:spacing w:before="0" w:after="0" w:line="259" w:lineRule="auto"/>
        <w:ind w:left="0" w:right="0" w:firstLine="0"/>
        <w:jc w:val="left"/>
      </w:pPr>
      <w:r>
        <w:rPr>
          <w:rFonts w:cs="Garamond" w:hAnsi="Garamond" w:eastAsia="Garamond" w:ascii="Garamond"/>
          <w:b w:val="1"/>
          <w:sz w:val="22"/>
        </w:rPr>
        <w:t xml:space="preserve"> </w:t>
      </w:r>
    </w:p>
    <w:tbl>
      <w:tblPr>
        <w:tblStyle w:val="TableGrid"/>
        <w:tblW w:w="9977" w:type="dxa"/>
        <w:tblInd w:w="-709" w:type="dxa"/>
        <w:tblCellMar>
          <w:top w:w="46" w:type="dxa"/>
          <w:left w:w="109" w:type="dxa"/>
          <w:bottom w:w="0" w:type="dxa"/>
          <w:right w:w="115" w:type="dxa"/>
        </w:tblCellMar>
      </w:tblPr>
      <w:tblGrid>
        <w:gridCol w:w="9977"/>
      </w:tblGrid>
      <w:tr>
        <w:trPr>
          <w:trHeight w:val="295" w:hRule="atLeast"/>
        </w:trPr>
        <w:tc>
          <w:tcPr>
            <w:tcW w:w="9977" w:type="dxa"/>
            <w:tcBorders>
              <w:top w:val="single" w:sz="4" w:color="000000"/>
              <w:left w:val="single" w:sz="4" w:color="000000"/>
              <w:bottom w:val="single" w:sz="4" w:color="000000"/>
              <w:right w:val="single" w:sz="4" w:color="000000"/>
            </w:tcBorders>
            <w:shd w:val="clear" w:fill="d9d9d9"/>
            <w:vAlign w:val="top"/>
          </w:tcPr>
          <w:p>
            <w:pPr>
              <w:spacing w:before="0" w:after="0" w:line="259" w:lineRule="auto"/>
              <w:ind w:left="0" w:right="0" w:firstLine="0"/>
              <w:jc w:val="left"/>
            </w:pPr>
            <w:r>
              <w:rPr>
                <w:rFonts w:cs="Garamond" w:hAnsi="Garamond" w:eastAsia="Garamond" w:ascii="Garamond"/>
                <w:b w:val="1"/>
                <w:sz w:val="22"/>
              </w:rPr>
              <w:t xml:space="preserve">CPAP Outcome level achievement</w:t>
            </w:r>
            <w:r>
              <w:rPr>
                <w:rFonts w:cs="Garamond" w:hAnsi="Garamond" w:eastAsia="Garamond" w:ascii="Garamond"/>
                <w:b w:val="1"/>
                <w:sz w:val="22"/>
              </w:rPr>
              <w:t xml:space="preserve"> </w:t>
            </w:r>
          </w:p>
        </w:tc>
      </w:tr>
      <w:tr>
        <w:trPr>
          <w:trHeight w:val="865" w:hRule="atLeast"/>
        </w:trPr>
        <w:tc>
          <w:tcPr>
            <w:tcW w:w="9977" w:type="dxa"/>
            <w:tcBorders>
              <w:top w:val="single" w:sz="4" w:color="000000"/>
              <w:left w:val="single" w:sz="4" w:color="000000"/>
              <w:bottom w:val="single" w:sz="4" w:color="000000"/>
              <w:right w:val="single" w:sz="4" w:color="000000"/>
            </w:tcBorders>
            <w:vAlign w:val="top"/>
          </w:tcPr>
          <w:p>
            <w:pPr>
              <w:spacing w:before="0" w:after="13" w:line="259" w:lineRule="auto"/>
              <w:ind w:left="0" w:right="0" w:firstLine="0"/>
              <w:jc w:val="left"/>
            </w:pPr>
            <w:r>
              <w:rPr>
                <w:rFonts w:cs="Garamond" w:hAnsi="Garamond" w:eastAsia="Garamond" w:ascii="Garamond"/>
                <w:b w:val="1"/>
                <w:sz w:val="22"/>
              </w:rPr>
              <w:t xml:space="preserve">State how the outputs achieved this quarter contributed to the CPAP outcome</w:t>
            </w:r>
            <w:r>
              <w:rPr>
                <w:rFonts w:cs="Garamond" w:hAnsi="Garamond" w:eastAsia="Garamond" w:ascii="Garamond"/>
                <w:b w:val="1"/>
                <w:sz w:val="22"/>
              </w:rPr>
              <w:t xml:space="preserve"> </w:t>
            </w:r>
          </w:p>
          <w:p>
            <w:pPr>
              <w:spacing w:before="0" w:after="13" w:line="259" w:lineRule="auto"/>
              <w:ind w:left="0" w:right="0" w:firstLine="0"/>
              <w:jc w:val="left"/>
            </w:pPr>
            <w:r>
              <w:rPr>
                <w:rFonts w:cs="Garamond" w:hAnsi="Garamond" w:eastAsia="Garamond" w:ascii="Garamond"/>
                <w:b w:val="1"/>
                <w:sz w:val="22"/>
              </w:rPr>
              <w:t xml:space="preserve"> </w:t>
            </w:r>
          </w:p>
          <w:p>
            <w:pPr>
              <w:spacing w:before="0" w:after="0" w:line="259" w:lineRule="auto"/>
              <w:ind w:left="0" w:right="0" w:firstLine="0"/>
              <w:jc w:val="left"/>
            </w:pPr>
            <w:r>
              <w:rPr>
                <w:rFonts w:cs="Garamond" w:hAnsi="Garamond" w:eastAsia="Garamond" w:ascii="Garamond"/>
                <w:b w:val="1"/>
                <w:sz w:val="22"/>
              </w:rPr>
              <w:t xml:space="preserve"> </w:t>
            </w:r>
          </w:p>
        </w:tc>
      </w:tr>
    </w:tbl>
    <w:p>
      <w:pPr>
        <w:spacing w:before="0" w:after="32" w:line="259" w:lineRule="auto"/>
        <w:ind w:left="0" w:right="0" w:firstLine="0"/>
        <w:jc w:val="left"/>
      </w:pPr>
      <w:r>
        <w:rPr>
          <w:rFonts w:cs="Garamond" w:hAnsi="Garamond" w:eastAsia="Garamond" w:ascii="Garamond"/>
          <w:b w:val="1"/>
          <w:sz w:val="22"/>
        </w:rPr>
        <w:t xml:space="preserve"> </w:t>
      </w:r>
    </w:p>
    <w:p>
      <w:pPr>
        <w:spacing w:before="0" w:after="0" w:line="259" w:lineRule="auto"/>
        <w:ind w:left="0" w:right="0" w:firstLine="0"/>
        <w:jc w:val="left"/>
      </w:pPr>
      <w:r>
        <w:rPr>
          <w:sz w:val="22"/>
        </w:rPr>
        <w:t xml:space="preserve"> </w:t>
      </w:r>
    </w:p>
    <w:sectPr>
      <w:footerReference w:type="even" r:id="rId12"/>
      <w:footerReference w:type="default" r:id="rId11"/>
      <w:footerReference w:type="first" r:id="rId10"/>
      <w:pgSz w:w="12240" w:h="15840" w:orient="portrait"/>
      <w:pgMar w:footer="762" w:left="1440" w:top="1440" w:right="1434" w:bottom="1445"/>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506" w:firstLine="0"/>
      <w:jc w:val="right"/>
    </w:pPr>
    <w:fldSimple w:instr=" PAGE   \* MERGEFORMAT ">
      <w:r>
        <w:rPr>
          <w:sz w:val="22"/>
        </w:rPr>
        <w:t xml:space="preserve">i</w:t>
      </w:r>
    </w:fldSimple>
    <w:r>
      <w:rPr>
        <w:sz w:val="22"/>
      </w:rPr>
      <w:t xml:space="preserve"> </w:t>
    </w:r>
  </w:p>
  <w:p>
    <w:pPr>
      <w:spacing w:before="0" w:after="0" w:line="259" w:lineRule="auto"/>
      <w:ind w:left="0" w:right="0" w:firstLine="0"/>
      <w:jc w:val="left"/>
    </w:pPr>
    <w:r>
      <w:rPr>
        <w:sz w:val="22"/>
      </w:rPr>
      <w:t xml:space="preserve"> </w:t>
    </w: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506" w:firstLine="0"/>
      <w:jc w:val="right"/>
    </w:pPr>
    <w:fldSimple w:instr=" PAGE   \* MERGEFORMAT ">
      <w:r>
        <w:rPr>
          <w:sz w:val="22"/>
        </w:rPr>
        <w:t xml:space="preserve">i</w:t>
      </w:r>
    </w:fldSimple>
    <w:r>
      <w:rPr>
        <w:sz w:val="22"/>
      </w:rPr>
      <w:t xml:space="preserve"> </w:t>
    </w:r>
  </w:p>
  <w:p>
    <w:pPr>
      <w:spacing w:before="0" w:after="0" w:line="259" w:lineRule="auto"/>
      <w:ind w:left="0" w:right="0" w:firstLine="0"/>
      <w:jc w:val="left"/>
    </w:pPr>
    <w:r>
      <w:rPr>
        <w:sz w:val="22"/>
      </w:rPr>
      <w:t xml:space="preserve"> </w: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506" w:firstLine="0"/>
      <w:jc w:val="right"/>
    </w:pPr>
    <w:fldSimple w:instr=" PAGE   \* MERGEFORMAT ">
      <w:r>
        <w:rPr>
          <w:sz w:val="22"/>
        </w:rPr>
        <w:t xml:space="preserve">i</w:t>
      </w:r>
    </w:fldSimple>
    <w:r>
      <w:rPr>
        <w:sz w:val="22"/>
      </w:rPr>
      <w:t xml:space="preserve"> </w:t>
    </w:r>
  </w:p>
  <w:p>
    <w:pPr>
      <w:spacing w:before="0" w:after="0" w:line="259" w:lineRule="auto"/>
      <w:ind w:left="0" w:right="0" w:firstLine="0"/>
      <w:jc w:val="left"/>
    </w:pPr>
    <w:r>
      <w:rPr>
        <w:sz w:val="22"/>
      </w:rPr>
      <w:t xml:space="preserve"> </w:t>
    </w: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4" w:firstLine="0"/>
      <w:jc w:val="right"/>
    </w:pPr>
    <w:fldSimple w:instr=" PAGE   \* MERGEFORMAT ">
      <w:r>
        <w:rPr>
          <w:sz w:val="22"/>
        </w:rPr>
        <w:t xml:space="preserve">1</w:t>
      </w:r>
    </w:fldSimple>
    <w:r>
      <w:rPr>
        <w:sz w:val="22"/>
      </w:rPr>
      <w:t xml:space="preserve"> </w:t>
    </w:r>
  </w:p>
  <w:p>
    <w:pPr>
      <w:spacing w:before="0" w:after="0" w:line="259" w:lineRule="auto"/>
      <w:ind w:left="0" w:right="0" w:firstLine="0"/>
      <w:jc w:val="left"/>
    </w:pPr>
    <w:r>
      <w:rPr>
        <w:sz w:val="22"/>
      </w:rPr>
      <w:t xml:space="preserve"> </w:t>
    </w: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8" w:firstLine="0"/>
      <w:jc w:val="right"/>
    </w:pPr>
    <w:fldSimple w:instr=" PAGE   \* MERGEFORMAT ">
      <w:r>
        <w:rPr>
          <w:sz w:val="22"/>
        </w:rPr>
        <w:t xml:space="preserve">36</w:t>
      </w:r>
    </w:fldSimple>
    <w:r>
      <w:rPr>
        <w:sz w:val="22"/>
      </w:rPr>
      <w:t xml:space="preserve"> </w:t>
    </w:r>
  </w:p>
  <w:p>
    <w:pPr>
      <w:spacing w:before="0" w:after="0" w:line="259" w:lineRule="auto"/>
      <w:ind w:left="0" w:right="0" w:firstLine="0"/>
      <w:jc w:val="left"/>
    </w:pPr>
    <w:r>
      <w:rPr>
        <w:sz w:val="22"/>
      </w:rPr>
      <w:t xml:space="preserve"> </w:t>
    </w: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8" w:firstLine="0"/>
      <w:jc w:val="right"/>
    </w:pPr>
    <w:fldSimple w:instr=" PAGE   \* MERGEFORMAT ">
      <w:r>
        <w:rPr>
          <w:sz w:val="22"/>
        </w:rPr>
        <w:t xml:space="preserve">36</w:t>
      </w:r>
    </w:fldSimple>
    <w:r>
      <w:rPr>
        <w:sz w:val="22"/>
      </w:rPr>
      <w:t xml:space="preserve"> </w:t>
    </w:r>
  </w:p>
  <w:p>
    <w:pPr>
      <w:spacing w:before="0" w:after="0" w:line="259" w:lineRule="auto"/>
      <w:ind w:left="0" w:right="0" w:firstLine="0"/>
      <w:jc w:val="left"/>
    </w:pPr>
    <w:r>
      <w:rPr>
        <w:sz w:val="22"/>
      </w:rPr>
      <w:t xml:space="preserve"> </w:t>
    </w: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8" w:firstLine="0"/>
      <w:jc w:val="right"/>
    </w:pPr>
    <w:fldSimple w:instr=" PAGE   \* MERGEFORMAT ">
      <w:r>
        <w:rPr>
          <w:sz w:val="22"/>
        </w:rPr>
        <w:t xml:space="preserve">36</w:t>
      </w:r>
    </w:fldSimple>
    <w:r>
      <w:rPr>
        <w:sz w:val="22"/>
      </w:rPr>
      <w:t xml:space="preserve"> </w:t>
    </w:r>
  </w:p>
  <w:p>
    <w:pPr>
      <w:spacing w:before="0" w:after="0" w:line="259" w:lineRule="auto"/>
      <w:ind w:left="0" w:right="0" w:firstLine="0"/>
      <w:jc w:val="left"/>
    </w:pPr>
    <w:r>
      <w:rPr>
        <w:sz w:val="22"/>
      </w:rPr>
      <w:t xml:space="preserve"> </w:t>
    </w: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28" w:line="259" w:lineRule="auto"/>
        <w:ind w:left="0" w:right="0" w:firstLine="0"/>
        <w:jc w:val="left"/>
      </w:pPr>
      <w:r>
        <w:separator/>
      </w:r>
    </w:p>
  </w:footnote>
  <w:footnote w:type="continuationSeparator" w:id="0">
    <w:p>
      <w:pPr>
        <w:spacing w:before="0" w:after="28" w:line="259" w:lineRule="auto"/>
        <w:ind w:left="0" w:right="0" w:firstLine="0"/>
        <w:jc w:val="left"/>
      </w:pPr>
      <w:r>
        <w:continuationSeparator/>
      </w:r>
    </w:p>
  </w:footnote>
  <w:footnote w:id="13">
    <w:p>
      <w:pPr>
        <w:pStyle w:val="footnote description"/>
        <w:spacing w:before="0" w:after="28" w:line="259" w:lineRule="auto"/>
      </w:pPr>
      <w:r>
        <w:rPr>
          <w:rStyle w:val="footnote mark"/>
        </w:rPr>
        <w:footnoteRef/>
      </w:r>
      <w:r>
        <w:t xml:space="preserve"/>
      </w:r>
      <w:r>
        <w:t xml:space="preserve"> </w:t>
      </w:r>
      <w:r>
        <w:rPr>
          <w:rFonts w:cs="Times New Roman" w:hAnsi="Times New Roman" w:eastAsia="Times New Roman" w:ascii="Times New Roman"/>
          <w:sz w:val="20"/>
        </w:rPr>
        <w:t xml:space="preserve">. See also UNICEF Humanitarian Situation Report for Uganda, May 2007</w:t>
      </w:r>
      <w:r>
        <w:rPr>
          <w:rFonts w:cs="Times New Roman" w:hAnsi="Times New Roman" w:eastAsia="Times New Roman" w:ascii="Times New Roman"/>
          <w:sz w:val="20"/>
        </w:rPr>
        <w:t xml:space="preserve"> </w:t>
      </w:r>
    </w:p>
  </w:footnote>
  <w:footnote w:id="14">
    <w:p>
      <w:pPr>
        <w:pStyle w:val="footnote description"/>
        <w:spacing w:before="0" w:after="0" w:line="261" w:lineRule="auto"/>
        <w:jc w:val="both"/>
      </w:pPr>
      <w:r>
        <w:rPr>
          <w:rStyle w:val="footnote mark"/>
        </w:rPr>
        <w:footnoteRef/>
      </w:r>
      <w:r>
        <w:t xml:space="preserve"/>
      </w:r>
      <w:r>
        <w:t xml:space="preserve"> </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See Muhereza Emmanuel Frank, ‘</w:t>
      </w:r>
      <w:r>
        <w:rPr>
          <w:rFonts w:cs="Times New Roman" w:hAnsi="Times New Roman" w:eastAsia="Times New Roman" w:ascii="Times New Roman"/>
          <w:i w:val="1"/>
          <w:sz w:val="20"/>
        </w:rPr>
        <w:t xml:space="preserve">The Juba Peace Process: An Analysis of Emerging Issues and Key Lessons Learnt</w:t>
      </w:r>
      <w:r>
        <w:rPr>
          <w:rFonts w:cs="Times New Roman" w:hAnsi="Times New Roman" w:eastAsia="Times New Roman" w:ascii="Times New Roman"/>
          <w:sz w:val="20"/>
        </w:rPr>
        <w:t xml:space="preserve">’. A Synthesis of issues emerging from a Lessons’ learnt Workshop Held at Acholi Inn, Gulu, 23</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24 April </w:t>
      </w:r>
    </w:p>
  </w:footnote>
  <w:footnote w:id="15">
    <w:p>
      <w:pPr>
        <w:pStyle w:val="footnote description"/>
        <w:spacing w:before="0" w:after="0" w:line="238" w:lineRule="auto"/>
        <w:ind w:right="3"/>
        <w:jc w:val="both"/>
      </w:pPr>
      <w:r>
        <w:rPr>
          <w:rStyle w:val="footnote mark"/>
        </w:rPr>
        <w:footnoteRef/>
      </w:r>
      <w:r>
        <w:t xml:space="preserve"/>
      </w:r>
      <w:r>
        <w:t xml:space="preserve"> </w:t>
      </w:r>
      <w:r>
        <w:rPr>
          <w:sz w:val="20"/>
        </w:rPr>
        <w:t xml:space="preserve">Sub</w:t>
      </w:r>
      <w:r>
        <w:rPr>
          <w:sz w:val="20"/>
        </w:rPr>
        <w:t xml:space="preserve">-</w:t>
      </w:r>
      <w:r>
        <w:rPr>
          <w:sz w:val="20"/>
        </w:rPr>
        <w:t xml:space="preserve">region of North East includes the districts of Kotido, Abim, Moroto, Kaabong, Nakapiripiriti, Katwaki, Amuria, Bukedea, Soroti, Kumi and Kaberamaido; Mid</w:t>
      </w:r>
      <w:r>
        <w:rPr>
          <w:sz w:val="20"/>
        </w:rPr>
        <w:t xml:space="preserve">-</w:t>
      </w:r>
      <w:r>
        <w:rPr>
          <w:sz w:val="20"/>
        </w:rPr>
        <w:t xml:space="preserve">Northern includes Gulu, Amuru, Kitgum, Pader, Apac, Oyam, Lira, Amolatar and Dokolo; West Nile includes Moyo, Adjumani, Yumbe, Arua, Koboko, Nyadri, and Nebbi; Mid</w:t>
      </w:r>
      <w:r>
        <w:rPr>
          <w:sz w:val="20"/>
        </w:rPr>
        <w:t xml:space="preserve">-</w:t>
      </w:r>
      <w:r>
        <w:rPr>
          <w:sz w:val="20"/>
        </w:rPr>
        <w:t xml:space="preserve">Western</w:t>
      </w:r>
      <w:r>
        <w:rPr>
          <w:sz w:val="20"/>
        </w:rPr>
        <w:t xml:space="preserve"> </w:t>
      </w:r>
      <w:r>
        <w:rPr>
          <w:sz w:val="20"/>
        </w:rPr>
        <w:t xml:space="preserve">includes Masindi, Bullisa, Hoima, Kibaale,Bundibugyo, Kabarole, Kasese, Kyenjojo and Kamwenge; South Western includes Bushenyi,</w:t>
      </w:r>
      <w:r>
        <w:rPr>
          <w:sz w:val="20"/>
        </w:rPr>
        <w:t xml:space="preserve"> </w:t>
      </w:r>
      <w:r>
        <w:rPr>
          <w:sz w:val="20"/>
        </w:rPr>
        <w:t xml:space="preserve">Rukungiri, Kanungu, Kabale, Kisoro, Mbarara, Ibanda, Isingiro, Kiruhura and Ntungamo; Mid</w:t>
      </w:r>
      <w:r>
        <w:rPr>
          <w:sz w:val="20"/>
        </w:rPr>
        <w:t xml:space="preserve">-</w:t>
      </w:r>
      <w:r>
        <w:rPr>
          <w:sz w:val="20"/>
        </w:rPr>
        <w:t xml:space="preserve">Eastern </w:t>
      </w:r>
      <w:r>
        <w:rPr>
          <w:sz w:val="20"/>
        </w:rPr>
        <w:t xml:space="preserve"> </w:t>
      </w:r>
      <w:r>
        <w:rPr>
          <w:sz w:val="20"/>
        </w:rPr>
        <w:t xml:space="preserve">includes Kapchorwa, Bukwa, Mbale, Bududa, Manafwa, Tororo, Butaleja, Sironko, Paliisa, Budaka and Busia; Central 1 includes Kalangala, Masaka, Mpigi, Rakai, Lyantonde, Sembabule and Wakiso; Central 2 includes Kayunga, Kiboga, Luwero, Nakaseke, Mubende, Mityana, Mukono and Nakasongola; East Central includes Jinja, Iganga, Namutumba, Kamuli, Kaliro, Bugiri and</w:t>
      </w:r>
      <w:r>
        <w:rPr>
          <w:sz w:val="20"/>
        </w:rPr>
        <w:t xml:space="preserve"> </w:t>
      </w:r>
      <w:r>
        <w:rPr>
          <w:sz w:val="20"/>
        </w:rPr>
        <w:t xml:space="preserve">Mayuge; and Kampala</w:t>
      </w:r>
      <w:r>
        <w:rPr>
          <w:sz w:val="17"/>
        </w:rPr>
        <w:t xml:space="preserve">  </w:t>
      </w:r>
    </w:p>
    <w:p>
      <w:pPr>
        <w:pStyle w:val="footnote description"/>
        <w:spacing w:before="0" w:after="0" w:line="259" w:lineRule="auto"/>
      </w:pPr>
      <w:r>
        <w:rPr>
          <w:rFonts w:cs="Times New Roman" w:hAnsi="Times New Roman" w:eastAsia="Times New Roman" w:ascii="Times New Roman"/>
          <w:sz w:val="20"/>
        </w:rPr>
        <w:t xml:space="preserve"> </w:t>
      </w:r>
    </w:p>
  </w:footnote>
  <w:footnote w:id="16">
    <w:p>
      <w:pPr>
        <w:pStyle w:val="footnote description"/>
        <w:spacing w:before="0" w:after="0" w:line="257" w:lineRule="auto"/>
        <w:ind w:right="12"/>
        <w:jc w:val="both"/>
      </w:pPr>
      <w:r>
        <w:rPr>
          <w:rStyle w:val="footnote mark"/>
        </w:rPr>
        <w:footnoteRef/>
      </w:r>
      <w:r>
        <w:t xml:space="preserve"/>
      </w:r>
      <w:r>
        <w:t xml:space="preserve"> </w:t>
      </w:r>
      <w:r>
        <w:rPr>
          <w:sz w:val="16"/>
        </w:rPr>
        <w:t xml:space="preserve">See Mission Report, integrated CPR mission, September 2012; Light Strategic Partnership Framework CPR</w:t>
      </w:r>
      <w:r>
        <w:rPr>
          <w:sz w:val="16"/>
        </w:rPr>
        <w:t xml:space="preserve">-</w:t>
      </w:r>
      <w:r>
        <w:rPr>
          <w:sz w:val="16"/>
        </w:rPr>
        <w:t xml:space="preserve">Uganda, May 2011;  </w:t>
      </w:r>
      <w:r>
        <w:rPr>
          <w:sz w:val="16"/>
        </w:rPr>
        <w:t xml:space="preserve"> </w:t>
      </w:r>
      <w:r>
        <w:rPr>
          <w:rFonts w:cs="Times New Roman" w:hAnsi="Times New Roman" w:eastAsia="Times New Roman" w:ascii="Times New Roman"/>
          <w:sz w:val="20"/>
          <w:vertAlign w:val="superscript"/>
        </w:rPr>
        <w:t xml:space="preserve">5</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See the Daily Monitor Friday, March 22, 2013: President promises more help to the north....”The talk of secession  also drew criticism from the President who accused some of the region’s leaders of misleading the people” page 5. </w:t>
      </w:r>
      <w:r>
        <w:rPr>
          <w:rFonts w:cs="Times New Roman" w:hAnsi="Times New Roman" w:eastAsia="Times New Roman" w:ascii="Times New Roman"/>
          <w:sz w:val="20"/>
        </w:rPr>
        <w:t xml:space="preserve"> </w:t>
      </w:r>
      <w:r>
        <w:rPr>
          <w:rFonts w:cs="Times New Roman" w:hAnsi="Times New Roman" w:eastAsia="Times New Roman" w:ascii="Times New Roman"/>
          <w:sz w:val="20"/>
          <w:vertAlign w:val="superscript"/>
        </w:rPr>
        <w:t xml:space="preserve">6</w:t>
      </w:r>
      <w:r>
        <w:rPr>
          <w:rFonts w:cs="Times New Roman" w:hAnsi="Times New Roman" w:eastAsia="Times New Roman" w:ascii="Times New Roman"/>
          <w:sz w:val="20"/>
        </w:rPr>
        <w:t xml:space="preserve">http://the360network.com/archives/2345</w:t>
      </w:r>
      <w:r>
        <w:rPr>
          <w:rFonts w:cs="Times New Roman" w:hAnsi="Times New Roman" w:eastAsia="Times New Roman" w:ascii="Times New Roman"/>
          <w:sz w:val="20"/>
        </w:rPr>
        <w:t xml:space="preserve"> </w:t>
      </w:r>
      <w:r>
        <w:rPr>
          <w:rFonts w:cs="Times New Roman" w:hAnsi="Times New Roman" w:eastAsia="Times New Roman" w:ascii="Times New Roman"/>
          <w:sz w:val="20"/>
          <w:vertAlign w:val="superscript"/>
        </w:rPr>
        <w:t xml:space="preserve">7</w:t>
      </w:r>
      <w:r>
        <w:rPr>
          <w:rFonts w:cs="Times New Roman" w:hAnsi="Times New Roman" w:eastAsia="Times New Roman" w:ascii="Times New Roman"/>
          <w:sz w:val="20"/>
        </w:rPr>
        <w:t xml:space="preserve">Ibid</w:t>
      </w:r>
      <w:r>
        <w:rPr>
          <w:rFonts w:cs="Times New Roman" w:hAnsi="Times New Roman" w:eastAsia="Times New Roman" w:ascii="Times New Roman"/>
          <w:sz w:val="20"/>
        </w:rPr>
        <w:t xml:space="preserve"> </w:t>
      </w:r>
    </w:p>
  </w:footnote>
  <w:footnote w:id="17">
    <w:p>
      <w:pPr>
        <w:pStyle w:val="footnote description"/>
        <w:spacing w:before="0" w:after="36" w:line="259" w:lineRule="auto"/>
      </w:pPr>
      <w:r>
        <w:rPr>
          <w:rStyle w:val="footnote mark"/>
        </w:rPr>
        <w:footnoteRef/>
      </w:r>
      <w:r>
        <w:t xml:space="preserve"/>
      </w:r>
      <w:r>
        <w:t xml:space="preserve"> </w:t>
      </w:r>
      <w:r>
        <w:rPr>
          <w:sz w:val="16"/>
        </w:rPr>
        <w:t xml:space="preserve">Uganda: Promoting Inclusive Growth February 2012</w:t>
      </w:r>
      <w:r>
        <w:rPr>
          <w:sz w:val="16"/>
        </w:rPr>
        <w:t xml:space="preserve"> </w:t>
      </w:r>
    </w:p>
  </w:footnote>
  <w:footnote w:id="18">
    <w:p>
      <w:pPr>
        <w:pStyle w:val="footnote description"/>
        <w:spacing w:before="0" w:after="0" w:line="259" w:lineRule="auto"/>
      </w:pPr>
      <w:r>
        <w:rPr>
          <w:rStyle w:val="footnote mark"/>
        </w:rPr>
        <w:footnoteRef/>
      </w:r>
      <w:r>
        <w:t xml:space="preserve"/>
      </w:r>
      <w:r>
        <w:t xml:space="preserve"> </w:t>
      </w:r>
      <w:r>
        <w:rPr>
          <w:rFonts w:cs="Times New Roman" w:hAnsi="Times New Roman" w:eastAsia="Times New Roman" w:ascii="Times New Roman"/>
          <w:sz w:val="20"/>
        </w:rPr>
        <w:t xml:space="preserve">Uganda currently has a Land Policy, Land Use Policy and the Land Act</w:t>
      </w:r>
      <w:r>
        <w:rPr>
          <w:rFonts w:cs="Times New Roman" w:hAnsi="Times New Roman" w:eastAsia="Times New Roman" w:ascii="Times New Roman"/>
          <w:sz w:val="20"/>
        </w:rPr>
        <w:t xml:space="preserve"> </w:t>
      </w:r>
    </w:p>
  </w:footnote>
  <w:footnote w:id="19">
    <w:p>
      <w:pPr>
        <w:pStyle w:val="footnote description"/>
        <w:spacing w:before="0" w:after="5" w:line="250" w:lineRule="auto"/>
        <w:jc w:val="both"/>
      </w:pPr>
      <w:r>
        <w:rPr>
          <w:rStyle w:val="footnote mark"/>
        </w:rPr>
        <w:footnoteRef/>
      </w:r>
      <w:r>
        <w:t xml:space="preserve"/>
      </w:r>
      <w:r>
        <w:t xml:space="preserve"> </w:t>
      </w:r>
      <w:r>
        <w:rPr>
          <w:rFonts w:cs="Times New Roman" w:hAnsi="Times New Roman" w:eastAsia="Times New Roman" w:ascii="Times New Roman"/>
          <w:sz w:val="20"/>
        </w:rPr>
        <w:t xml:space="preserve">. See “Floods to get worse”, </w:t>
      </w:r>
      <w:r>
        <w:rPr>
          <w:rFonts w:cs="Times New Roman" w:hAnsi="Times New Roman" w:eastAsia="Times New Roman" w:ascii="Times New Roman"/>
          <w:i w:val="1"/>
          <w:sz w:val="20"/>
        </w:rPr>
        <w:t xml:space="preserve">New Vision 19 September 2007, pp. 1</w:t>
      </w:r>
      <w:r>
        <w:rPr>
          <w:rFonts w:cs="Times New Roman" w:hAnsi="Times New Roman" w:eastAsia="Times New Roman" w:ascii="Times New Roman"/>
          <w:i w:val="1"/>
          <w:sz w:val="20"/>
        </w:rPr>
        <w:t xml:space="preserve">-</w:t>
      </w:r>
      <w:r>
        <w:rPr>
          <w:rFonts w:cs="Times New Roman" w:hAnsi="Times New Roman" w:eastAsia="Times New Roman" w:ascii="Times New Roman"/>
          <w:i w:val="1"/>
          <w:sz w:val="20"/>
        </w:rPr>
        <w:t xml:space="preserve">2</w:t>
      </w:r>
      <w:r>
        <w:rPr>
          <w:rFonts w:cs="Times New Roman" w:hAnsi="Times New Roman" w:eastAsia="Times New Roman" w:ascii="Times New Roman"/>
          <w:sz w:val="20"/>
        </w:rPr>
        <w:t xml:space="preserve">. See also “Sironko</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Nakapiripirit bridge collapses”, </w:t>
      </w:r>
      <w:r>
        <w:rPr>
          <w:rFonts w:cs="Times New Roman" w:hAnsi="Times New Roman" w:eastAsia="Times New Roman" w:ascii="Times New Roman"/>
          <w:i w:val="1"/>
          <w:sz w:val="20"/>
        </w:rPr>
        <w:t xml:space="preserve">New Vision 4 September 200</w:t>
      </w:r>
      <w:r>
        <w:rPr>
          <w:rFonts w:cs="Times New Roman" w:hAnsi="Times New Roman" w:eastAsia="Times New Roman" w:ascii="Times New Roman"/>
          <w:i w:val="1"/>
          <w:sz w:val="20"/>
        </w:rPr>
        <w:t xml:space="preserve">7.</w:t>
      </w:r>
      <w:r>
        <w:rPr>
          <w:rFonts w:cs="Times New Roman" w:hAnsi="Times New Roman" w:eastAsia="Times New Roman" w:ascii="Times New Roman"/>
          <w:sz w:val="20"/>
        </w:rPr>
        <w:t xml:space="preserve">  </w:t>
      </w:r>
    </w:p>
  </w:footnote>
  <w:footnote w:id="20">
    <w:p>
      <w:pPr>
        <w:pStyle w:val="footnote description"/>
        <w:spacing w:before="0" w:after="21" w:line="259" w:lineRule="auto"/>
      </w:pPr>
      <w:r>
        <w:rPr>
          <w:rStyle w:val="footnote mark"/>
        </w:rPr>
        <w:footnoteRef/>
      </w:r>
      <w:r>
        <w:t xml:space="preserve"/>
      </w:r>
      <w:r>
        <w:t xml:space="preserve"> </w:t>
      </w:r>
      <w:r>
        <w:rPr>
          <w:rFonts w:cs="Times New Roman" w:hAnsi="Times New Roman" w:eastAsia="Times New Roman" w:ascii="Times New Roman"/>
          <w:sz w:val="20"/>
        </w:rPr>
        <w:t xml:space="preserve">. See “Six camps created for Lira flood victims”, </w:t>
      </w:r>
      <w:r>
        <w:rPr>
          <w:rFonts w:cs="Times New Roman" w:hAnsi="Times New Roman" w:eastAsia="Times New Roman" w:ascii="Times New Roman"/>
          <w:i w:val="1"/>
          <w:sz w:val="20"/>
        </w:rPr>
        <w:t xml:space="preserve">New Vision 2 October 2007, pp. 5</w:t>
      </w:r>
      <w:r>
        <w:rPr>
          <w:rFonts w:cs="Times New Roman" w:hAnsi="Times New Roman" w:eastAsia="Times New Roman" w:ascii="Times New Roman"/>
          <w:sz w:val="20"/>
        </w:rPr>
        <w:t xml:space="preserve"> </w:t>
      </w:r>
    </w:p>
  </w:footnote>
  <w:footnote w:id="21">
    <w:p>
      <w:pPr>
        <w:pStyle w:val="footnote description"/>
        <w:spacing w:before="0" w:after="31" w:line="259" w:lineRule="auto"/>
      </w:pPr>
      <w:r>
        <w:rPr>
          <w:rStyle w:val="footnote mark"/>
        </w:rPr>
        <w:footnoteRef/>
      </w:r>
      <w:r>
        <w:t xml:space="preserve"/>
      </w:r>
      <w:r>
        <w:t xml:space="preserve"> </w:t>
      </w:r>
      <w:r>
        <w:rPr>
          <w:rFonts w:cs="Times New Roman" w:hAnsi="Times New Roman" w:eastAsia="Times New Roman" w:ascii="Times New Roman"/>
          <w:sz w:val="20"/>
        </w:rPr>
        <w:t xml:space="preserve">. See “Govt aids Teso flood victims”, </w:t>
      </w:r>
      <w:r>
        <w:rPr>
          <w:rFonts w:cs="Times New Roman" w:hAnsi="Times New Roman" w:eastAsia="Times New Roman" w:ascii="Times New Roman"/>
          <w:i w:val="1"/>
          <w:sz w:val="20"/>
        </w:rPr>
        <w:t xml:space="preserve">Daily Monitor 2 September 2007, pp. 3</w:t>
      </w:r>
      <w:r>
        <w:rPr>
          <w:rFonts w:cs="Times New Roman" w:hAnsi="Times New Roman" w:eastAsia="Times New Roman" w:ascii="Times New Roman"/>
          <w:sz w:val="20"/>
        </w:rPr>
        <w:t xml:space="preserve"> </w:t>
      </w:r>
    </w:p>
  </w:footnote>
  <w:footnote w:id="22">
    <w:p>
      <w:pPr>
        <w:pStyle w:val="footnote description"/>
        <w:spacing w:before="0" w:after="0" w:line="259" w:lineRule="auto"/>
      </w:pPr>
      <w:r>
        <w:rPr>
          <w:rStyle w:val="footnote mark"/>
        </w:rPr>
        <w:footnoteRef/>
      </w:r>
      <w:r>
        <w:t xml:space="preserve"/>
      </w:r>
      <w:r>
        <w:t xml:space="preserve"> </w:t>
      </w:r>
      <w:r>
        <w:rPr>
          <w:rFonts w:cs="Times New Roman" w:hAnsi="Times New Roman" w:eastAsia="Times New Roman" w:ascii="Times New Roman"/>
          <w:sz w:val="20"/>
        </w:rPr>
        <w:t xml:space="preserve">. See “Museveni declares state of emergency”, </w:t>
      </w:r>
      <w:r>
        <w:rPr>
          <w:rFonts w:cs="Times New Roman" w:hAnsi="Times New Roman" w:eastAsia="Times New Roman" w:ascii="Times New Roman"/>
          <w:i w:val="1"/>
          <w:sz w:val="20"/>
        </w:rPr>
        <w:t xml:space="preserve">New Vision 20 September 2007, pp.1</w:t>
      </w:r>
      <w:r>
        <w:rPr>
          <w:rFonts w:cs="Times New Roman" w:hAnsi="Times New Roman" w:eastAsia="Times New Roman" w:ascii="Times New Roman"/>
          <w:i w:val="1"/>
          <w:sz w:val="20"/>
        </w:rPr>
        <w:t xml:space="preserve">-</w:t>
      </w:r>
      <w:r>
        <w:rPr>
          <w:rFonts w:cs="Times New Roman" w:hAnsi="Times New Roman" w:eastAsia="Times New Roman" w:ascii="Times New Roman"/>
          <w:i w:val="1"/>
          <w:sz w:val="20"/>
        </w:rPr>
        <w:t xml:space="preserve">2</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 </w:t>
      </w:r>
    </w:p>
  </w:footnote>
  <w:footnote w:id="23">
    <w:p>
      <w:pPr>
        <w:pStyle w:val="footnote description"/>
        <w:spacing w:before="0" w:after="30" w:line="259" w:lineRule="auto"/>
      </w:pPr>
      <w:r>
        <w:rPr>
          <w:rStyle w:val="footnote mark"/>
        </w:rPr>
        <w:footnoteRef/>
      </w:r>
      <w:r>
        <w:t xml:space="preserve"/>
      </w:r>
      <w:r>
        <w:t xml:space="preserve"> </w:t>
      </w:r>
      <w:r>
        <w:rPr/>
        <w:t xml:space="preserve">PRDP</w:t>
      </w:r>
      <w:r>
        <w:rPr/>
        <w:t xml:space="preserve"> </w:t>
      </w:r>
      <w:r>
        <w:rPr/>
        <w:t xml:space="preserve">Mid</w:t>
      </w:r>
      <w:r>
        <w:rPr/>
        <w:t xml:space="preserve">-</w:t>
      </w:r>
      <w:r>
        <w:rPr/>
        <w:t xml:space="preserve">Term Review 2011</w:t>
      </w:r>
      <w:r>
        <w:rPr/>
        <w:t xml:space="preserve"> </w:t>
      </w:r>
    </w:p>
  </w:footnote>
  <w:footnote w:id="24">
    <w:p>
      <w:pPr>
        <w:pStyle w:val="footnote description"/>
        <w:spacing w:before="0" w:after="0" w:line="259" w:lineRule="auto"/>
      </w:pPr>
      <w:r>
        <w:rPr>
          <w:rStyle w:val="footnote mark"/>
        </w:rPr>
        <w:footnoteRef/>
      </w:r>
      <w:r>
        <w:t xml:space="preserve"/>
      </w:r>
      <w:r>
        <w:t xml:space="preserve"> </w:t>
      </w:r>
      <w:r>
        <w:rPr>
          <w:rFonts w:cs="Times New Roman" w:hAnsi="Times New Roman" w:eastAsia="Times New Roman" w:ascii="Times New Roman"/>
          <w:sz w:val="20"/>
        </w:rPr>
        <w:t xml:space="preserve">http://www.irinnews.org/Report/95322/UGANDA</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Land</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disputes</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threaten</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northern</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peace</w:t>
      </w:r>
      <w:r>
        <w:rPr>
          <w:rFonts w:cs="Times New Roman" w:hAnsi="Times New Roman" w:eastAsia="Times New Roman" w:ascii="Times New Roman"/>
          <w:sz w:val="20"/>
        </w:rPr>
        <w:t xml:space="preserve"> </w:t>
      </w:r>
    </w:p>
  </w:footnote>
  <w:footnote w:id="25">
    <w:p>
      <w:pPr>
        <w:pStyle w:val="footnote description"/>
        <w:spacing w:before="0" w:after="29" w:line="240" w:lineRule="auto"/>
        <w:ind w:right="1"/>
        <w:jc w:val="both"/>
      </w:pPr>
      <w:r>
        <w:rPr>
          <w:rStyle w:val="footnote mark"/>
        </w:rPr>
        <w:footnoteRef/>
      </w:r>
      <w:r>
        <w:t xml:space="preserve"/>
      </w:r>
      <w:r>
        <w:t xml:space="preserve"> </w:t>
      </w:r>
      <w:r>
        <w:rPr/>
        <w:t xml:space="preserve">It is unclear what exactly caused these increases but mentioned is amongst others that following the disarmament processes, a shift has been taking place whereby women have become the main breadwinner in the household. This would leave the men with a less prominent role and frustrated. Other factors that could play a role include issues related to power in household; the use of violence to reassert authority; and the use of violence as a weapon of control</w:t>
      </w:r>
      <w:r>
        <w:rPr/>
        <w:t xml:space="preserve">.</w:t>
      </w:r>
      <w:r>
        <w:rPr/>
        <w:t xml:space="preserve"> </w:t>
      </w:r>
    </w:p>
  </w:footnote>
  <w:footnote w:id="26">
    <w:p>
      <w:pPr>
        <w:pStyle w:val="footnote description"/>
        <w:spacing w:before="0" w:after="46" w:line="259" w:lineRule="auto"/>
      </w:pPr>
      <w:r>
        <w:rPr>
          <w:rStyle w:val="footnote mark"/>
        </w:rPr>
        <w:footnoteRef/>
      </w:r>
      <w:r>
        <w:t xml:space="preserve"/>
      </w:r>
      <w:r>
        <w:t xml:space="preserve"> </w:t>
      </w:r>
      <w:r>
        <w:rPr>
          <w:rFonts w:cs="Times New Roman" w:hAnsi="Times New Roman" w:eastAsia="Times New Roman" w:ascii="Times New Roman"/>
        </w:rPr>
        <w:t xml:space="preserve">See New Vision Monday, March 18</w:t>
      </w:r>
      <w:r>
        <w:rPr>
          <w:rFonts w:cs="Times New Roman" w:hAnsi="Times New Roman" w:eastAsia="Times New Roman" w:ascii="Times New Roman"/>
          <w:vertAlign w:val="superscript"/>
        </w:rPr>
        <w:t xml:space="preserve">th</w:t>
      </w:r>
      <w:r>
        <w:rPr>
          <w:rFonts w:cs="Times New Roman" w:hAnsi="Times New Roman" w:eastAsia="Times New Roman" w:ascii="Times New Roman"/>
        </w:rPr>
        <w:t xml:space="preserve">, 2013: Gulu clan flees over woman’s death</w:t>
      </w:r>
      <w:r>
        <w:rPr>
          <w:rFonts w:cs="Times New Roman" w:hAnsi="Times New Roman" w:eastAsia="Times New Roman" w:ascii="Times New Roman"/>
          <w:sz w:val="20"/>
        </w:rPr>
        <w:t xml:space="preserve"> </w:t>
      </w:r>
    </w:p>
  </w:footnote>
  <w:footnote w:id="27">
    <w:p>
      <w:pPr>
        <w:pStyle w:val="footnote description"/>
        <w:spacing w:before="0" w:after="0" w:line="245" w:lineRule="auto"/>
        <w:ind w:right="2"/>
        <w:jc w:val="both"/>
      </w:pPr>
      <w:r>
        <w:rPr>
          <w:rStyle w:val="footnote mark"/>
        </w:rPr>
        <w:footnoteRef/>
      </w:r>
      <w:r>
        <w:t xml:space="preserve"/>
      </w:r>
      <w:r>
        <w:t xml:space="preserve"> </w:t>
      </w:r>
      <w:r>
        <w:rPr>
          <w:rFonts w:cs="Times New Roman" w:hAnsi="Times New Roman" w:eastAsia="Times New Roman" w:ascii="Times New Roman"/>
        </w:rPr>
        <w:t xml:space="preserve">They include: causes and matters of a civil nature governed only by customary law specified in the Third schedule; causes and matters arising out of infringement of bye</w:t>
      </w:r>
      <w:r>
        <w:rPr>
          <w:rFonts w:cs="Times New Roman" w:hAnsi="Times New Roman" w:eastAsia="Times New Roman" w:ascii="Times New Roman"/>
        </w:rPr>
        <w:t xml:space="preserve">-</w:t>
      </w:r>
      <w:r>
        <w:rPr>
          <w:rFonts w:cs="Times New Roman" w:hAnsi="Times New Roman" w:eastAsia="Times New Roman" w:ascii="Times New Roman"/>
        </w:rPr>
        <w:t xml:space="preserve">laws and ordinances duly made under the Local Governments Act; matters specified under the Children Act; matters relating to land; and in any suit relating to causes and matters specified in the Second and Third schedules</w:t>
      </w:r>
      <w:r>
        <w:rPr>
          <w:rFonts w:cs="Times New Roman" w:hAnsi="Times New Roman" w:eastAsia="Times New Roman" w:ascii="Times New Roman"/>
        </w:rPr>
        <w:t xml:space="preserve">—</w:t>
      </w:r>
      <w:r>
        <w:rPr>
          <w:rFonts w:cs="Times New Roman" w:hAnsi="Times New Roman" w:eastAsia="Times New Roman" w:ascii="Times New Roman"/>
        </w:rPr>
        <w:t xml:space="preserve">the jurisdiction of the local council court shall, in respect of causes and matters specified in the second schedule be restricted to causes and matters where the value of the subject matter in dispute does not exceed one hundred currency points.</w:t>
      </w:r>
      <w:r>
        <w:rPr>
          <w:rFonts w:cs="Times New Roman" w:hAnsi="Times New Roman" w:eastAsia="Times New Roman" w:ascii="Times New Roman"/>
        </w:rPr>
        <w:t xml:space="preserve"> </w:t>
      </w:r>
    </w:p>
  </w:footnote>
  <w:footnote w:id="28">
    <w:p>
      <w:pPr>
        <w:pStyle w:val="footnote description"/>
        <w:spacing w:before="0" w:after="0" w:line="238" w:lineRule="auto"/>
        <w:ind w:right="1"/>
        <w:jc w:val="both"/>
      </w:pPr>
      <w:r>
        <w:rPr>
          <w:rStyle w:val="footnote mark"/>
        </w:rPr>
        <w:footnoteRef/>
      </w:r>
      <w:r>
        <w:t xml:space="preserve"/>
      </w:r>
      <w:r>
        <w:t xml:space="preserve"> </w:t>
      </w:r>
      <w:r>
        <w:rPr/>
        <w:t xml:space="preserve">See Joint Report by the Ugandan Human Rights Commission and UN Office of the High Commissioner for Human Rights (OHCHR).  May 8</w:t>
      </w:r>
      <w:r>
        <w:rPr>
          <w:vertAlign w:val="superscript"/>
        </w:rPr>
        <w:t xml:space="preserve">th</w:t>
      </w:r>
      <w:r>
        <w:rPr/>
        <w:t xml:space="preserve">, 2010.  </w:t>
      </w:r>
      <w:r>
        <w:rPr/>
        <w:t xml:space="preserve">Any collaboration</w:t>
      </w:r>
      <w:r>
        <w:rPr/>
        <w:t xml:space="preserve"> </w:t>
      </w:r>
      <w:r>
        <w:rPr/>
        <w:t xml:space="preserve">with the law enforcement should be reviewed on a regular basis by UNDP in light of allegations of abuses by the Ugandan police. To that extent, conditions for the partnership between UNDP and the police should be established to avoid placing UNDP in a difficult position programmatically and ethically. These should preferably be formulated locally</w:t>
      </w:r>
      <w:r>
        <w:rPr/>
        <w:t xml:space="preserve"> </w:t>
      </w:r>
      <w:r>
        <w:rPr/>
        <w:t xml:space="preserve">and with the UN Office of the High Commissioner for Human Rights in Uganda.</w:t>
      </w:r>
      <w:r>
        <w:rPr/>
        <w:t xml:space="preserve"> </w:t>
      </w:r>
      <w:r>
        <w:rPr/>
        <w:t xml:space="preserve">See also recommendations by the July 2010 review of the UNDP Karamoja programme, page vii.  </w:t>
      </w:r>
      <w:r>
        <w:rPr/>
        <w:t xml:space="preserve"> </w:t>
      </w:r>
    </w:p>
  </w:footnote>
  <w:footnote w:id="29">
    <w:p>
      <w:pPr>
        <w:pStyle w:val="footnote description"/>
        <w:spacing w:before="0" w:after="0" w:line="239" w:lineRule="auto"/>
        <w:ind w:right="3"/>
        <w:jc w:val="both"/>
      </w:pPr>
      <w:r>
        <w:rPr>
          <w:rStyle w:val="footnote mark"/>
        </w:rPr>
        <w:footnoteRef/>
      </w:r>
      <w:r>
        <w:t xml:space="preserve"/>
      </w:r>
      <w:r>
        <w:t xml:space="preserve"> </w:t>
      </w:r>
      <w:r>
        <w:rPr/>
        <w:t xml:space="preserve">The mid</w:t>
      </w:r>
      <w:r>
        <w:rPr/>
        <w:t xml:space="preserve">-</w:t>
      </w:r>
      <w:r>
        <w:rPr/>
        <w:t xml:space="preserve">term evaluation that there was peace building was linked with police/security</w:t>
      </w:r>
      <w:r>
        <w:rPr/>
        <w:t xml:space="preserve"> </w:t>
      </w:r>
      <w:r>
        <w:rPr/>
        <w:t xml:space="preserve">officials; implementation of peace agreements had been effective and represented an important contribution to consolidation of security in the areas. Lochead&amp;Musoke, Evaluation of the ‘</w:t>
      </w:r>
      <w:r>
        <w:rPr>
          <w:rFonts w:cs="Cambria" w:hAnsi="Cambria" w:eastAsia="Cambria" w:ascii="Cambria"/>
          <w:i w:val="1"/>
        </w:rPr>
        <w:t xml:space="preserve">Building Sustainable Peace and Development Project in Karamoja’, July </w:t>
      </w:r>
      <w:r>
        <w:rPr>
          <w:rFonts w:cs="Cambria" w:hAnsi="Cambria" w:eastAsia="Cambria" w:ascii="Cambria"/>
          <w:i w:val="1"/>
        </w:rPr>
        <w:t xml:space="preserve">2010</w:t>
      </w:r>
      <w:r>
        <w:rPr/>
        <w:t xml:space="preserve"> </w:t>
      </w:r>
    </w:p>
  </w:footnote>
  <w:footnote w:id="30">
    <w:p>
      <w:pPr>
        <w:pStyle w:val="footnote description"/>
        <w:spacing w:before="0" w:after="0" w:line="259" w:lineRule="auto"/>
      </w:pPr>
      <w:r>
        <w:rPr>
          <w:rStyle w:val="footnote mark"/>
        </w:rPr>
        <w:footnoteRef/>
      </w:r>
      <w:r>
        <w:t xml:space="preserve"/>
      </w:r>
      <w:r>
        <w:t xml:space="preserve"> </w:t>
      </w:r>
      <w:r>
        <w:rPr/>
        <w:t xml:space="preserve">See also recommendations by the July 2010 review of the UNDP Karamoja programme, page vii.  </w:t>
      </w:r>
      <w:r>
        <w:rPr/>
        <w:t xml:space="preserve"> </w:t>
      </w:r>
    </w:p>
  </w:footnote>
  <w:footnote w:id="31">
    <w:p>
      <w:pPr>
        <w:pStyle w:val="footnote description"/>
        <w:spacing w:before="0" w:after="0" w:line="241" w:lineRule="auto"/>
        <w:ind w:right="1596"/>
        <w:jc w:val="both"/>
      </w:pPr>
      <w:r>
        <w:rPr>
          <w:rStyle w:val="footnote mark"/>
        </w:rPr>
        <w:footnoteRef/>
      </w:r>
      <w:r>
        <w:t xml:space="preserve"/>
      </w:r>
      <w:r>
        <w:t xml:space="preserve"> </w:t>
      </w:r>
      <w:r>
        <w:rPr/>
        <w:t xml:space="preserve">JLOS Strategic Investment Plan III, Output 2.9. Legal Aid Policy and Law Implemented); </w:t>
      </w:r>
      <w:r>
        <w:rPr/>
        <w:t xml:space="preserve"> </w:t>
      </w:r>
      <w:r>
        <w:rPr>
          <w:vertAlign w:val="superscript"/>
        </w:rPr>
        <w:t xml:space="preserve">23</w:t>
      </w:r>
      <w:r>
        <w:rPr/>
        <w:t xml:space="preserve">Mid</w:t>
      </w:r>
      <w:r>
        <w:rPr/>
        <w:t xml:space="preserve">-</w:t>
      </w:r>
      <w:r>
        <w:rPr/>
        <w:t xml:space="preserve">Term Review PRDP 2012</w:t>
      </w:r>
      <w:r>
        <w:rPr/>
        <w:t xml:space="preserve">-</w:t>
      </w:r>
      <w:r>
        <w:rPr/>
        <w:t xml:space="preserve">2015</w:t>
      </w:r>
      <w:r>
        <w:rPr/>
        <w:t xml:space="preserve"> </w:t>
      </w:r>
    </w:p>
  </w:footnote>
  <w:footnote w:id="32">
    <w:p>
      <w:pPr>
        <w:pStyle w:val="footnote description"/>
        <w:spacing w:before="0" w:after="0" w:line="243" w:lineRule="auto"/>
        <w:jc w:val="both"/>
      </w:pPr>
      <w:r>
        <w:rPr>
          <w:rStyle w:val="footnote mark"/>
        </w:rPr>
        <w:footnoteRef/>
      </w:r>
      <w:r>
        <w:t xml:space="preserve"/>
      </w:r>
      <w:r>
        <w:t xml:space="preserve"> </w:t>
      </w:r>
      <w:r>
        <w:rPr/>
        <w:t xml:space="preserve">Burke and Egaru, on behalf of the UN Peace</w:t>
      </w:r>
      <w:r>
        <w:rPr/>
        <w:t xml:space="preserve"> </w:t>
      </w:r>
      <w:r>
        <w:rPr/>
        <w:t xml:space="preserve">building Programme in Acholi, </w:t>
      </w:r>
      <w:r>
        <w:rPr>
          <w:rFonts w:cs="Cambria" w:hAnsi="Cambria" w:eastAsia="Cambria" w:ascii="Cambria"/>
          <w:i w:val="1"/>
        </w:rPr>
        <w:t xml:space="preserve">identification of good practices in land conflict resolution in Acholi Land, </w:t>
      </w:r>
      <w:r>
        <w:rPr/>
        <w:t xml:space="preserve">November 2011.</w:t>
      </w:r>
      <w:r>
        <w:rPr/>
        <w:t xml:space="preserve"> </w:t>
      </w:r>
    </w:p>
  </w:footnote>
  <w:footnote w:id="33">
    <w:p>
      <w:pPr>
        <w:pStyle w:val="footnote description"/>
        <w:spacing w:before="0" w:after="0" w:line="238" w:lineRule="auto"/>
        <w:ind w:right="1"/>
        <w:jc w:val="both"/>
      </w:pPr>
      <w:r>
        <w:rPr>
          <w:rStyle w:val="footnote mark"/>
        </w:rPr>
        <w:footnoteRef/>
      </w:r>
      <w:r>
        <w:t xml:space="preserve"/>
      </w:r>
      <w:r>
        <w:t xml:space="preserve"> </w:t>
      </w:r>
      <w:r>
        <w:rPr/>
        <w:t xml:space="preserve">To adjudicate and reconcile disputes, the Local Councils Courts Act of 2006 established Local Council Courts (LCCs) to bring easy access to justice to the community on civil cases, land matters, and other specific issues set out extensively in the LCC Act section 10</w:t>
      </w:r>
      <w:r>
        <w:rPr/>
        <w:t xml:space="preserve">. </w:t>
      </w:r>
      <w:r>
        <w:rPr/>
        <w:t xml:space="preserve">The LCCs are established at village (level 1), parish (level 2), town (level 3), division (level 4) and sub</w:t>
      </w:r>
      <w:r>
        <w:rPr/>
        <w:t xml:space="preserve">-</w:t>
      </w:r>
      <w:r>
        <w:rPr/>
        <w:t xml:space="preserve">county level (level 5) (Section 3 of Local Council Courts Act 2006)</w:t>
      </w:r>
      <w:r>
        <w:rPr/>
        <w:t xml:space="preserve"> </w:t>
      </w:r>
      <w:r>
        <w:rPr/>
        <w:t xml:space="preserve">and these are also the jurisdictions within which each respective court at each level may operate. In case of dissatisfaction with a decision at the village court, one may appeal to the parish court until the sub</w:t>
      </w:r>
      <w:r>
        <w:rPr/>
        <w:t xml:space="preserve">-</w:t>
      </w:r>
      <w:r>
        <w:rPr/>
        <w:t xml:space="preserve">county court level. If still not satisfied</w:t>
      </w:r>
      <w:r>
        <w:rPr/>
        <w:t xml:space="preserve">,</w:t>
      </w:r>
      <w:r>
        <w:rPr/>
        <w:t xml:space="preserve"> </w:t>
      </w:r>
      <w:r>
        <w:rPr/>
        <w:t xml:space="preserve">an appeal can be made to the Chief Magistrates Court and subsequently the High Court (Section 32 Ibid)</w:t>
      </w:r>
      <w:r>
        <w:rPr/>
        <w:t xml:space="preserve">. </w:t>
      </w:r>
      <w:r>
        <w:rPr/>
        <w:t xml:space="preserve"> </w:t>
      </w:r>
    </w:p>
  </w:footnote>
  <w:footnote w:id="34">
    <w:p>
      <w:pPr>
        <w:pStyle w:val="footnote description"/>
        <w:spacing w:before="0" w:after="0" w:line="243" w:lineRule="auto"/>
        <w:jc w:val="both"/>
      </w:pPr>
      <w:r>
        <w:rPr>
          <w:rStyle w:val="footnote mark"/>
        </w:rPr>
        <w:footnoteRef/>
      </w:r>
      <w:r>
        <w:t xml:space="preserve"/>
      </w:r>
      <w:r>
        <w:t xml:space="preserve"> </w:t>
      </w:r>
      <w:r>
        <w:rPr/>
        <w:t xml:space="preserve">See also mid</w:t>
      </w:r>
      <w:r>
        <w:rPr/>
        <w:t xml:space="preserve">-</w:t>
      </w:r>
      <w:r>
        <w:rPr/>
        <w:t xml:space="preserve">term review of the UNDP Karamoja programme stressing the need for linking</w:t>
      </w:r>
      <w:r>
        <w:rPr/>
        <w:t xml:space="preserve"> </w:t>
      </w:r>
      <w:r>
        <w:rPr/>
        <w:t xml:space="preserve">peace rings with JLOS officials.   </w:t>
      </w:r>
      <w:r>
        <w:rPr/>
        <w:t xml:space="preserve"> </w:t>
      </w:r>
    </w:p>
  </w:footnote>
  <w:footnote w:id="35">
    <w:p>
      <w:pPr>
        <w:pStyle w:val="footnote description"/>
        <w:spacing w:before="0" w:after="0" w:line="259" w:lineRule="auto"/>
      </w:pPr>
      <w:r>
        <w:rPr>
          <w:rStyle w:val="footnote mark"/>
        </w:rPr>
        <w:footnoteRef/>
      </w:r>
      <w:r>
        <w:t xml:space="preserve"/>
      </w:r>
      <w:r>
        <w:t xml:space="preserve"> </w:t>
      </w:r>
      <w:r>
        <w:rPr/>
        <w:t xml:space="preserve">Section 13 Ibid.</w:t>
      </w:r>
      <w:r>
        <w:rPr/>
        <w:t xml:space="preserve"> </w:t>
      </w:r>
    </w:p>
  </w:footnote>
  <w:footnote w:id="36">
    <w:p>
      <w:pPr>
        <w:pStyle w:val="footnote description"/>
        <w:spacing w:before="0" w:after="0" w:line="243" w:lineRule="auto"/>
        <w:ind w:right="1"/>
        <w:jc w:val="both"/>
      </w:pPr>
      <w:r>
        <w:rPr>
          <w:rStyle w:val="footnote mark"/>
        </w:rPr>
        <w:footnoteRef/>
      </w:r>
      <w:r>
        <w:t xml:space="preserve"/>
      </w:r>
      <w:r>
        <w:t xml:space="preserve"> </w:t>
      </w:r>
      <w:r>
        <w:rPr/>
        <w:t xml:space="preserve">The jurisdictions of the traditional courts are based on clans and cut across the jurisdictional boundaries of LCCs. Also, the LCCs can be led by younger members of the community not respected by the wider community especially the elders and hence any adjudication is disrespected.</w:t>
      </w:r>
      <w:r>
        <w:rPr/>
        <w:t xml:space="preserve"> </w:t>
      </w:r>
    </w:p>
  </w:footnote>
  <w:footnote w:id="37">
    <w:p>
      <w:pPr>
        <w:pStyle w:val="footnote description"/>
        <w:spacing w:before="0" w:after="0" w:line="250" w:lineRule="auto"/>
        <w:jc w:val="both"/>
      </w:pPr>
      <w:r>
        <w:rPr>
          <w:rStyle w:val="footnote mark"/>
        </w:rPr>
        <w:footnoteRef/>
      </w:r>
      <w:r>
        <w:t xml:space="preserve"/>
      </w:r>
      <w:r>
        <w:t xml:space="preserve"> </w:t>
      </w:r>
      <w:r>
        <w:rPr/>
        <w:t xml:space="preserve">To make sure conflicts are prevented and managed, the capacities of relevant local governance institutions for the land administration will also be strengthened (Output 4)</w:t>
      </w:r>
      <w:r>
        <w:rPr/>
        <w:t xml:space="preserve">.</w:t>
      </w:r>
      <w:r>
        <w:rPr/>
        <w:t xml:space="preserve"> </w:t>
      </w:r>
    </w:p>
  </w:footnote>
  <w:footnote w:id="38">
    <w:p>
      <w:pPr>
        <w:pStyle w:val="footnote description"/>
        <w:spacing w:before="0" w:after="0" w:line="259" w:lineRule="auto"/>
      </w:pPr>
      <w:r>
        <w:rPr>
          <w:rStyle w:val="footnote mark"/>
        </w:rPr>
        <w:footnoteRef/>
      </w:r>
      <w:r>
        <w:t xml:space="preserve"/>
      </w:r>
      <w:r>
        <w:t xml:space="preserve"> </w:t>
      </w:r>
      <w:r>
        <w:rPr/>
        <w:t xml:space="preserve">Section 4 Ibid</w:t>
      </w:r>
      <w:r>
        <w:rPr/>
        <w:t xml:space="preserve"> </w:t>
      </w:r>
    </w:p>
  </w:footnote>
  <w:footnote w:id="39">
    <w:p>
      <w:pPr>
        <w:pStyle w:val="footnote description"/>
        <w:spacing w:before="0" w:after="0" w:line="243" w:lineRule="auto"/>
        <w:ind w:right="1"/>
        <w:jc w:val="both"/>
      </w:pPr>
      <w:r>
        <w:rPr>
          <w:rStyle w:val="footnote mark"/>
        </w:rPr>
        <w:footnoteRef/>
      </w:r>
      <w:r>
        <w:t xml:space="preserve"/>
      </w:r>
      <w:r>
        <w:t xml:space="preserve"> </w:t>
      </w:r>
      <w:r>
        <w:rPr/>
        <w:t xml:space="preserve">See JLOS/UNDP report; Transitional Justice in Northern, Eastern Uganda and some parts of West Nile Region 2009. P.vii; See JLOS, Strategic Investment Plan, 2012, pagina 22, Output 3.5 ‘Accountability in Transitional Justice Promoted’; Output 1.7. Informal Justice Framework strengthened and linked to the formal justice system; Output 1.6. Transitional Justice Policy and Legislation enacted</w:t>
      </w:r>
      <w:r>
        <w:rPr>
          <w:rFonts w:cs="Cambria" w:hAnsi="Cambria" w:eastAsia="Cambria" w:ascii="Cambria"/>
          <w:b w:val="1"/>
        </w:rPr>
        <w:t xml:space="preserve">.</w:t>
      </w:r>
      <w:r>
        <w:rPr/>
        <w:t xml:space="preserve"> </w:t>
      </w:r>
    </w:p>
  </w:footnote>
  <w:footnote w:id="40">
    <w:p>
      <w:pPr>
        <w:pStyle w:val="footnote description"/>
        <w:spacing w:before="0" w:after="0" w:line="240" w:lineRule="auto"/>
        <w:ind w:right="2"/>
        <w:jc w:val="both"/>
      </w:pPr>
      <w:r>
        <w:rPr>
          <w:rStyle w:val="footnote mark"/>
        </w:rPr>
        <w:footnoteRef/>
      </w:r>
      <w:r>
        <w:t xml:space="preserve"/>
      </w:r>
      <w:r>
        <w:t xml:space="preserve"> </w:t>
      </w:r>
      <w:r>
        <w:rPr/>
        <w:t xml:space="preserve">See JLOS, Strategic Investment Plan, 2012: Output 1.7. Informal Justice Framework strengthened; Burke and Egaru, on behalf of the UN Peace</w:t>
      </w:r>
      <w:r>
        <w:rPr/>
        <w:t xml:space="preserve"> </w:t>
      </w:r>
      <w:r>
        <w:rPr/>
        <w:t xml:space="preserve">building Programme in Acholi, </w:t>
      </w:r>
      <w:r>
        <w:rPr>
          <w:rFonts w:cs="Cambria" w:hAnsi="Cambria" w:eastAsia="Cambria" w:ascii="Cambria"/>
          <w:i w:val="1"/>
        </w:rPr>
        <w:t xml:space="preserve">identification of good practices in land conflict resolution in Acholi Land, </w:t>
      </w:r>
      <w:r>
        <w:rPr/>
        <w:t xml:space="preserve">November 2011.</w:t>
      </w:r>
      <w:r>
        <w:rPr/>
        <w:t xml:space="preserve"> </w:t>
      </w:r>
    </w:p>
  </w:footnote>
  <w:footnote w:id="41">
    <w:p>
      <w:pPr>
        <w:pStyle w:val="footnote description"/>
        <w:spacing w:before="0" w:after="0" w:line="259" w:lineRule="auto"/>
      </w:pPr>
      <w:r>
        <w:rPr>
          <w:rStyle w:val="footnote mark"/>
        </w:rPr>
        <w:footnoteRef/>
      </w:r>
      <w:r>
        <w:t xml:space="preserve"/>
      </w:r>
      <w:r>
        <w:t xml:space="preserve"> </w:t>
      </w:r>
      <w:r>
        <w:rPr>
          <w:sz w:val="16"/>
        </w:rPr>
        <w:t xml:space="preserve">Word bank, </w:t>
      </w:r>
      <w:r>
        <w:rPr>
          <w:sz w:val="16"/>
        </w:rPr>
        <w:t xml:space="preserve"> </w:t>
      </w:r>
    </w:p>
  </w:footnote>
  <w:footnote w:id="42">
    <w:p>
      <w:pPr>
        <w:pStyle w:val="footnote description"/>
        <w:spacing w:before="0" w:after="0" w:line="259" w:lineRule="auto"/>
      </w:pPr>
      <w:r>
        <w:rPr>
          <w:rStyle w:val="footnote mark"/>
        </w:rPr>
        <w:footnoteRef/>
      </w:r>
      <w:r>
        <w:t xml:space="preserve"/>
      </w:r>
      <w:r>
        <w:t xml:space="preserve"> </w:t>
      </w:r>
      <w:r>
        <w:rPr>
          <w:sz w:val="16"/>
        </w:rPr>
        <w:t xml:space="preserve">PRDP 2012</w:t>
      </w:r>
      <w:r>
        <w:rPr>
          <w:sz w:val="16"/>
        </w:rPr>
        <w:t xml:space="preserve">-</w:t>
      </w:r>
      <w:r>
        <w:rPr>
          <w:sz w:val="16"/>
        </w:rPr>
        <w:t xml:space="preserve">2015, page 3.</w:t>
      </w:r>
      <w:r>
        <w:rPr>
          <w:sz w:val="16"/>
        </w:rPr>
        <w:t xml:space="preserve"> </w:t>
      </w:r>
    </w:p>
  </w:footnote>
  <w:footnote w:id="43">
    <w:p>
      <w:pPr>
        <w:pStyle w:val="footnote description"/>
        <w:spacing w:before="0" w:after="0" w:line="259" w:lineRule="auto"/>
      </w:pPr>
      <w:r>
        <w:rPr>
          <w:rStyle w:val="footnote mark"/>
        </w:rPr>
        <w:footnoteRef/>
      </w:r>
      <w:r>
        <w:t xml:space="preserve"/>
      </w:r>
      <w:r>
        <w:t xml:space="preserve"> </w:t>
      </w:r>
      <w:r>
        <w:rPr>
          <w:sz w:val="16"/>
        </w:rPr>
        <w:t xml:space="preserve">Central Intelligence Agency, World Fact book, Uganda, 2012. www.cia.gov.org </w:t>
      </w:r>
      <w:r>
        <w:rPr>
          <w:sz w:val="16"/>
        </w:rPr>
        <w:t xml:space="preserve"> </w:t>
      </w:r>
    </w:p>
  </w:footnote>
  <w:footnote w:id="44">
    <w:p>
      <w:pPr>
        <w:pStyle w:val="footnote description"/>
        <w:spacing w:before="0" w:after="0" w:line="259" w:lineRule="auto"/>
      </w:pPr>
      <w:r>
        <w:rPr>
          <w:rStyle w:val="footnote mark"/>
        </w:rPr>
        <w:footnoteRef/>
      </w:r>
      <w:r>
        <w:t xml:space="preserve"/>
      </w:r>
      <w:r>
        <w:t xml:space="preserve"> </w:t>
      </w:r>
      <w:r>
        <w:rPr>
          <w:sz w:val="16"/>
        </w:rPr>
        <w:t xml:space="preserve">Central Intelligence Agency, World Fact book</w:t>
      </w:r>
      <w:r>
        <w:rPr>
          <w:sz w:val="16"/>
        </w:rPr>
        <w:t xml:space="preserve">,</w:t>
      </w:r>
      <w:r>
        <w:rPr>
          <w:sz w:val="16"/>
        </w:rPr>
        <w:t xml:space="preserve"> </w:t>
      </w:r>
      <w:r>
        <w:rPr>
          <w:sz w:val="16"/>
        </w:rPr>
        <w:t xml:space="preserve">Uganda, 2012. www.cia.gov.org </w:t>
      </w:r>
      <w:r>
        <w:rPr>
          <w:sz w:val="16"/>
        </w:rPr>
        <w:t xml:space="preserve"> </w:t>
      </w:r>
    </w:p>
  </w:footnote>
  <w:footnote w:id="45">
    <w:p>
      <w:pPr>
        <w:pStyle w:val="footnote description"/>
        <w:spacing w:before="0" w:after="0" w:line="259" w:lineRule="auto"/>
      </w:pPr>
      <w:r>
        <w:rPr>
          <w:rStyle w:val="footnote mark"/>
        </w:rPr>
        <w:footnoteRef/>
      </w:r>
      <w:r>
        <w:t xml:space="preserve"/>
      </w:r>
      <w:r>
        <w:t xml:space="preserve"> </w:t>
      </w:r>
      <w:r>
        <w:rPr>
          <w:sz w:val="16"/>
        </w:rPr>
        <w:t xml:space="preserve">World Bank, Uganda: Promoting inclusive growth, February 2012. </w:t>
      </w:r>
      <w:r>
        <w:rPr>
          <w:sz w:val="16"/>
        </w:rPr>
        <w:t xml:space="preserve"> </w:t>
      </w:r>
    </w:p>
  </w:footnote>
  <w:footnote w:id="46">
    <w:p>
      <w:pPr>
        <w:pStyle w:val="footnote description"/>
        <w:spacing w:before="0" w:after="0" w:line="259" w:lineRule="auto"/>
      </w:pPr>
      <w:r>
        <w:rPr>
          <w:rStyle w:val="footnote mark"/>
        </w:rPr>
        <w:footnoteRef/>
      </w:r>
      <w:r>
        <w:t xml:space="preserve"/>
      </w:r>
      <w:r>
        <w:t xml:space="preserve"> </w:t>
      </w:r>
      <w:r>
        <w:rPr>
          <w:rFonts w:cs="Times New Roman" w:hAnsi="Times New Roman" w:eastAsia="Times New Roman" w:ascii="Times New Roman"/>
          <w:sz w:val="20"/>
        </w:rPr>
        <w:t xml:space="preserve">See The Daily Monitor of Friday March 22, 2013: President promises more help for the north</w:t>
      </w:r>
      <w:r>
        <w:rPr>
          <w:rFonts w:cs="Times New Roman" w:hAnsi="Times New Roman" w:eastAsia="Times New Roman" w:ascii="Times New Roman"/>
          <w:sz w:val="20"/>
        </w:rPr>
        <w:t xml:space="preserve"> </w:t>
      </w:r>
    </w:p>
  </w:footnote>
  <w:footnote w:id="47">
    <w:p>
      <w:pPr>
        <w:pStyle w:val="footnote description"/>
        <w:spacing w:before="0" w:after="0" w:line="237" w:lineRule="auto"/>
        <w:ind w:right="4508"/>
      </w:pPr>
      <w:r>
        <w:rPr>
          <w:rStyle w:val="footnote mark"/>
        </w:rPr>
        <w:footnoteRef/>
      </w:r>
      <w:r>
        <w:t xml:space="preserve"/>
      </w:r>
      <w:r>
        <w:t xml:space="preserve"> </w:t>
      </w:r>
      <w:r>
        <w:rPr/>
        <w:t xml:space="preserve">Conflict Watch, Land and Investment, August 2012. </w:t>
      </w:r>
      <w:r>
        <w:rPr/>
        <w:t xml:space="preserve"> </w:t>
      </w:r>
      <w:r>
        <w:rPr>
          <w:vertAlign w:val="superscript"/>
        </w:rPr>
        <w:t xml:space="preserve">40</w:t>
      </w:r>
      <w:r>
        <w:rPr/>
        <w:t xml:space="preserve">Conflict Watch, Land and Investment, August 2012.</w:t>
      </w:r>
      <w:r>
        <w:rPr/>
        <w:t xml:space="preserve"> </w:t>
      </w:r>
    </w:p>
  </w:footnote>
  <w:footnote w:id="48">
    <w:p>
      <w:pPr>
        <w:pStyle w:val="footnote description"/>
        <w:spacing w:before="0" w:after="0" w:line="259" w:lineRule="auto"/>
      </w:pPr>
      <w:r>
        <w:rPr>
          <w:rStyle w:val="footnote mark"/>
        </w:rPr>
        <w:footnoteRef/>
      </w:r>
      <w:r>
        <w:t xml:space="preserve"/>
      </w:r>
      <w:r>
        <w:t xml:space="preserve"> </w:t>
      </w:r>
      <w:r>
        <w:rPr/>
        <w:t xml:space="preserve">PRDP Mid Term review</w:t>
      </w:r>
      <w:r>
        <w:rPr/>
        <w:t xml:space="preserve"> </w:t>
      </w:r>
    </w:p>
  </w:footnote>
  <w:footnote w:id="49">
    <w:p>
      <w:pPr>
        <w:pStyle w:val="footnote description"/>
        <w:spacing w:before="0" w:after="0" w:line="259" w:lineRule="auto"/>
      </w:pPr>
      <w:r>
        <w:rPr>
          <w:rStyle w:val="footnote mark"/>
        </w:rPr>
        <w:footnoteRef/>
      </w:r>
      <w:r>
        <w:t xml:space="preserve"/>
      </w:r>
      <w:r>
        <w:t xml:space="preserve"> </w:t>
      </w:r>
      <w:r>
        <w:rPr/>
        <w:t xml:space="preserve">PRDP Mid Term review </w:t>
      </w:r>
      <w:r>
        <w:rPr/>
        <w:t xml:space="preserve"> </w:t>
      </w:r>
    </w:p>
  </w:footnote>
  <w:footnote w:id="50">
    <w:p>
      <w:pPr>
        <w:pStyle w:val="footnote description"/>
        <w:spacing w:before="0" w:after="0" w:line="259" w:lineRule="auto"/>
      </w:pPr>
      <w:r>
        <w:rPr>
          <w:rStyle w:val="footnote mark"/>
        </w:rPr>
        <w:footnoteRef/>
      </w:r>
      <w:r>
        <w:t xml:space="preserve"/>
      </w:r>
      <w:r>
        <w:t xml:space="preserve"> </w:t>
      </w:r>
      <w:r>
        <w:rPr/>
        <w:t xml:space="preserve">Conflict Watch, Land and Investment, August 2012.</w:t>
      </w:r>
      <w:r>
        <w:rPr/>
        <w:t xml:space="preserve"> </w:t>
      </w:r>
    </w:p>
  </w:footnote>
  <w:footnote w:id="51">
    <w:p>
      <w:pPr>
        <w:pStyle w:val="footnote description"/>
        <w:spacing w:before="0" w:after="0" w:line="264" w:lineRule="auto"/>
        <w:ind w:right="5143"/>
        <w:jc w:val="both"/>
      </w:pPr>
      <w:r>
        <w:rPr>
          <w:rStyle w:val="footnote mark"/>
        </w:rPr>
        <w:footnoteRef/>
      </w:r>
      <w:r>
        <w:t xml:space="preserve"/>
      </w:r>
      <w:r>
        <w:t xml:space="preserve"> </w:t>
      </w:r>
      <w:r>
        <w:rPr/>
        <w:t xml:space="preserve">Conflict Watch, Land and Investment, August 2012.</w:t>
      </w:r>
      <w:r>
        <w:rPr/>
        <w:t xml:space="preserve"> </w:t>
      </w:r>
      <w:r>
        <w:rPr>
          <w:rFonts w:cs="Times New Roman" w:hAnsi="Times New Roman" w:eastAsia="Times New Roman" w:ascii="Times New Roman"/>
          <w:sz w:val="20"/>
          <w:vertAlign w:val="superscript"/>
        </w:rPr>
        <w:t xml:space="preserve">45</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NGO Registration Amendment Act 2006</w:t>
      </w:r>
      <w:r>
        <w:rPr>
          <w:rFonts w:cs="Times New Roman" w:hAnsi="Times New Roman" w:eastAsia="Times New Roman" w:ascii="Times New Roman"/>
          <w:sz w:val="20"/>
        </w:rPr>
        <w:t xml:space="preserve"> </w:t>
      </w:r>
    </w:p>
  </w:footnote>
  <w:footnote w:id="52">
    <w:p>
      <w:pPr>
        <w:pStyle w:val="footnote description"/>
        <w:spacing w:before="0" w:after="0" w:line="257" w:lineRule="auto"/>
        <w:jc w:val="both"/>
      </w:pPr>
      <w:r>
        <w:rPr>
          <w:rStyle w:val="footnote mark"/>
        </w:rPr>
        <w:footnoteRef/>
      </w:r>
      <w:r>
        <w:t xml:space="preserve"/>
      </w:r>
      <w:r>
        <w:t xml:space="preserve"> </w:t>
      </w:r>
      <w:r>
        <w:rPr>
          <w:sz w:val="16"/>
        </w:rPr>
        <w:t xml:space="preserve">Burke and Egaru, on behalf of the UN Peace building Programme in Acholi, </w:t>
      </w:r>
      <w:r>
        <w:rPr>
          <w:rFonts w:cs="Cambria" w:hAnsi="Cambria" w:eastAsia="Cambria" w:ascii="Cambria"/>
          <w:i w:val="1"/>
          <w:sz w:val="16"/>
        </w:rPr>
        <w:t xml:space="preserve">identification of good practices in land conflict resolution in Acholi Land, </w:t>
      </w:r>
      <w:r>
        <w:rPr>
          <w:sz w:val="16"/>
        </w:rPr>
        <w:t xml:space="preserve">November 2011.</w:t>
      </w:r>
      <w:r>
        <w:rPr>
          <w:sz w:val="16"/>
        </w:rPr>
        <w:t xml:space="preserve"> </w:t>
      </w:r>
    </w:p>
  </w:footnote>
  <w:footnote w:id="53">
    <w:p>
      <w:pPr>
        <w:pStyle w:val="footnote description"/>
        <w:spacing w:before="0" w:after="0" w:line="259" w:lineRule="auto"/>
      </w:pPr>
      <w:r>
        <w:rPr>
          <w:rStyle w:val="footnote mark"/>
        </w:rPr>
        <w:footnoteRef/>
      </w:r>
      <w:r>
        <w:t xml:space="preserve"/>
      </w:r>
      <w:r>
        <w:t xml:space="preserve"> </w:t>
      </w:r>
      <w:r>
        <w:rPr>
          <w:sz w:val="16"/>
        </w:rPr>
        <w:t xml:space="preserve">See JLOS, Strategic Investment Plan, 2012, pagina 22. </w:t>
      </w:r>
      <w:r>
        <w:rPr>
          <w:sz w:val="16"/>
        </w:rPr>
        <w:t xml:space="preserve"> </w:t>
      </w:r>
    </w:p>
  </w:footnote>
  <w:footnote w:id="54">
    <w:p>
      <w:pPr>
        <w:pStyle w:val="footnote description"/>
        <w:spacing w:before="0" w:after="0" w:line="259" w:lineRule="auto"/>
        <w:jc w:val="both"/>
      </w:pPr>
      <w:r>
        <w:rPr>
          <w:rStyle w:val="footnote mark"/>
        </w:rPr>
        <w:footnoteRef/>
      </w:r>
      <w:r>
        <w:t xml:space="preserve"/>
      </w:r>
      <w:r>
        <w:t xml:space="preserve"> </w:t>
      </w:r>
      <w:r>
        <w:rPr/>
        <w:t xml:space="preserve">Data specific to the districts in Karamoja, Acholi and Langi where UNDP will work need to be collected or requested from the PRDP MTR review team.</w:t>
      </w:r>
      <w:r>
        <w:rPr/>
        <w:t xml:space="preserve"> </w:t>
      </w:r>
    </w:p>
  </w:footnote>
  <w:footnote w:id="55">
    <w:p>
      <w:pPr>
        <w:pStyle w:val="footnote description"/>
        <w:spacing w:before="0" w:after="0" w:line="259" w:lineRule="auto"/>
      </w:pPr>
      <w:r>
        <w:rPr>
          <w:rStyle w:val="footnote mark"/>
        </w:rPr>
        <w:footnoteRef/>
      </w:r>
      <w:r>
        <w:t xml:space="preserve"/>
      </w:r>
      <w:r>
        <w:t xml:space="preserve"> </w:t>
      </w:r>
      <w:r>
        <w:rPr/>
        <w:t xml:space="preserve">Together with OHCHR. </w:t>
      </w:r>
      <w:r>
        <w:rPr/>
        <w:t xml:space="preserve"> </w:t>
      </w:r>
    </w:p>
  </w:footnote>
  <w:footnote w:id="56">
    <w:p>
      <w:pPr>
        <w:pStyle w:val="footnote description"/>
        <w:spacing w:before="0" w:after="0" w:line="259" w:lineRule="auto"/>
        <w:jc w:val="both"/>
      </w:pPr>
      <w:r>
        <w:rPr>
          <w:rStyle w:val="footnote mark"/>
        </w:rPr>
        <w:footnoteRef/>
      </w:r>
      <w:r>
        <w:t xml:space="preserve"/>
      </w:r>
      <w:r>
        <w:t xml:space="preserve"> </w:t>
      </w:r>
      <w:r>
        <w:rPr/>
        <w:t xml:space="preserve">This should be done in close collaboration with other partners, notably the Netherlands in the Karamoja area. </w:t>
      </w:r>
      <w:r>
        <w:rPr/>
        <w:t xml:space="preserve"> </w:t>
      </w:r>
    </w:p>
  </w:footnote>
  <w:footnote w:id="57">
    <w:p>
      <w:pPr>
        <w:pStyle w:val="footnote description"/>
        <w:spacing w:before="0" w:after="0" w:line="259" w:lineRule="auto"/>
        <w:jc w:val="both"/>
      </w:pPr>
      <w:r>
        <w:rPr>
          <w:rStyle w:val="footnote mark"/>
        </w:rPr>
        <w:footnoteRef/>
      </w:r>
      <w:r>
        <w:t xml:space="preserve"/>
      </w:r>
      <w:r>
        <w:t xml:space="preserve"> </w:t>
      </w:r>
      <w:r>
        <w:rPr/>
        <w:t xml:space="preserve">This should be done in close collaboration with other partners. </w:t>
      </w:r>
      <w:r>
        <w:rPr/>
        <w:t xml:space="preserve"> </w:t>
      </w:r>
    </w:p>
  </w:footnote>
  <w:footnote w:id="58">
    <w:p>
      <w:pPr>
        <w:pStyle w:val="footnote description"/>
        <w:spacing w:before="0" w:after="0" w:line="238" w:lineRule="auto"/>
        <w:ind w:right="75"/>
        <w:jc w:val="both"/>
      </w:pPr>
      <w:r>
        <w:rPr>
          <w:rStyle w:val="footnote mark"/>
        </w:rPr>
        <w:footnoteRef/>
      </w:r>
      <w:r>
        <w:t xml:space="preserve"/>
      </w:r>
      <w:r>
        <w:t xml:space="preserve"> </w:t>
      </w:r>
      <w:r>
        <w:rPr/>
        <w:t xml:space="preserve">Unemployment rates in Uganda vary considerably. National unemployment rate per the Bureau of Statistics is around 5% for 2010, while other references quote 4.3%</w:t>
      </w:r>
      <w:r>
        <w:rPr/>
        <w:t xml:space="preserve">.  </w:t>
      </w:r>
      <w:r>
        <w:rPr/>
        <w:t xml:space="preserve">Amongst the youth, unemployment rates vary between 22%</w:t>
      </w:r>
      <w:r>
        <w:rPr/>
        <w:t xml:space="preserve">-</w:t>
      </w:r>
      <w:r>
        <w:rPr/>
        <w:t xml:space="preserve">65% taking into consideration urban/rural variables.  In rural areas, unemployment is considered low due to agricultural activities that employ a little more than 83% as per the CIA fact sheet for 2011, while unemployment in urban areas can reach 12.4% according to different researches and studies.   </w:t>
      </w:r>
      <w:r>
        <w:rPr/>
        <w:t xml:space="preserve"> </w:t>
      </w:r>
    </w:p>
  </w:footnote>
  <w:footnote w:id="59">
    <w:p>
      <w:pPr>
        <w:pStyle w:val="footnote description"/>
        <w:spacing w:before="0" w:after="0" w:line="259" w:lineRule="auto"/>
      </w:pPr>
      <w:r>
        <w:rPr>
          <w:rStyle w:val="footnote mark"/>
        </w:rPr>
        <w:footnoteRef/>
      </w:r>
      <w:r>
        <w:t xml:space="preserve"/>
      </w:r>
      <w:r>
        <w:t xml:space="preserve"> </w:t>
      </w:r>
      <w:r>
        <w:rPr/>
        <w:t xml:space="preserve">http://data.worldbank.org/country/uganda</w:t>
      </w:r>
      <w:r>
        <w:rPr/>
        <w:t xml:space="preserve"> </w:t>
      </w:r>
    </w:p>
  </w:footnote>
  <w:footnote w:id="60">
    <w:p>
      <w:pPr>
        <w:pStyle w:val="footnote description"/>
        <w:spacing w:before="0" w:after="0" w:line="230" w:lineRule="auto"/>
        <w:ind w:right="861"/>
      </w:pPr>
      <w:r>
        <w:rPr>
          <w:rStyle w:val="footnote mark"/>
        </w:rPr>
        <w:footnoteRef/>
      </w:r>
      <w:r>
        <w:t xml:space="preserve"/>
      </w:r>
      <w:r>
        <w:t xml:space="preserve"> </w:t>
      </w:r>
      <w:r>
        <w:rPr/>
        <w:t xml:space="preserve">Data specific to the districts in Karamoja, Acholi and Langi where UNDP will work need to be collected or requested from the PRDP MTR review team.</w:t>
      </w:r>
      <w:r>
        <w:rPr/>
        <w:t xml:space="preserve"> </w:t>
      </w:r>
      <w:r>
        <w:rPr>
          <w:vertAlign w:val="superscript"/>
        </w:rPr>
        <w:t xml:space="preserve">55</w:t>
      </w:r>
      <w:r>
        <w:rPr/>
        <w:t xml:space="preserve">This should be done in close collaboration with other partners </w:t>
      </w:r>
      <w:r>
        <w:rPr/>
        <w:t xml:space="preserve"> </w:t>
      </w:r>
    </w:p>
  </w:footnote>
  <w:footnote w:id="61">
    <w:p>
      <w:pPr>
        <w:pStyle w:val="footnote description"/>
        <w:spacing w:before="0" w:after="0" w:line="238" w:lineRule="auto"/>
        <w:ind w:right="75"/>
        <w:jc w:val="both"/>
      </w:pPr>
      <w:r>
        <w:rPr>
          <w:rStyle w:val="footnote mark"/>
        </w:rPr>
        <w:footnoteRef/>
      </w:r>
      <w:r>
        <w:t xml:space="preserve"/>
      </w:r>
      <w:r>
        <w:t xml:space="preserve"> </w:t>
      </w:r>
      <w:r>
        <w:rPr/>
        <w:t xml:space="preserve">Unemployment rates in Uganda vary considerably. National unemployment rate per the Bureau of Statistics is around 5% for 2010, while other references</w:t>
      </w:r>
      <w:r>
        <w:rPr/>
        <w:t xml:space="preserve"> </w:t>
      </w:r>
      <w:r>
        <w:rPr/>
        <w:t xml:space="preserve">quote 4.3%.  Amongst the youth, unemployment rates vary between 22%</w:t>
      </w:r>
      <w:r>
        <w:rPr/>
        <w:t xml:space="preserve">-</w:t>
      </w:r>
      <w:r>
        <w:rPr/>
        <w:t xml:space="preserve">65% taking into consideration urban/rural variables.  In rural areas, unemployment is considered low due to agricultural activities that employ a little more than 83% as per the CIA fact sheet for 2011, while unemployment in urban areas can reach 12.4% according to different researches and studies.   </w:t>
      </w:r>
      <w:r>
        <w:rPr/>
        <w:t xml:space="preserve"> </w:t>
      </w:r>
    </w:p>
  </w:footnote>
  <w:footnote w:id="62">
    <w:p>
      <w:pPr>
        <w:pStyle w:val="footnote description"/>
        <w:spacing w:before="0" w:after="0" w:line="259" w:lineRule="auto"/>
      </w:pPr>
      <w:r>
        <w:rPr>
          <w:rStyle w:val="footnote mark"/>
        </w:rPr>
        <w:footnoteRef/>
      </w:r>
      <w:r>
        <w:t xml:space="preserve"/>
      </w:r>
      <w:r>
        <w:t xml:space="preserve"> </w:t>
      </w:r>
      <w:r>
        <w:rPr/>
        <w:t xml:space="preserve">http://data.worldbank.org/country/uganda</w:t>
      </w:r>
      <w:r>
        <w:rPr/>
        <w:t xml:space="preserve"> </w:t>
      </w:r>
    </w:p>
  </w:footnote>
  <w:footnote w:id="63">
    <w:p>
      <w:pPr>
        <w:pStyle w:val="footnote description"/>
        <w:spacing w:before="0" w:after="0" w:line="259" w:lineRule="auto"/>
        <w:jc w:val="both"/>
      </w:pPr>
      <w:r>
        <w:rPr>
          <w:rStyle w:val="footnote mark"/>
        </w:rPr>
        <w:footnoteRef/>
      </w:r>
      <w:r>
        <w:t xml:space="preserve"/>
      </w:r>
      <w:r>
        <w:t xml:space="preserve"> </w:t>
      </w:r>
      <w:r>
        <w:rPr/>
        <w:t xml:space="preserve">Data specific to the districts in Karamoja, Acholi and Langi where UNDP will work need to be collected or requested from the PRDP MTR review team.</w:t>
      </w:r>
      <w:r>
        <w:rPr/>
        <w:t xml:space="preserve"> </w:t>
      </w:r>
    </w:p>
  </w:footnote>
  <w:footnote w:id="64">
    <w:p>
      <w:pPr>
        <w:pStyle w:val="footnote description"/>
        <w:spacing w:before="0" w:after="0" w:line="239" w:lineRule="auto"/>
        <w:ind w:right="75"/>
        <w:jc w:val="both"/>
      </w:pPr>
      <w:r>
        <w:rPr>
          <w:rStyle w:val="footnote mark"/>
        </w:rPr>
        <w:footnoteRef/>
      </w:r>
      <w:r>
        <w:t xml:space="preserve"/>
      </w:r>
      <w:r>
        <w:t xml:space="preserve"> </w:t>
      </w:r>
      <w:r>
        <w:rPr/>
        <w:t xml:space="preserve">Unemployment rates in Uganda vary considerably. National unemployment rate per the Bureau of Statistics is around 5% for 2010, while other references quote 4.3%.  Amongst the youth, unemployment rates vary between 22%</w:t>
      </w:r>
      <w:r>
        <w:rPr/>
        <w:t xml:space="preserve">-</w:t>
      </w:r>
      <w:r>
        <w:rPr/>
        <w:t xml:space="preserve">65% taking into consideration urban/rural variables.  In rural areas, unemployment is considered low due to agricultural activities that employ a little more than 83% as per the CIA fact sheet for 2011, while unemployment in urban</w:t>
      </w:r>
      <w:r>
        <w:rPr/>
        <w:t xml:space="preserve"> </w:t>
      </w:r>
      <w:r>
        <w:rPr/>
        <w:t xml:space="preserve">areas can reach 12.4% according to different researches and studies.   </w:t>
      </w:r>
      <w:r>
        <w:rPr/>
        <w:t xml:space="preserve"> </w:t>
      </w:r>
    </w:p>
  </w:footnote>
  <w:footnote w:id="65">
    <w:p>
      <w:pPr>
        <w:pStyle w:val="footnote description"/>
        <w:spacing w:before="0" w:after="0" w:line="259" w:lineRule="auto"/>
        <w:jc w:val="both"/>
      </w:pPr>
      <w:r>
        <w:rPr>
          <w:rStyle w:val="footnote mark"/>
        </w:rPr>
        <w:footnoteRef/>
      </w:r>
      <w:r>
        <w:t xml:space="preserve"/>
      </w:r>
      <w:r>
        <w:t xml:space="preserve"> </w:t>
      </w:r>
      <w:r>
        <w:rPr/>
        <w:t xml:space="preserve">http://data.worldbank.org/country/uganda</w:t>
      </w:r>
      <w:r>
        <w:rPr/>
        <w:t xml:space="preserve"> </w:t>
      </w:r>
    </w:p>
  </w:footnote>
  <w:footnote w:id="66">
    <w:p>
      <w:pPr>
        <w:pStyle w:val="footnote description"/>
        <w:spacing w:before="0" w:after="0" w:line="259" w:lineRule="auto"/>
      </w:pPr>
      <w:r>
        <w:rPr>
          <w:rStyle w:val="footnote mark"/>
        </w:rPr>
        <w:footnoteRef/>
      </w:r>
      <w:r>
        <w:t xml:space="preserve"/>
      </w:r>
      <w:r>
        <w:t xml:space="preserve"> </w:t>
      </w:r>
      <w:r>
        <w:rPr/>
        <w:t xml:space="preserve">Together with OHCHR. </w:t>
      </w:r>
      <w:r>
        <w:rPr/>
        <w:t xml:space="preserve"> </w:t>
      </w:r>
    </w:p>
  </w:footnote>
  <w:footnote w:id="67">
    <w:p>
      <w:pPr>
        <w:pStyle w:val="footnote description"/>
        <w:spacing w:before="0" w:after="0" w:line="259" w:lineRule="auto"/>
      </w:pPr>
      <w:r>
        <w:rPr>
          <w:rStyle w:val="footnote mark"/>
        </w:rPr>
        <w:footnoteRef/>
      </w:r>
      <w:r>
        <w:t xml:space="preserve"/>
      </w:r>
      <w:r>
        <w:t xml:space="preserve"> </w:t>
      </w:r>
      <w:r>
        <w:rPr/>
        <w:t xml:space="preserve">Use bracketed text only when IP is an NGO/IGO</w:t>
      </w:r>
      <w:r>
        <w:rPr/>
        <w:t xml:space="preserve"> </w:t>
      </w:r>
    </w:p>
  </w:footnote>
  <w:footnote w:id="68">
    <w:p>
      <w:pPr>
        <w:pStyle w:val="footnote description"/>
        <w:spacing w:before="0" w:after="0" w:line="237" w:lineRule="auto"/>
        <w:jc w:val="both"/>
      </w:pPr>
      <w:r>
        <w:rPr>
          <w:rStyle w:val="footnote mark"/>
        </w:rPr>
        <w:footnoteRef/>
      </w:r>
      <w:r>
        <w:t xml:space="preserve"/>
      </w:r>
      <w:r>
        <w:t xml:space="preserve"> </w:t>
      </w:r>
      <w:r>
        <w:rPr>
          <w:rFonts w:cs="Times New Roman" w:hAnsi="Times New Roman" w:eastAsia="Times New Roman" w:ascii="Times New Roman"/>
          <w:sz w:val="20"/>
        </w:rPr>
        <w:t xml:space="preserve">, Submitted to Danida</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Human Rights and Good Governance Programme (HUGGO), Kampala, 20 May 2009 (Revised Final Draft).</w:t>
      </w:r>
      <w:r>
        <w:rPr>
          <w:rFonts w:cs="Times New Roman" w:hAnsi="Times New Roman" w:eastAsia="Times New Roman" w:ascii="Times New Roman"/>
          <w:sz w:val="20"/>
        </w:rPr>
        <w:t xml:space="preserve">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lowerLetter"/>
      <w:lvlText w:val="%1)"/>
      <w:pPr>
        <w:ind w:left="720"/>
      </w:pPr>
      <w:rPr>
        <w:rFonts w:cs="Cambria" w:hAnsi="Cambria" w:eastAsia="Cambria" w:ascii="Cambria"/>
        <w:b w:val="1"/>
        <w:bCs/>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1"/>
        <w:bCs/>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1"/>
        <w:bCs/>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1"/>
        <w:bCs/>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1"/>
        <w:bCs/>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1"/>
        <w:bCs/>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1"/>
        <w:bCs/>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1"/>
        <w:bCs/>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1"/>
        <w:bCs/>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decimal"/>
      <w:lvlText w:val="%1."/>
      <w:pPr>
        <w:ind w:left="720"/>
      </w:pPr>
      <w:rPr>
        <w:rFonts w:cs="Cambria" w:hAnsi="Cambria" w:eastAsia="Cambria" w:ascii="Cambria"/>
        <w:b w:val="0"/>
        <w:i w:val="0"/>
        <w:strike w:val="0"/>
        <w:dstrike w:val="0"/>
        <w:color w:val="000000"/>
        <w:sz w:val="24"/>
        <w:szCs w:val="24"/>
        <w:u w:val="none" w:color="000000"/>
        <w:bdr w:val="none"/>
        <w:shd w:val="clear"/>
        <w:vertAlign w:val="baseline"/>
      </w:rPr>
    </w:lvl>
    <w:lvl w:ilvl="1">
      <w:start w:val="1"/>
      <w:numFmt w:val="lowerLetter"/>
      <w:lvlText w:val="%2"/>
      <w:pPr>
        <w:ind w:left="1440"/>
      </w:pPr>
      <w:rPr>
        <w:rFonts w:cs="Cambria" w:hAnsi="Cambria" w:eastAsia="Cambria" w:ascii="Cambria"/>
        <w:b w:val="0"/>
        <w:i w:val="0"/>
        <w:strike w:val="0"/>
        <w:dstrike w:val="0"/>
        <w:color w:val="000000"/>
        <w:sz w:val="24"/>
        <w:szCs w:val="24"/>
        <w:u w:val="none" w:color="000000"/>
        <w:bdr w:val="none"/>
        <w:shd w:val="clear"/>
        <w:vertAlign w:val="baseline"/>
      </w:rPr>
    </w:lvl>
    <w:lvl w:ilvl="2">
      <w:start w:val="1"/>
      <w:numFmt w:val="lowerRoman"/>
      <w:lvlText w:val="%3"/>
      <w:pPr>
        <w:ind w:left="2160"/>
      </w:pPr>
      <w:rPr>
        <w:rFonts w:cs="Cambria" w:hAnsi="Cambria" w:eastAsia="Cambria" w:ascii="Cambria"/>
        <w:b w:val="0"/>
        <w:i w:val="0"/>
        <w:strike w:val="0"/>
        <w:dstrike w:val="0"/>
        <w:color w:val="000000"/>
        <w:sz w:val="24"/>
        <w:szCs w:val="24"/>
        <w:u w:val="none" w:color="000000"/>
        <w:bdr w:val="none"/>
        <w:shd w:val="clear"/>
        <w:vertAlign w:val="baseline"/>
      </w:rPr>
    </w:lvl>
    <w:lvl w:ilvl="3">
      <w:start w:val="1"/>
      <w:numFmt w:val="decimal"/>
      <w:lvlText w:val="%4"/>
      <w:pPr>
        <w:ind w:left="2880"/>
      </w:pPr>
      <w:rPr>
        <w:rFonts w:cs="Cambria" w:hAnsi="Cambria" w:eastAsia="Cambria" w:ascii="Cambria"/>
        <w:b w:val="0"/>
        <w:i w:val="0"/>
        <w:strike w:val="0"/>
        <w:dstrike w:val="0"/>
        <w:color w:val="000000"/>
        <w:sz w:val="24"/>
        <w:szCs w:val="24"/>
        <w:u w:val="none" w:color="000000"/>
        <w:bdr w:val="none"/>
        <w:shd w:val="clear"/>
        <w:vertAlign w:val="baseline"/>
      </w:rPr>
    </w:lvl>
    <w:lvl w:ilvl="4">
      <w:start w:val="1"/>
      <w:numFmt w:val="lowerLetter"/>
      <w:lvlText w:val="%5"/>
      <w:pPr>
        <w:ind w:left="3600"/>
      </w:pPr>
      <w:rPr>
        <w:rFonts w:cs="Cambria" w:hAnsi="Cambria" w:eastAsia="Cambria" w:ascii="Cambria"/>
        <w:b w:val="0"/>
        <w:i w:val="0"/>
        <w:strike w:val="0"/>
        <w:dstrike w:val="0"/>
        <w:color w:val="000000"/>
        <w:sz w:val="24"/>
        <w:szCs w:val="24"/>
        <w:u w:val="none" w:color="000000"/>
        <w:bdr w:val="none"/>
        <w:shd w:val="clear"/>
        <w:vertAlign w:val="baseline"/>
      </w:rPr>
    </w:lvl>
    <w:lvl w:ilvl="5">
      <w:start w:val="1"/>
      <w:numFmt w:val="lowerRoman"/>
      <w:lvlText w:val="%6"/>
      <w:pPr>
        <w:ind w:left="4320"/>
      </w:pPr>
      <w:rPr>
        <w:rFonts w:cs="Cambria" w:hAnsi="Cambria" w:eastAsia="Cambria" w:ascii="Cambria"/>
        <w:b w:val="0"/>
        <w:i w:val="0"/>
        <w:strike w:val="0"/>
        <w:dstrike w:val="0"/>
        <w:color w:val="000000"/>
        <w:sz w:val="24"/>
        <w:szCs w:val="24"/>
        <w:u w:val="none" w:color="000000"/>
        <w:bdr w:val="none"/>
        <w:shd w:val="clear"/>
        <w:vertAlign w:val="baseline"/>
      </w:rPr>
    </w:lvl>
    <w:lvl w:ilvl="6">
      <w:start w:val="1"/>
      <w:numFmt w:val="decimal"/>
      <w:lvlText w:val="%7"/>
      <w:pPr>
        <w:ind w:left="5040"/>
      </w:pPr>
      <w:rPr>
        <w:rFonts w:cs="Cambria" w:hAnsi="Cambria" w:eastAsia="Cambria" w:ascii="Cambria"/>
        <w:b w:val="0"/>
        <w:i w:val="0"/>
        <w:strike w:val="0"/>
        <w:dstrike w:val="0"/>
        <w:color w:val="000000"/>
        <w:sz w:val="24"/>
        <w:szCs w:val="24"/>
        <w:u w:val="none" w:color="000000"/>
        <w:bdr w:val="none"/>
        <w:shd w:val="clear"/>
        <w:vertAlign w:val="baseline"/>
      </w:rPr>
    </w:lvl>
    <w:lvl w:ilvl="7">
      <w:start w:val="1"/>
      <w:numFmt w:val="lowerLetter"/>
      <w:lvlText w:val="%8"/>
      <w:pPr>
        <w:ind w:left="5760"/>
      </w:pPr>
      <w:rPr>
        <w:rFonts w:cs="Cambria" w:hAnsi="Cambria" w:eastAsia="Cambria" w:ascii="Cambria"/>
        <w:b w:val="0"/>
        <w:i w:val="0"/>
        <w:strike w:val="0"/>
        <w:dstrike w:val="0"/>
        <w:color w:val="000000"/>
        <w:sz w:val="24"/>
        <w:szCs w:val="24"/>
        <w:u w:val="none" w:color="000000"/>
        <w:bdr w:val="none"/>
        <w:shd w:val="clear"/>
        <w:vertAlign w:val="baseline"/>
      </w:rPr>
    </w:lvl>
    <w:lvl w:ilvl="8">
      <w:start w:val="1"/>
      <w:numFmt w:val="lowerRoman"/>
      <w:lvlText w:val="%9"/>
      <w:pPr>
        <w:ind w:left="6480"/>
      </w:pPr>
      <w:rPr>
        <w:rFonts w:cs="Cambria" w:hAnsi="Cambria" w:eastAsia="Cambria" w:ascii="Cambria"/>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
      <w:pPr>
        <w:ind w:left="72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lowerLetter"/>
      <w:lvlText w:val="%1)"/>
      <w:pPr>
        <w:ind w:left="360"/>
      </w:pPr>
      <w:rPr>
        <w:rFonts w:cs="Cambria" w:hAnsi="Cambria" w:eastAsia="Cambria" w:ascii="Cambria"/>
        <w:b w:val="0"/>
        <w:i w:val="0"/>
        <w:strike w:val="0"/>
        <w:dstrike w:val="0"/>
        <w:color w:val="000000"/>
        <w:sz w:val="20"/>
        <w:szCs w:val="20"/>
        <w:u w:val="none" w:color="000000"/>
        <w:bdr w:val="none"/>
        <w:shd w:val="clear"/>
        <w:vertAlign w:val="baseline"/>
      </w:rPr>
    </w:lvl>
    <w:lvl w:ilvl="1">
      <w:start w:val="1"/>
      <w:numFmt w:val="lowerLetter"/>
      <w:lvlText w:val="%2"/>
      <w:pPr>
        <w:ind w:left="1080"/>
      </w:pPr>
      <w:rPr>
        <w:rFonts w:cs="Cambria" w:hAnsi="Cambria" w:eastAsia="Cambria" w:ascii="Cambria"/>
        <w:b w:val="0"/>
        <w:i w:val="0"/>
        <w:strike w:val="0"/>
        <w:dstrike w:val="0"/>
        <w:color w:val="000000"/>
        <w:sz w:val="20"/>
        <w:szCs w:val="20"/>
        <w:u w:val="none" w:color="000000"/>
        <w:bdr w:val="none"/>
        <w:shd w:val="clear"/>
        <w:vertAlign w:val="baseline"/>
      </w:rPr>
    </w:lvl>
    <w:lvl w:ilvl="2">
      <w:start w:val="1"/>
      <w:numFmt w:val="lowerRoman"/>
      <w:lvlText w:val="%3"/>
      <w:pPr>
        <w:ind w:left="1800"/>
      </w:pPr>
      <w:rPr>
        <w:rFonts w:cs="Cambria" w:hAnsi="Cambria" w:eastAsia="Cambria" w:ascii="Cambria"/>
        <w:b w:val="0"/>
        <w:i w:val="0"/>
        <w:strike w:val="0"/>
        <w:dstrike w:val="0"/>
        <w:color w:val="000000"/>
        <w:sz w:val="20"/>
        <w:szCs w:val="20"/>
        <w:u w:val="none" w:color="000000"/>
        <w:bdr w:val="none"/>
        <w:shd w:val="clear"/>
        <w:vertAlign w:val="baseline"/>
      </w:rPr>
    </w:lvl>
    <w:lvl w:ilvl="3">
      <w:start w:val="1"/>
      <w:numFmt w:val="decimal"/>
      <w:lvlText w:val="%4"/>
      <w:pPr>
        <w:ind w:left="2520"/>
      </w:pPr>
      <w:rPr>
        <w:rFonts w:cs="Cambria" w:hAnsi="Cambria" w:eastAsia="Cambria" w:ascii="Cambria"/>
        <w:b w:val="0"/>
        <w:i w:val="0"/>
        <w:strike w:val="0"/>
        <w:dstrike w:val="0"/>
        <w:color w:val="000000"/>
        <w:sz w:val="20"/>
        <w:szCs w:val="20"/>
        <w:u w:val="none" w:color="000000"/>
        <w:bdr w:val="none"/>
        <w:shd w:val="clear"/>
        <w:vertAlign w:val="baseline"/>
      </w:rPr>
    </w:lvl>
    <w:lvl w:ilvl="4">
      <w:start w:val="1"/>
      <w:numFmt w:val="lowerLetter"/>
      <w:lvlText w:val="%5"/>
      <w:pPr>
        <w:ind w:left="3240"/>
      </w:pPr>
      <w:rPr>
        <w:rFonts w:cs="Cambria" w:hAnsi="Cambria" w:eastAsia="Cambria" w:ascii="Cambria"/>
        <w:b w:val="0"/>
        <w:i w:val="0"/>
        <w:strike w:val="0"/>
        <w:dstrike w:val="0"/>
        <w:color w:val="000000"/>
        <w:sz w:val="20"/>
        <w:szCs w:val="20"/>
        <w:u w:val="none" w:color="000000"/>
        <w:bdr w:val="none"/>
        <w:shd w:val="clear"/>
        <w:vertAlign w:val="baseline"/>
      </w:rPr>
    </w:lvl>
    <w:lvl w:ilvl="5">
      <w:start w:val="1"/>
      <w:numFmt w:val="lowerRoman"/>
      <w:lvlText w:val="%6"/>
      <w:pPr>
        <w:ind w:left="3960"/>
      </w:pPr>
      <w:rPr>
        <w:rFonts w:cs="Cambria" w:hAnsi="Cambria" w:eastAsia="Cambria" w:ascii="Cambria"/>
        <w:b w:val="0"/>
        <w:i w:val="0"/>
        <w:strike w:val="0"/>
        <w:dstrike w:val="0"/>
        <w:color w:val="000000"/>
        <w:sz w:val="20"/>
        <w:szCs w:val="20"/>
        <w:u w:val="none" w:color="000000"/>
        <w:bdr w:val="none"/>
        <w:shd w:val="clear"/>
        <w:vertAlign w:val="baseline"/>
      </w:rPr>
    </w:lvl>
    <w:lvl w:ilvl="6">
      <w:start w:val="1"/>
      <w:numFmt w:val="decimal"/>
      <w:lvlText w:val="%7"/>
      <w:pPr>
        <w:ind w:left="4680"/>
      </w:pPr>
      <w:rPr>
        <w:rFonts w:cs="Cambria" w:hAnsi="Cambria" w:eastAsia="Cambria" w:ascii="Cambria"/>
        <w:b w:val="0"/>
        <w:i w:val="0"/>
        <w:strike w:val="0"/>
        <w:dstrike w:val="0"/>
        <w:color w:val="000000"/>
        <w:sz w:val="20"/>
        <w:szCs w:val="20"/>
        <w:u w:val="none" w:color="000000"/>
        <w:bdr w:val="none"/>
        <w:shd w:val="clear"/>
        <w:vertAlign w:val="baseline"/>
      </w:rPr>
    </w:lvl>
    <w:lvl w:ilvl="7">
      <w:start w:val="1"/>
      <w:numFmt w:val="lowerLetter"/>
      <w:lvlText w:val="%8"/>
      <w:pPr>
        <w:ind w:left="5400"/>
      </w:pPr>
      <w:rPr>
        <w:rFonts w:cs="Cambria" w:hAnsi="Cambria" w:eastAsia="Cambria" w:ascii="Cambria"/>
        <w:b w:val="0"/>
        <w:i w:val="0"/>
        <w:strike w:val="0"/>
        <w:dstrike w:val="0"/>
        <w:color w:val="000000"/>
        <w:sz w:val="20"/>
        <w:szCs w:val="20"/>
        <w:u w:val="none" w:color="000000"/>
        <w:bdr w:val="none"/>
        <w:shd w:val="clear"/>
        <w:vertAlign w:val="baseline"/>
      </w:rPr>
    </w:lvl>
    <w:lvl w:ilvl="8">
      <w:start w:val="1"/>
      <w:numFmt w:val="lowerRoman"/>
      <w:lvlText w:val="%9"/>
      <w:pPr>
        <w:ind w:left="6120"/>
      </w:pPr>
      <w:rPr>
        <w:rFonts w:cs="Cambria" w:hAnsi="Cambria" w:eastAsia="Cambria" w:ascii="Cambria"/>
        <w:b w:val="0"/>
        <w:i w:val="0"/>
        <w:strike w:val="0"/>
        <w:dstrike w:val="0"/>
        <w:color w:val="000000"/>
        <w:sz w:val="20"/>
        <w:szCs w:val="20"/>
        <w:u w:val="none" w:color="000000"/>
        <w:bdr w:val="none"/>
        <w:shd w:val="clear"/>
        <w:vertAlign w:val="baseline"/>
      </w:rPr>
    </w:lvl>
  </w:abstractNum>
  <w:abstractNum w:abstractNumId="8">
    <w:multiLevelType w:val="hybridMultilevel"/>
    <w:lvl w:ilvl="0">
      <w:start w:val="1"/>
      <w:numFmt w:val="bullet"/>
      <w:lvlText w:val="•"/>
      <w:pPr>
        <w:ind w:left="139"/>
      </w:pPr>
      <w:rPr>
        <w:rFonts w:cs="Arial" w:hAnsi="Arial" w:eastAsia="Arial" w:ascii="Arial"/>
        <w:b w:val="0"/>
        <w:i w:val="0"/>
        <w:strike w:val="0"/>
        <w:dstrike w:val="0"/>
        <w:color w:val="000000"/>
        <w:sz w:val="16"/>
        <w:szCs w:val="16"/>
        <w:u w:val="none" w:color="000000"/>
        <w:bdr w:val="none"/>
        <w:shd w:val="clear"/>
        <w:vertAlign w:val="baseline"/>
      </w:rPr>
    </w:lvl>
    <w:lvl w:ilvl="1">
      <w:start w:val="1"/>
      <w:numFmt w:val="bullet"/>
      <w:lvlText w:val="o"/>
      <w:pPr>
        <w:ind w:left="116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2">
      <w:start w:val="1"/>
      <w:numFmt w:val="bullet"/>
      <w:lvlText w:val="▪"/>
      <w:pPr>
        <w:ind w:left="188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16"/>
        <w:szCs w:val="16"/>
        <w:u w:val="none" w:color="000000"/>
        <w:bdr w:val="none"/>
        <w:shd w:val="clear"/>
        <w:vertAlign w:val="baseline"/>
      </w:rPr>
    </w:lvl>
    <w:lvl w:ilvl="4">
      <w:start w:val="1"/>
      <w:numFmt w:val="bullet"/>
      <w:lvlText w:val="o"/>
      <w:pPr>
        <w:ind w:left="332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5">
      <w:start w:val="1"/>
      <w:numFmt w:val="bullet"/>
      <w:lvlText w:val="▪"/>
      <w:pPr>
        <w:ind w:left="404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16"/>
        <w:szCs w:val="16"/>
        <w:u w:val="none" w:color="000000"/>
        <w:bdr w:val="none"/>
        <w:shd w:val="clear"/>
        <w:vertAlign w:val="baseline"/>
      </w:rPr>
    </w:lvl>
    <w:lvl w:ilvl="7">
      <w:start w:val="1"/>
      <w:numFmt w:val="bullet"/>
      <w:lvlText w:val="o"/>
      <w:pPr>
        <w:ind w:left="548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8">
      <w:start w:val="1"/>
      <w:numFmt w:val="bullet"/>
      <w:lvlText w:val="▪"/>
      <w:pPr>
        <w:ind w:left="6202"/>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abstractNum>
  <w:abstractNum w:abstractNumId="9">
    <w:multiLevelType w:val="hybridMultilevel"/>
    <w:lvl w:ilvl="0">
      <w:start w:val="1"/>
      <w:numFmt w:val="bullet"/>
      <w:lvlText w:val=""/>
      <w:pPr>
        <w:ind w:left="456"/>
      </w:pPr>
      <w:rPr>
        <w:rFonts w:cs="Wingdings" w:hAnsi="Wingdings" w:eastAsia="Wingdings" w:ascii="Wingdings"/>
        <w:b w:val="0"/>
        <w:i w:val="0"/>
        <w:strike w:val="0"/>
        <w:dstrike w:val="0"/>
        <w:color w:val="000000"/>
        <w:sz w:val="18"/>
        <w:szCs w:val="18"/>
        <w:u w:val="none" w:color="000000"/>
        <w:bdr w:val="none"/>
        <w:shd w:val="clear"/>
        <w:vertAlign w:val="baseline"/>
      </w:rPr>
    </w:lvl>
    <w:lvl w:ilvl="1">
      <w:start w:val="1"/>
      <w:numFmt w:val="bullet"/>
      <w:lvlText w:val="o"/>
      <w:pPr>
        <w:ind w:left="1349"/>
      </w:pPr>
      <w:rPr>
        <w:rFonts w:cs="Wingdings" w:hAnsi="Wingdings" w:eastAsia="Wingdings" w:ascii="Wingdings"/>
        <w:b w:val="0"/>
        <w:i w:val="0"/>
        <w:strike w:val="0"/>
        <w:dstrike w:val="0"/>
        <w:color w:val="000000"/>
        <w:sz w:val="18"/>
        <w:szCs w:val="18"/>
        <w:u w:val="none" w:color="000000"/>
        <w:bdr w:val="none"/>
        <w:shd w:val="clear"/>
        <w:vertAlign w:val="baseline"/>
      </w:rPr>
    </w:lvl>
    <w:lvl w:ilvl="2">
      <w:start w:val="1"/>
      <w:numFmt w:val="bullet"/>
      <w:lvlText w:val="▪"/>
      <w:pPr>
        <w:ind w:left="2069"/>
      </w:pPr>
      <w:rPr>
        <w:rFonts w:cs="Wingdings" w:hAnsi="Wingdings" w:eastAsia="Wingdings" w:ascii="Wingdings"/>
        <w:b w:val="0"/>
        <w:i w:val="0"/>
        <w:strike w:val="0"/>
        <w:dstrike w:val="0"/>
        <w:color w:val="000000"/>
        <w:sz w:val="18"/>
        <w:szCs w:val="18"/>
        <w:u w:val="none" w:color="000000"/>
        <w:bdr w:val="none"/>
        <w:shd w:val="clear"/>
        <w:vertAlign w:val="baseline"/>
      </w:rPr>
    </w:lvl>
    <w:lvl w:ilvl="3">
      <w:start w:val="1"/>
      <w:numFmt w:val="bullet"/>
      <w:lvlText w:val="•"/>
      <w:pPr>
        <w:ind w:left="2789"/>
      </w:pPr>
      <w:rPr>
        <w:rFonts w:cs="Wingdings" w:hAnsi="Wingdings" w:eastAsia="Wingdings" w:ascii="Wingdings"/>
        <w:b w:val="0"/>
        <w:i w:val="0"/>
        <w:strike w:val="0"/>
        <w:dstrike w:val="0"/>
        <w:color w:val="000000"/>
        <w:sz w:val="18"/>
        <w:szCs w:val="18"/>
        <w:u w:val="none" w:color="000000"/>
        <w:bdr w:val="none"/>
        <w:shd w:val="clear"/>
        <w:vertAlign w:val="baseline"/>
      </w:rPr>
    </w:lvl>
    <w:lvl w:ilvl="4">
      <w:start w:val="1"/>
      <w:numFmt w:val="bullet"/>
      <w:lvlText w:val="o"/>
      <w:pPr>
        <w:ind w:left="3509"/>
      </w:pPr>
      <w:rPr>
        <w:rFonts w:cs="Wingdings" w:hAnsi="Wingdings" w:eastAsia="Wingdings" w:ascii="Wingdings"/>
        <w:b w:val="0"/>
        <w:i w:val="0"/>
        <w:strike w:val="0"/>
        <w:dstrike w:val="0"/>
        <w:color w:val="000000"/>
        <w:sz w:val="18"/>
        <w:szCs w:val="18"/>
        <w:u w:val="none" w:color="000000"/>
        <w:bdr w:val="none"/>
        <w:shd w:val="clear"/>
        <w:vertAlign w:val="baseline"/>
      </w:rPr>
    </w:lvl>
    <w:lvl w:ilvl="5">
      <w:start w:val="1"/>
      <w:numFmt w:val="bullet"/>
      <w:lvlText w:val="▪"/>
      <w:pPr>
        <w:ind w:left="4229"/>
      </w:pPr>
      <w:rPr>
        <w:rFonts w:cs="Wingdings" w:hAnsi="Wingdings" w:eastAsia="Wingdings" w:ascii="Wingdings"/>
        <w:b w:val="0"/>
        <w:i w:val="0"/>
        <w:strike w:val="0"/>
        <w:dstrike w:val="0"/>
        <w:color w:val="000000"/>
        <w:sz w:val="18"/>
        <w:szCs w:val="18"/>
        <w:u w:val="none" w:color="000000"/>
        <w:bdr w:val="none"/>
        <w:shd w:val="clear"/>
        <w:vertAlign w:val="baseline"/>
      </w:rPr>
    </w:lvl>
    <w:lvl w:ilvl="6">
      <w:start w:val="1"/>
      <w:numFmt w:val="bullet"/>
      <w:lvlText w:val="•"/>
      <w:pPr>
        <w:ind w:left="4949"/>
      </w:pPr>
      <w:rPr>
        <w:rFonts w:cs="Wingdings" w:hAnsi="Wingdings" w:eastAsia="Wingdings" w:ascii="Wingdings"/>
        <w:b w:val="0"/>
        <w:i w:val="0"/>
        <w:strike w:val="0"/>
        <w:dstrike w:val="0"/>
        <w:color w:val="000000"/>
        <w:sz w:val="18"/>
        <w:szCs w:val="18"/>
        <w:u w:val="none" w:color="000000"/>
        <w:bdr w:val="none"/>
        <w:shd w:val="clear"/>
        <w:vertAlign w:val="baseline"/>
      </w:rPr>
    </w:lvl>
    <w:lvl w:ilvl="7">
      <w:start w:val="1"/>
      <w:numFmt w:val="bullet"/>
      <w:lvlText w:val="o"/>
      <w:pPr>
        <w:ind w:left="5669"/>
      </w:pPr>
      <w:rPr>
        <w:rFonts w:cs="Wingdings" w:hAnsi="Wingdings" w:eastAsia="Wingdings" w:ascii="Wingdings"/>
        <w:b w:val="0"/>
        <w:i w:val="0"/>
        <w:strike w:val="0"/>
        <w:dstrike w:val="0"/>
        <w:color w:val="000000"/>
        <w:sz w:val="18"/>
        <w:szCs w:val="18"/>
        <w:u w:val="none" w:color="000000"/>
        <w:bdr w:val="none"/>
        <w:shd w:val="clear"/>
        <w:vertAlign w:val="baseline"/>
      </w:rPr>
    </w:lvl>
    <w:lvl w:ilvl="8">
      <w:start w:val="1"/>
      <w:numFmt w:val="bullet"/>
      <w:lvlText w:val="▪"/>
      <w:pPr>
        <w:ind w:left="6389"/>
      </w:pPr>
      <w:rPr>
        <w:rFonts w:cs="Wingdings" w:hAnsi="Wingdings" w:eastAsia="Wingdings" w:ascii="Wingdings"/>
        <w:b w:val="0"/>
        <w:i w:val="0"/>
        <w:strike w:val="0"/>
        <w:dstrike w:val="0"/>
        <w:color w:val="000000"/>
        <w:sz w:val="18"/>
        <w:szCs w:val="18"/>
        <w:u w:val="none" w:color="000000"/>
        <w:bdr w:val="none"/>
        <w:shd w:val="clear"/>
        <w:vertAlign w:val="baseline"/>
      </w:rPr>
    </w:lvl>
  </w:abstractNum>
  <w:abstractNum w:abstractNumId="10">
    <w:multiLevelType w:val="hybridMultilevel"/>
    <w:lvl w:ilvl="0">
      <w:start w:val="1"/>
      <w:numFmt w:val="bullet"/>
      <w:lvlText w:val="•"/>
      <w:pPr>
        <w:ind w:left="163"/>
      </w:pPr>
      <w:rPr>
        <w:rFonts w:cs="Arial" w:hAnsi="Arial" w:eastAsia="Arial" w:ascii="Arial"/>
        <w:b w:val="0"/>
        <w:i w:val="0"/>
        <w:strike w:val="0"/>
        <w:dstrike w:val="0"/>
        <w:color w:val="000000"/>
        <w:sz w:val="16"/>
        <w:szCs w:val="16"/>
        <w:u w:val="none" w:color="000000"/>
        <w:bdr w:val="none"/>
        <w:shd w:val="clear"/>
        <w:vertAlign w:val="baseline"/>
      </w:rPr>
    </w:lvl>
    <w:lvl w:ilvl="1">
      <w:start w:val="1"/>
      <w:numFmt w:val="bullet"/>
      <w:lvlText w:val="o"/>
      <w:pPr>
        <w:ind w:left="117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2">
      <w:start w:val="1"/>
      <w:numFmt w:val="bullet"/>
      <w:lvlText w:val="▪"/>
      <w:pPr>
        <w:ind w:left="189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3">
      <w:start w:val="1"/>
      <w:numFmt w:val="bullet"/>
      <w:lvlText w:val="•"/>
      <w:pPr>
        <w:ind w:left="2616"/>
      </w:pPr>
      <w:rPr>
        <w:rFonts w:cs="Arial" w:hAnsi="Arial" w:eastAsia="Arial" w:ascii="Arial"/>
        <w:b w:val="0"/>
        <w:i w:val="0"/>
        <w:strike w:val="0"/>
        <w:dstrike w:val="0"/>
        <w:color w:val="000000"/>
        <w:sz w:val="16"/>
        <w:szCs w:val="16"/>
        <w:u w:val="none" w:color="000000"/>
        <w:bdr w:val="none"/>
        <w:shd w:val="clear"/>
        <w:vertAlign w:val="baseline"/>
      </w:rPr>
    </w:lvl>
    <w:lvl w:ilvl="4">
      <w:start w:val="1"/>
      <w:numFmt w:val="bullet"/>
      <w:lvlText w:val="o"/>
      <w:pPr>
        <w:ind w:left="333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5">
      <w:start w:val="1"/>
      <w:numFmt w:val="bullet"/>
      <w:lvlText w:val="▪"/>
      <w:pPr>
        <w:ind w:left="405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6">
      <w:start w:val="1"/>
      <w:numFmt w:val="bullet"/>
      <w:lvlText w:val="•"/>
      <w:pPr>
        <w:ind w:left="4776"/>
      </w:pPr>
      <w:rPr>
        <w:rFonts w:cs="Arial" w:hAnsi="Arial" w:eastAsia="Arial" w:ascii="Arial"/>
        <w:b w:val="0"/>
        <w:i w:val="0"/>
        <w:strike w:val="0"/>
        <w:dstrike w:val="0"/>
        <w:color w:val="000000"/>
        <w:sz w:val="16"/>
        <w:szCs w:val="16"/>
        <w:u w:val="none" w:color="000000"/>
        <w:bdr w:val="none"/>
        <w:shd w:val="clear"/>
        <w:vertAlign w:val="baseline"/>
      </w:rPr>
    </w:lvl>
    <w:lvl w:ilvl="7">
      <w:start w:val="1"/>
      <w:numFmt w:val="bullet"/>
      <w:lvlText w:val="o"/>
      <w:pPr>
        <w:ind w:left="549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lvl w:ilvl="8">
      <w:start w:val="1"/>
      <w:numFmt w:val="bullet"/>
      <w:lvlText w:val="▪"/>
      <w:pPr>
        <w:ind w:left="6216"/>
      </w:pPr>
      <w:rPr>
        <w:rFonts w:cs="Segoe UI Symbol" w:hAnsi="Segoe UI Symbol" w:eastAsia="Segoe UI Symbol" w:ascii="Segoe UI Symbol"/>
        <w:b w:val="0"/>
        <w:i w:val="0"/>
        <w:strike w:val="0"/>
        <w:dstrike w:val="0"/>
        <w:color w:val="000000"/>
        <w:sz w:val="16"/>
        <w:szCs w:val="16"/>
        <w:u w:val="none" w:color="000000"/>
        <w:bdr w:val="none"/>
        <w:shd w:val="clear"/>
        <w:vertAlign w:val="baseline"/>
      </w:rPr>
    </w:lvl>
  </w:abstractNum>
  <w:abstractNum w:abstractNumId="11">
    <w:multiLevelType w:val="hybridMultilevel"/>
    <w:lvl w:ilvl="0">
      <w:start w:val="1"/>
      <w:numFmt w:val="bullet"/>
      <w:lvlText w:val=""/>
      <w:pPr>
        <w:ind w:left="456"/>
      </w:pPr>
      <w:rPr>
        <w:rFonts w:cs="Wingdings" w:hAnsi="Wingdings" w:eastAsia="Wingdings" w:ascii="Wingdings"/>
        <w:b w:val="0"/>
        <w:i w:val="0"/>
        <w:strike w:val="0"/>
        <w:dstrike w:val="0"/>
        <w:color w:val="000000"/>
        <w:sz w:val="18"/>
        <w:szCs w:val="18"/>
        <w:u w:val="none" w:color="000000"/>
        <w:bdr w:val="none"/>
        <w:shd w:val="clear"/>
        <w:vertAlign w:val="baseline"/>
      </w:rPr>
    </w:lvl>
    <w:lvl w:ilvl="1">
      <w:start w:val="1"/>
      <w:numFmt w:val="bullet"/>
      <w:lvlText w:val="o"/>
      <w:pPr>
        <w:ind w:left="1349"/>
      </w:pPr>
      <w:rPr>
        <w:rFonts w:cs="Wingdings" w:hAnsi="Wingdings" w:eastAsia="Wingdings" w:ascii="Wingdings"/>
        <w:b w:val="0"/>
        <w:i w:val="0"/>
        <w:strike w:val="0"/>
        <w:dstrike w:val="0"/>
        <w:color w:val="000000"/>
        <w:sz w:val="18"/>
        <w:szCs w:val="18"/>
        <w:u w:val="none" w:color="000000"/>
        <w:bdr w:val="none"/>
        <w:shd w:val="clear"/>
        <w:vertAlign w:val="baseline"/>
      </w:rPr>
    </w:lvl>
    <w:lvl w:ilvl="2">
      <w:start w:val="1"/>
      <w:numFmt w:val="bullet"/>
      <w:lvlText w:val="▪"/>
      <w:pPr>
        <w:ind w:left="2069"/>
      </w:pPr>
      <w:rPr>
        <w:rFonts w:cs="Wingdings" w:hAnsi="Wingdings" w:eastAsia="Wingdings" w:ascii="Wingdings"/>
        <w:b w:val="0"/>
        <w:i w:val="0"/>
        <w:strike w:val="0"/>
        <w:dstrike w:val="0"/>
        <w:color w:val="000000"/>
        <w:sz w:val="18"/>
        <w:szCs w:val="18"/>
        <w:u w:val="none" w:color="000000"/>
        <w:bdr w:val="none"/>
        <w:shd w:val="clear"/>
        <w:vertAlign w:val="baseline"/>
      </w:rPr>
    </w:lvl>
    <w:lvl w:ilvl="3">
      <w:start w:val="1"/>
      <w:numFmt w:val="bullet"/>
      <w:lvlText w:val="•"/>
      <w:pPr>
        <w:ind w:left="2789"/>
      </w:pPr>
      <w:rPr>
        <w:rFonts w:cs="Wingdings" w:hAnsi="Wingdings" w:eastAsia="Wingdings" w:ascii="Wingdings"/>
        <w:b w:val="0"/>
        <w:i w:val="0"/>
        <w:strike w:val="0"/>
        <w:dstrike w:val="0"/>
        <w:color w:val="000000"/>
        <w:sz w:val="18"/>
        <w:szCs w:val="18"/>
        <w:u w:val="none" w:color="000000"/>
        <w:bdr w:val="none"/>
        <w:shd w:val="clear"/>
        <w:vertAlign w:val="baseline"/>
      </w:rPr>
    </w:lvl>
    <w:lvl w:ilvl="4">
      <w:start w:val="1"/>
      <w:numFmt w:val="bullet"/>
      <w:lvlText w:val="o"/>
      <w:pPr>
        <w:ind w:left="3509"/>
      </w:pPr>
      <w:rPr>
        <w:rFonts w:cs="Wingdings" w:hAnsi="Wingdings" w:eastAsia="Wingdings" w:ascii="Wingdings"/>
        <w:b w:val="0"/>
        <w:i w:val="0"/>
        <w:strike w:val="0"/>
        <w:dstrike w:val="0"/>
        <w:color w:val="000000"/>
        <w:sz w:val="18"/>
        <w:szCs w:val="18"/>
        <w:u w:val="none" w:color="000000"/>
        <w:bdr w:val="none"/>
        <w:shd w:val="clear"/>
        <w:vertAlign w:val="baseline"/>
      </w:rPr>
    </w:lvl>
    <w:lvl w:ilvl="5">
      <w:start w:val="1"/>
      <w:numFmt w:val="bullet"/>
      <w:lvlText w:val="▪"/>
      <w:pPr>
        <w:ind w:left="4229"/>
      </w:pPr>
      <w:rPr>
        <w:rFonts w:cs="Wingdings" w:hAnsi="Wingdings" w:eastAsia="Wingdings" w:ascii="Wingdings"/>
        <w:b w:val="0"/>
        <w:i w:val="0"/>
        <w:strike w:val="0"/>
        <w:dstrike w:val="0"/>
        <w:color w:val="000000"/>
        <w:sz w:val="18"/>
        <w:szCs w:val="18"/>
        <w:u w:val="none" w:color="000000"/>
        <w:bdr w:val="none"/>
        <w:shd w:val="clear"/>
        <w:vertAlign w:val="baseline"/>
      </w:rPr>
    </w:lvl>
    <w:lvl w:ilvl="6">
      <w:start w:val="1"/>
      <w:numFmt w:val="bullet"/>
      <w:lvlText w:val="•"/>
      <w:pPr>
        <w:ind w:left="4949"/>
      </w:pPr>
      <w:rPr>
        <w:rFonts w:cs="Wingdings" w:hAnsi="Wingdings" w:eastAsia="Wingdings" w:ascii="Wingdings"/>
        <w:b w:val="0"/>
        <w:i w:val="0"/>
        <w:strike w:val="0"/>
        <w:dstrike w:val="0"/>
        <w:color w:val="000000"/>
        <w:sz w:val="18"/>
        <w:szCs w:val="18"/>
        <w:u w:val="none" w:color="000000"/>
        <w:bdr w:val="none"/>
        <w:shd w:val="clear"/>
        <w:vertAlign w:val="baseline"/>
      </w:rPr>
    </w:lvl>
    <w:lvl w:ilvl="7">
      <w:start w:val="1"/>
      <w:numFmt w:val="bullet"/>
      <w:lvlText w:val="o"/>
      <w:pPr>
        <w:ind w:left="5669"/>
      </w:pPr>
      <w:rPr>
        <w:rFonts w:cs="Wingdings" w:hAnsi="Wingdings" w:eastAsia="Wingdings" w:ascii="Wingdings"/>
        <w:b w:val="0"/>
        <w:i w:val="0"/>
        <w:strike w:val="0"/>
        <w:dstrike w:val="0"/>
        <w:color w:val="000000"/>
        <w:sz w:val="18"/>
        <w:szCs w:val="18"/>
        <w:u w:val="none" w:color="000000"/>
        <w:bdr w:val="none"/>
        <w:shd w:val="clear"/>
        <w:vertAlign w:val="baseline"/>
      </w:rPr>
    </w:lvl>
    <w:lvl w:ilvl="8">
      <w:start w:val="1"/>
      <w:numFmt w:val="bullet"/>
      <w:lvlText w:val="▪"/>
      <w:pPr>
        <w:ind w:left="6389"/>
      </w:pPr>
      <w:rPr>
        <w:rFonts w:cs="Wingdings" w:hAnsi="Wingdings" w:eastAsia="Wingdings" w:ascii="Wingdings"/>
        <w:b w:val="0"/>
        <w:i w:val="0"/>
        <w:strike w:val="0"/>
        <w:dstrike w:val="0"/>
        <w:color w:val="000000"/>
        <w:sz w:val="18"/>
        <w:szCs w:val="18"/>
        <w:u w:val="none" w:color="000000"/>
        <w:bdr w:val="none"/>
        <w:shd w:val="clear"/>
        <w:vertAlign w:val="baseline"/>
      </w:rPr>
    </w:lvl>
  </w:abstractNum>
  <w:abstractNum w:abstractNumId="12">
    <w:multiLevelType w:val="hybridMultilevel"/>
    <w:lvl w:ilvl="0">
      <w:start w:val="1"/>
      <w:numFmt w:val="bullet"/>
      <w:lvlText w:val="•"/>
      <w:pPr>
        <w:ind w:left="115"/>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18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190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626"/>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34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06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4786"/>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50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226"/>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3">
    <w:multiLevelType w:val="hybridMultilevel"/>
    <w:lvl w:ilvl="0">
      <w:start w:val="1"/>
      <w:numFmt w:val="bullet"/>
      <w:lvlText w:val=""/>
      <w:pPr>
        <w:ind w:left="163"/>
      </w:pPr>
      <w:rPr>
        <w:rFonts w:cs="Wingdings" w:hAnsi="Wingdings" w:eastAsia="Wingdings" w:ascii="Wingdings"/>
        <w:b w:val="0"/>
        <w:i w:val="0"/>
        <w:strike w:val="0"/>
        <w:dstrike w:val="0"/>
        <w:color w:val="000000"/>
        <w:sz w:val="20"/>
        <w:szCs w:val="20"/>
        <w:u w:val="none" w:color="000000"/>
        <w:bdr w:val="none"/>
        <w:shd w:val="clear"/>
        <w:vertAlign w:val="baseline"/>
      </w:rPr>
    </w:lvl>
    <w:lvl w:ilvl="1">
      <w:start w:val="1"/>
      <w:numFmt w:val="bullet"/>
      <w:lvlText w:val="o"/>
      <w:pPr>
        <w:ind w:left="1258"/>
      </w:pPr>
      <w:rPr>
        <w:rFonts w:cs="Wingdings" w:hAnsi="Wingdings" w:eastAsia="Wingdings" w:ascii="Wingdings"/>
        <w:b w:val="0"/>
        <w:i w:val="0"/>
        <w:strike w:val="0"/>
        <w:dstrike w:val="0"/>
        <w:color w:val="000000"/>
        <w:sz w:val="20"/>
        <w:szCs w:val="20"/>
        <w:u w:val="none" w:color="000000"/>
        <w:bdr w:val="none"/>
        <w:shd w:val="clear"/>
        <w:vertAlign w:val="baseline"/>
      </w:rPr>
    </w:lvl>
    <w:lvl w:ilvl="2">
      <w:start w:val="1"/>
      <w:numFmt w:val="bullet"/>
      <w:lvlText w:val="▪"/>
      <w:pPr>
        <w:ind w:left="1978"/>
      </w:pPr>
      <w:rPr>
        <w:rFonts w:cs="Wingdings" w:hAnsi="Wingdings" w:eastAsia="Wingdings" w:ascii="Wingdings"/>
        <w:b w:val="0"/>
        <w:i w:val="0"/>
        <w:strike w:val="0"/>
        <w:dstrike w:val="0"/>
        <w:color w:val="000000"/>
        <w:sz w:val="20"/>
        <w:szCs w:val="20"/>
        <w:u w:val="none" w:color="000000"/>
        <w:bdr w:val="none"/>
        <w:shd w:val="clear"/>
        <w:vertAlign w:val="baseline"/>
      </w:rPr>
    </w:lvl>
    <w:lvl w:ilvl="3">
      <w:start w:val="1"/>
      <w:numFmt w:val="bullet"/>
      <w:lvlText w:val="•"/>
      <w:pPr>
        <w:ind w:left="2698"/>
      </w:pPr>
      <w:rPr>
        <w:rFonts w:cs="Wingdings" w:hAnsi="Wingdings" w:eastAsia="Wingdings" w:ascii="Wingdings"/>
        <w:b w:val="0"/>
        <w:i w:val="0"/>
        <w:strike w:val="0"/>
        <w:dstrike w:val="0"/>
        <w:color w:val="000000"/>
        <w:sz w:val="20"/>
        <w:szCs w:val="20"/>
        <w:u w:val="none" w:color="000000"/>
        <w:bdr w:val="none"/>
        <w:shd w:val="clear"/>
        <w:vertAlign w:val="baseline"/>
      </w:rPr>
    </w:lvl>
    <w:lvl w:ilvl="4">
      <w:start w:val="1"/>
      <w:numFmt w:val="bullet"/>
      <w:lvlText w:val="o"/>
      <w:pPr>
        <w:ind w:left="3418"/>
      </w:pPr>
      <w:rPr>
        <w:rFonts w:cs="Wingdings" w:hAnsi="Wingdings" w:eastAsia="Wingdings" w:ascii="Wingdings"/>
        <w:b w:val="0"/>
        <w:i w:val="0"/>
        <w:strike w:val="0"/>
        <w:dstrike w:val="0"/>
        <w:color w:val="000000"/>
        <w:sz w:val="20"/>
        <w:szCs w:val="20"/>
        <w:u w:val="none" w:color="000000"/>
        <w:bdr w:val="none"/>
        <w:shd w:val="clear"/>
        <w:vertAlign w:val="baseline"/>
      </w:rPr>
    </w:lvl>
    <w:lvl w:ilvl="5">
      <w:start w:val="1"/>
      <w:numFmt w:val="bullet"/>
      <w:lvlText w:val="▪"/>
      <w:pPr>
        <w:ind w:left="4138"/>
      </w:pPr>
      <w:rPr>
        <w:rFonts w:cs="Wingdings" w:hAnsi="Wingdings" w:eastAsia="Wingdings" w:ascii="Wingdings"/>
        <w:b w:val="0"/>
        <w:i w:val="0"/>
        <w:strike w:val="0"/>
        <w:dstrike w:val="0"/>
        <w:color w:val="000000"/>
        <w:sz w:val="20"/>
        <w:szCs w:val="20"/>
        <w:u w:val="none" w:color="000000"/>
        <w:bdr w:val="none"/>
        <w:shd w:val="clear"/>
        <w:vertAlign w:val="baseline"/>
      </w:rPr>
    </w:lvl>
    <w:lvl w:ilvl="6">
      <w:start w:val="1"/>
      <w:numFmt w:val="bullet"/>
      <w:lvlText w:val="•"/>
      <w:pPr>
        <w:ind w:left="4858"/>
      </w:pPr>
      <w:rPr>
        <w:rFonts w:cs="Wingdings" w:hAnsi="Wingdings" w:eastAsia="Wingdings" w:ascii="Wingdings"/>
        <w:b w:val="0"/>
        <w:i w:val="0"/>
        <w:strike w:val="0"/>
        <w:dstrike w:val="0"/>
        <w:color w:val="000000"/>
        <w:sz w:val="20"/>
        <w:szCs w:val="20"/>
        <w:u w:val="none" w:color="000000"/>
        <w:bdr w:val="none"/>
        <w:shd w:val="clear"/>
        <w:vertAlign w:val="baseline"/>
      </w:rPr>
    </w:lvl>
    <w:lvl w:ilvl="7">
      <w:start w:val="1"/>
      <w:numFmt w:val="bullet"/>
      <w:lvlText w:val="o"/>
      <w:pPr>
        <w:ind w:left="5578"/>
      </w:pPr>
      <w:rPr>
        <w:rFonts w:cs="Wingdings" w:hAnsi="Wingdings" w:eastAsia="Wingdings" w:ascii="Wingdings"/>
        <w:b w:val="0"/>
        <w:i w:val="0"/>
        <w:strike w:val="0"/>
        <w:dstrike w:val="0"/>
        <w:color w:val="000000"/>
        <w:sz w:val="20"/>
        <w:szCs w:val="20"/>
        <w:u w:val="none" w:color="000000"/>
        <w:bdr w:val="none"/>
        <w:shd w:val="clear"/>
        <w:vertAlign w:val="baseline"/>
      </w:rPr>
    </w:lvl>
    <w:lvl w:ilvl="8">
      <w:start w:val="1"/>
      <w:numFmt w:val="bullet"/>
      <w:lvlText w:val="▪"/>
      <w:pPr>
        <w:ind w:left="6298"/>
      </w:pPr>
      <w:rPr>
        <w:rFonts w:cs="Wingdings" w:hAnsi="Wingdings" w:eastAsia="Wingdings" w:ascii="Wingdings"/>
        <w:b w:val="0"/>
        <w:i w:val="0"/>
        <w:strike w:val="0"/>
        <w:dstrike w:val="0"/>
        <w:color w:val="000000"/>
        <w:sz w:val="20"/>
        <w:szCs w:val="20"/>
        <w:u w:val="none" w:color="000000"/>
        <w:bdr w:val="none"/>
        <w:shd w:val="clear"/>
        <w:vertAlign w:val="baseline"/>
      </w:rPr>
    </w:lvl>
  </w:abstractNum>
  <w:abstractNum w:abstractNumId="14">
    <w:multiLevelType w:val="hybridMultilevel"/>
    <w:lvl w:ilvl="0">
      <w:start w:val="1"/>
      <w:numFmt w:val="bullet"/>
      <w:lvlText w:val="•"/>
      <w:pPr>
        <w:ind w:left="202"/>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22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2">
      <w:start w:val="1"/>
      <w:numFmt w:val="bullet"/>
      <w:lvlText w:val="▪"/>
      <w:pPr>
        <w:ind w:left="194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3">
      <w:start w:val="1"/>
      <w:numFmt w:val="bullet"/>
      <w:lvlText w:val="•"/>
      <w:pPr>
        <w:ind w:left="2664"/>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38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5">
      <w:start w:val="1"/>
      <w:numFmt w:val="bullet"/>
      <w:lvlText w:val="▪"/>
      <w:pPr>
        <w:ind w:left="410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6">
      <w:start w:val="1"/>
      <w:numFmt w:val="bullet"/>
      <w:lvlText w:val="•"/>
      <w:pPr>
        <w:ind w:left="4824"/>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54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lvl w:ilvl="8">
      <w:start w:val="1"/>
      <w:numFmt w:val="bullet"/>
      <w:lvlText w:val="▪"/>
      <w:pPr>
        <w:ind w:left="6264"/>
      </w:pPr>
      <w:rPr>
        <w:rFonts w:cs="Segoe UI Symbol" w:hAnsi="Segoe UI Symbol" w:eastAsia="Segoe UI Symbol" w:ascii="Segoe UI Symbol"/>
        <w:b w:val="0"/>
        <w:i w:val="0"/>
        <w:strike w:val="0"/>
        <w:dstrike w:val="0"/>
        <w:color w:val="000000"/>
        <w:sz w:val="18"/>
        <w:szCs w:val="18"/>
        <w:u w:val="none" w:color="000000"/>
        <w:bdr w:val="none"/>
        <w:shd w:val="clear"/>
        <w:vertAlign w:val="baseline"/>
      </w:rPr>
    </w:lvl>
  </w:abstractNum>
  <w:abstractNum w:abstractNumId="15">
    <w:multiLevelType w:val="hybridMultilevel"/>
    <w:lvl w:ilvl="0">
      <w:start w:val="1"/>
      <w:numFmt w:val="bullet"/>
      <w:lvlText w:val="•"/>
      <w:pPr>
        <w:ind w:left="139"/>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6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2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4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0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16">
    <w:multiLevelType w:val="hybridMultilevel"/>
    <w:lvl w:ilvl="0">
      <w:start w:val="2"/>
      <w:numFmt w:val="decimal"/>
      <w:lvlText w:val="%1."/>
      <w:pPr>
        <w:ind w:left="24"/>
      </w:pPr>
      <w:rPr>
        <w:rFonts w:cs="Cambria" w:hAnsi="Cambria" w:eastAsia="Cambria" w:ascii="Cambria"/>
        <w:b w:val="0"/>
        <w:i w:val="0"/>
        <w:strike w:val="0"/>
        <w:dstrike w:val="0"/>
        <w:color w:val="000000"/>
        <w:sz w:val="20"/>
        <w:szCs w:val="20"/>
        <w:u w:val="none" w:color="000000"/>
        <w:bdr w:val="none"/>
        <w:shd w:val="clear"/>
        <w:vertAlign w:val="baseline"/>
      </w:rPr>
    </w:lvl>
    <w:lvl w:ilvl="1">
      <w:start w:val="1"/>
      <w:numFmt w:val="lowerLetter"/>
      <w:lvlText w:val="%2"/>
      <w:pPr>
        <w:ind w:left="1186"/>
      </w:pPr>
      <w:rPr>
        <w:rFonts w:cs="Cambria" w:hAnsi="Cambria" w:eastAsia="Cambria" w:ascii="Cambria"/>
        <w:b w:val="0"/>
        <w:i w:val="0"/>
        <w:strike w:val="0"/>
        <w:dstrike w:val="0"/>
        <w:color w:val="000000"/>
        <w:sz w:val="20"/>
        <w:szCs w:val="20"/>
        <w:u w:val="none" w:color="000000"/>
        <w:bdr w:val="none"/>
        <w:shd w:val="clear"/>
        <w:vertAlign w:val="baseline"/>
      </w:rPr>
    </w:lvl>
    <w:lvl w:ilvl="2">
      <w:start w:val="1"/>
      <w:numFmt w:val="lowerRoman"/>
      <w:lvlText w:val="%3"/>
      <w:pPr>
        <w:ind w:left="1906"/>
      </w:pPr>
      <w:rPr>
        <w:rFonts w:cs="Cambria" w:hAnsi="Cambria" w:eastAsia="Cambria" w:ascii="Cambria"/>
        <w:b w:val="0"/>
        <w:i w:val="0"/>
        <w:strike w:val="0"/>
        <w:dstrike w:val="0"/>
        <w:color w:val="000000"/>
        <w:sz w:val="20"/>
        <w:szCs w:val="20"/>
        <w:u w:val="none" w:color="000000"/>
        <w:bdr w:val="none"/>
        <w:shd w:val="clear"/>
        <w:vertAlign w:val="baseline"/>
      </w:rPr>
    </w:lvl>
    <w:lvl w:ilvl="3">
      <w:start w:val="1"/>
      <w:numFmt w:val="decimal"/>
      <w:lvlText w:val="%4"/>
      <w:pPr>
        <w:ind w:left="2626"/>
      </w:pPr>
      <w:rPr>
        <w:rFonts w:cs="Cambria" w:hAnsi="Cambria" w:eastAsia="Cambria" w:ascii="Cambria"/>
        <w:b w:val="0"/>
        <w:i w:val="0"/>
        <w:strike w:val="0"/>
        <w:dstrike w:val="0"/>
        <w:color w:val="000000"/>
        <w:sz w:val="20"/>
        <w:szCs w:val="20"/>
        <w:u w:val="none" w:color="000000"/>
        <w:bdr w:val="none"/>
        <w:shd w:val="clear"/>
        <w:vertAlign w:val="baseline"/>
      </w:rPr>
    </w:lvl>
    <w:lvl w:ilvl="4">
      <w:start w:val="1"/>
      <w:numFmt w:val="lowerLetter"/>
      <w:lvlText w:val="%5"/>
      <w:pPr>
        <w:ind w:left="3346"/>
      </w:pPr>
      <w:rPr>
        <w:rFonts w:cs="Cambria" w:hAnsi="Cambria" w:eastAsia="Cambria" w:ascii="Cambria"/>
        <w:b w:val="0"/>
        <w:i w:val="0"/>
        <w:strike w:val="0"/>
        <w:dstrike w:val="0"/>
        <w:color w:val="000000"/>
        <w:sz w:val="20"/>
        <w:szCs w:val="20"/>
        <w:u w:val="none" w:color="000000"/>
        <w:bdr w:val="none"/>
        <w:shd w:val="clear"/>
        <w:vertAlign w:val="baseline"/>
      </w:rPr>
    </w:lvl>
    <w:lvl w:ilvl="5">
      <w:start w:val="1"/>
      <w:numFmt w:val="lowerRoman"/>
      <w:lvlText w:val="%6"/>
      <w:pPr>
        <w:ind w:left="4066"/>
      </w:pPr>
      <w:rPr>
        <w:rFonts w:cs="Cambria" w:hAnsi="Cambria" w:eastAsia="Cambria" w:ascii="Cambria"/>
        <w:b w:val="0"/>
        <w:i w:val="0"/>
        <w:strike w:val="0"/>
        <w:dstrike w:val="0"/>
        <w:color w:val="000000"/>
        <w:sz w:val="20"/>
        <w:szCs w:val="20"/>
        <w:u w:val="none" w:color="000000"/>
        <w:bdr w:val="none"/>
        <w:shd w:val="clear"/>
        <w:vertAlign w:val="baseline"/>
      </w:rPr>
    </w:lvl>
    <w:lvl w:ilvl="6">
      <w:start w:val="1"/>
      <w:numFmt w:val="decimal"/>
      <w:lvlText w:val="%7"/>
      <w:pPr>
        <w:ind w:left="4786"/>
      </w:pPr>
      <w:rPr>
        <w:rFonts w:cs="Cambria" w:hAnsi="Cambria" w:eastAsia="Cambria" w:ascii="Cambria"/>
        <w:b w:val="0"/>
        <w:i w:val="0"/>
        <w:strike w:val="0"/>
        <w:dstrike w:val="0"/>
        <w:color w:val="000000"/>
        <w:sz w:val="20"/>
        <w:szCs w:val="20"/>
        <w:u w:val="none" w:color="000000"/>
        <w:bdr w:val="none"/>
        <w:shd w:val="clear"/>
        <w:vertAlign w:val="baseline"/>
      </w:rPr>
    </w:lvl>
    <w:lvl w:ilvl="7">
      <w:start w:val="1"/>
      <w:numFmt w:val="lowerLetter"/>
      <w:lvlText w:val="%8"/>
      <w:pPr>
        <w:ind w:left="5506"/>
      </w:pPr>
      <w:rPr>
        <w:rFonts w:cs="Cambria" w:hAnsi="Cambria" w:eastAsia="Cambria" w:ascii="Cambria"/>
        <w:b w:val="0"/>
        <w:i w:val="0"/>
        <w:strike w:val="0"/>
        <w:dstrike w:val="0"/>
        <w:color w:val="000000"/>
        <w:sz w:val="20"/>
        <w:szCs w:val="20"/>
        <w:u w:val="none" w:color="000000"/>
        <w:bdr w:val="none"/>
        <w:shd w:val="clear"/>
        <w:vertAlign w:val="baseline"/>
      </w:rPr>
    </w:lvl>
    <w:lvl w:ilvl="8">
      <w:start w:val="1"/>
      <w:numFmt w:val="lowerRoman"/>
      <w:lvlText w:val="%9"/>
      <w:pPr>
        <w:ind w:left="6226"/>
      </w:pPr>
      <w:rPr>
        <w:rFonts w:cs="Cambria" w:hAnsi="Cambria" w:eastAsia="Cambria" w:ascii="Cambria"/>
        <w:b w:val="0"/>
        <w:i w:val="0"/>
        <w:strike w:val="0"/>
        <w:dstrike w:val="0"/>
        <w:color w:val="000000"/>
        <w:sz w:val="20"/>
        <w:szCs w:val="20"/>
        <w:u w:val="none" w:color="000000"/>
        <w:bdr w:val="none"/>
        <w:shd w:val="clear"/>
        <w:vertAlign w:val="baseline"/>
      </w:rPr>
    </w:lvl>
  </w:abstractNum>
  <w:abstractNum w:abstractNumId="17">
    <w:multiLevelType w:val="hybridMultilevel"/>
    <w:lvl w:ilvl="0">
      <w:start w:val="2"/>
      <w:numFmt w:val="decimal"/>
      <w:lvlText w:val="%1."/>
      <w:pPr>
        <w:ind w:left="24"/>
      </w:pPr>
      <w:rPr>
        <w:rFonts w:cs="Cambria" w:hAnsi="Cambria" w:eastAsia="Cambria" w:ascii="Cambria"/>
        <w:b w:val="0"/>
        <w:i w:val="0"/>
        <w:strike w:val="0"/>
        <w:dstrike w:val="0"/>
        <w:color w:val="000000"/>
        <w:sz w:val="20"/>
        <w:szCs w:val="20"/>
        <w:u w:val="none" w:color="000000"/>
        <w:bdr w:val="none"/>
        <w:shd w:val="clear"/>
        <w:vertAlign w:val="baseline"/>
      </w:rPr>
    </w:lvl>
    <w:lvl w:ilvl="1">
      <w:start w:val="1"/>
      <w:numFmt w:val="lowerLetter"/>
      <w:lvlText w:val="%2"/>
      <w:pPr>
        <w:ind w:left="1186"/>
      </w:pPr>
      <w:rPr>
        <w:rFonts w:cs="Cambria" w:hAnsi="Cambria" w:eastAsia="Cambria" w:ascii="Cambria"/>
        <w:b w:val="0"/>
        <w:i w:val="0"/>
        <w:strike w:val="0"/>
        <w:dstrike w:val="0"/>
        <w:color w:val="000000"/>
        <w:sz w:val="20"/>
        <w:szCs w:val="20"/>
        <w:u w:val="none" w:color="000000"/>
        <w:bdr w:val="none"/>
        <w:shd w:val="clear"/>
        <w:vertAlign w:val="baseline"/>
      </w:rPr>
    </w:lvl>
    <w:lvl w:ilvl="2">
      <w:start w:val="1"/>
      <w:numFmt w:val="lowerRoman"/>
      <w:lvlText w:val="%3"/>
      <w:pPr>
        <w:ind w:left="1906"/>
      </w:pPr>
      <w:rPr>
        <w:rFonts w:cs="Cambria" w:hAnsi="Cambria" w:eastAsia="Cambria" w:ascii="Cambria"/>
        <w:b w:val="0"/>
        <w:i w:val="0"/>
        <w:strike w:val="0"/>
        <w:dstrike w:val="0"/>
        <w:color w:val="000000"/>
        <w:sz w:val="20"/>
        <w:szCs w:val="20"/>
        <w:u w:val="none" w:color="000000"/>
        <w:bdr w:val="none"/>
        <w:shd w:val="clear"/>
        <w:vertAlign w:val="baseline"/>
      </w:rPr>
    </w:lvl>
    <w:lvl w:ilvl="3">
      <w:start w:val="1"/>
      <w:numFmt w:val="decimal"/>
      <w:lvlText w:val="%4"/>
      <w:pPr>
        <w:ind w:left="2626"/>
      </w:pPr>
      <w:rPr>
        <w:rFonts w:cs="Cambria" w:hAnsi="Cambria" w:eastAsia="Cambria" w:ascii="Cambria"/>
        <w:b w:val="0"/>
        <w:i w:val="0"/>
        <w:strike w:val="0"/>
        <w:dstrike w:val="0"/>
        <w:color w:val="000000"/>
        <w:sz w:val="20"/>
        <w:szCs w:val="20"/>
        <w:u w:val="none" w:color="000000"/>
        <w:bdr w:val="none"/>
        <w:shd w:val="clear"/>
        <w:vertAlign w:val="baseline"/>
      </w:rPr>
    </w:lvl>
    <w:lvl w:ilvl="4">
      <w:start w:val="1"/>
      <w:numFmt w:val="lowerLetter"/>
      <w:lvlText w:val="%5"/>
      <w:pPr>
        <w:ind w:left="3346"/>
      </w:pPr>
      <w:rPr>
        <w:rFonts w:cs="Cambria" w:hAnsi="Cambria" w:eastAsia="Cambria" w:ascii="Cambria"/>
        <w:b w:val="0"/>
        <w:i w:val="0"/>
        <w:strike w:val="0"/>
        <w:dstrike w:val="0"/>
        <w:color w:val="000000"/>
        <w:sz w:val="20"/>
        <w:szCs w:val="20"/>
        <w:u w:val="none" w:color="000000"/>
        <w:bdr w:val="none"/>
        <w:shd w:val="clear"/>
        <w:vertAlign w:val="baseline"/>
      </w:rPr>
    </w:lvl>
    <w:lvl w:ilvl="5">
      <w:start w:val="1"/>
      <w:numFmt w:val="lowerRoman"/>
      <w:lvlText w:val="%6"/>
      <w:pPr>
        <w:ind w:left="4066"/>
      </w:pPr>
      <w:rPr>
        <w:rFonts w:cs="Cambria" w:hAnsi="Cambria" w:eastAsia="Cambria" w:ascii="Cambria"/>
        <w:b w:val="0"/>
        <w:i w:val="0"/>
        <w:strike w:val="0"/>
        <w:dstrike w:val="0"/>
        <w:color w:val="000000"/>
        <w:sz w:val="20"/>
        <w:szCs w:val="20"/>
        <w:u w:val="none" w:color="000000"/>
        <w:bdr w:val="none"/>
        <w:shd w:val="clear"/>
        <w:vertAlign w:val="baseline"/>
      </w:rPr>
    </w:lvl>
    <w:lvl w:ilvl="6">
      <w:start w:val="1"/>
      <w:numFmt w:val="decimal"/>
      <w:lvlText w:val="%7"/>
      <w:pPr>
        <w:ind w:left="4786"/>
      </w:pPr>
      <w:rPr>
        <w:rFonts w:cs="Cambria" w:hAnsi="Cambria" w:eastAsia="Cambria" w:ascii="Cambria"/>
        <w:b w:val="0"/>
        <w:i w:val="0"/>
        <w:strike w:val="0"/>
        <w:dstrike w:val="0"/>
        <w:color w:val="000000"/>
        <w:sz w:val="20"/>
        <w:szCs w:val="20"/>
        <w:u w:val="none" w:color="000000"/>
        <w:bdr w:val="none"/>
        <w:shd w:val="clear"/>
        <w:vertAlign w:val="baseline"/>
      </w:rPr>
    </w:lvl>
    <w:lvl w:ilvl="7">
      <w:start w:val="1"/>
      <w:numFmt w:val="lowerLetter"/>
      <w:lvlText w:val="%8"/>
      <w:pPr>
        <w:ind w:left="5506"/>
      </w:pPr>
      <w:rPr>
        <w:rFonts w:cs="Cambria" w:hAnsi="Cambria" w:eastAsia="Cambria" w:ascii="Cambria"/>
        <w:b w:val="0"/>
        <w:i w:val="0"/>
        <w:strike w:val="0"/>
        <w:dstrike w:val="0"/>
        <w:color w:val="000000"/>
        <w:sz w:val="20"/>
        <w:szCs w:val="20"/>
        <w:u w:val="none" w:color="000000"/>
        <w:bdr w:val="none"/>
        <w:shd w:val="clear"/>
        <w:vertAlign w:val="baseline"/>
      </w:rPr>
    </w:lvl>
    <w:lvl w:ilvl="8">
      <w:start w:val="1"/>
      <w:numFmt w:val="lowerRoman"/>
      <w:lvlText w:val="%9"/>
      <w:pPr>
        <w:ind w:left="6226"/>
      </w:pPr>
      <w:rPr>
        <w:rFonts w:cs="Cambria" w:hAnsi="Cambria" w:eastAsia="Cambria" w:ascii="Cambria"/>
        <w:b w:val="0"/>
        <w:i w:val="0"/>
        <w:strike w:val="0"/>
        <w:dstrike w:val="0"/>
        <w:color w:val="000000"/>
        <w:sz w:val="20"/>
        <w:szCs w:val="20"/>
        <w:u w:val="none" w:color="000000"/>
        <w:bdr w:val="none"/>
        <w:shd w:val="clear"/>
        <w:vertAlign w:val="baseline"/>
      </w:rPr>
    </w:lvl>
  </w:abstractNum>
  <w:abstractNum w:abstractNumId="18">
    <w:multiLevelType w:val="hybridMultilevel"/>
    <w:lvl w:ilvl="0">
      <w:start w:val="2"/>
      <w:numFmt w:val="decimal"/>
      <w:lvlText w:val="%1."/>
      <w:pPr>
        <w:ind w:left="0"/>
      </w:pPr>
      <w:rPr>
        <w:rFonts w:cs="Cambria" w:hAnsi="Cambria" w:eastAsia="Cambria" w:ascii="Cambria"/>
        <w:b w:val="0"/>
        <w:i w:val="0"/>
        <w:strike w:val="0"/>
        <w:dstrike w:val="0"/>
        <w:color w:val="000000"/>
        <w:sz w:val="20"/>
        <w:szCs w:val="20"/>
        <w:u w:val="none" w:color="000000"/>
        <w:bdr w:val="none"/>
        <w:shd w:val="clear"/>
        <w:vertAlign w:val="baseline"/>
      </w:rPr>
    </w:lvl>
    <w:lvl w:ilvl="1">
      <w:start w:val="1"/>
      <w:numFmt w:val="lowerLetter"/>
      <w:lvlText w:val="%2"/>
      <w:pPr>
        <w:ind w:left="1186"/>
      </w:pPr>
      <w:rPr>
        <w:rFonts w:cs="Cambria" w:hAnsi="Cambria" w:eastAsia="Cambria" w:ascii="Cambria"/>
        <w:b w:val="0"/>
        <w:i w:val="0"/>
        <w:strike w:val="0"/>
        <w:dstrike w:val="0"/>
        <w:color w:val="000000"/>
        <w:sz w:val="20"/>
        <w:szCs w:val="20"/>
        <w:u w:val="none" w:color="000000"/>
        <w:bdr w:val="none"/>
        <w:shd w:val="clear"/>
        <w:vertAlign w:val="baseline"/>
      </w:rPr>
    </w:lvl>
    <w:lvl w:ilvl="2">
      <w:start w:val="1"/>
      <w:numFmt w:val="lowerRoman"/>
      <w:lvlText w:val="%3"/>
      <w:pPr>
        <w:ind w:left="1906"/>
      </w:pPr>
      <w:rPr>
        <w:rFonts w:cs="Cambria" w:hAnsi="Cambria" w:eastAsia="Cambria" w:ascii="Cambria"/>
        <w:b w:val="0"/>
        <w:i w:val="0"/>
        <w:strike w:val="0"/>
        <w:dstrike w:val="0"/>
        <w:color w:val="000000"/>
        <w:sz w:val="20"/>
        <w:szCs w:val="20"/>
        <w:u w:val="none" w:color="000000"/>
        <w:bdr w:val="none"/>
        <w:shd w:val="clear"/>
        <w:vertAlign w:val="baseline"/>
      </w:rPr>
    </w:lvl>
    <w:lvl w:ilvl="3">
      <w:start w:val="1"/>
      <w:numFmt w:val="decimal"/>
      <w:lvlText w:val="%4"/>
      <w:pPr>
        <w:ind w:left="2626"/>
      </w:pPr>
      <w:rPr>
        <w:rFonts w:cs="Cambria" w:hAnsi="Cambria" w:eastAsia="Cambria" w:ascii="Cambria"/>
        <w:b w:val="0"/>
        <w:i w:val="0"/>
        <w:strike w:val="0"/>
        <w:dstrike w:val="0"/>
        <w:color w:val="000000"/>
        <w:sz w:val="20"/>
        <w:szCs w:val="20"/>
        <w:u w:val="none" w:color="000000"/>
        <w:bdr w:val="none"/>
        <w:shd w:val="clear"/>
        <w:vertAlign w:val="baseline"/>
      </w:rPr>
    </w:lvl>
    <w:lvl w:ilvl="4">
      <w:start w:val="1"/>
      <w:numFmt w:val="lowerLetter"/>
      <w:lvlText w:val="%5"/>
      <w:pPr>
        <w:ind w:left="3346"/>
      </w:pPr>
      <w:rPr>
        <w:rFonts w:cs="Cambria" w:hAnsi="Cambria" w:eastAsia="Cambria" w:ascii="Cambria"/>
        <w:b w:val="0"/>
        <w:i w:val="0"/>
        <w:strike w:val="0"/>
        <w:dstrike w:val="0"/>
        <w:color w:val="000000"/>
        <w:sz w:val="20"/>
        <w:szCs w:val="20"/>
        <w:u w:val="none" w:color="000000"/>
        <w:bdr w:val="none"/>
        <w:shd w:val="clear"/>
        <w:vertAlign w:val="baseline"/>
      </w:rPr>
    </w:lvl>
    <w:lvl w:ilvl="5">
      <w:start w:val="1"/>
      <w:numFmt w:val="lowerRoman"/>
      <w:lvlText w:val="%6"/>
      <w:pPr>
        <w:ind w:left="4066"/>
      </w:pPr>
      <w:rPr>
        <w:rFonts w:cs="Cambria" w:hAnsi="Cambria" w:eastAsia="Cambria" w:ascii="Cambria"/>
        <w:b w:val="0"/>
        <w:i w:val="0"/>
        <w:strike w:val="0"/>
        <w:dstrike w:val="0"/>
        <w:color w:val="000000"/>
        <w:sz w:val="20"/>
        <w:szCs w:val="20"/>
        <w:u w:val="none" w:color="000000"/>
        <w:bdr w:val="none"/>
        <w:shd w:val="clear"/>
        <w:vertAlign w:val="baseline"/>
      </w:rPr>
    </w:lvl>
    <w:lvl w:ilvl="6">
      <w:start w:val="1"/>
      <w:numFmt w:val="decimal"/>
      <w:lvlText w:val="%7"/>
      <w:pPr>
        <w:ind w:left="4786"/>
      </w:pPr>
      <w:rPr>
        <w:rFonts w:cs="Cambria" w:hAnsi="Cambria" w:eastAsia="Cambria" w:ascii="Cambria"/>
        <w:b w:val="0"/>
        <w:i w:val="0"/>
        <w:strike w:val="0"/>
        <w:dstrike w:val="0"/>
        <w:color w:val="000000"/>
        <w:sz w:val="20"/>
        <w:szCs w:val="20"/>
        <w:u w:val="none" w:color="000000"/>
        <w:bdr w:val="none"/>
        <w:shd w:val="clear"/>
        <w:vertAlign w:val="baseline"/>
      </w:rPr>
    </w:lvl>
    <w:lvl w:ilvl="7">
      <w:start w:val="1"/>
      <w:numFmt w:val="lowerLetter"/>
      <w:lvlText w:val="%8"/>
      <w:pPr>
        <w:ind w:left="5506"/>
      </w:pPr>
      <w:rPr>
        <w:rFonts w:cs="Cambria" w:hAnsi="Cambria" w:eastAsia="Cambria" w:ascii="Cambria"/>
        <w:b w:val="0"/>
        <w:i w:val="0"/>
        <w:strike w:val="0"/>
        <w:dstrike w:val="0"/>
        <w:color w:val="000000"/>
        <w:sz w:val="20"/>
        <w:szCs w:val="20"/>
        <w:u w:val="none" w:color="000000"/>
        <w:bdr w:val="none"/>
        <w:shd w:val="clear"/>
        <w:vertAlign w:val="baseline"/>
      </w:rPr>
    </w:lvl>
    <w:lvl w:ilvl="8">
      <w:start w:val="1"/>
      <w:numFmt w:val="lowerRoman"/>
      <w:lvlText w:val="%9"/>
      <w:pPr>
        <w:ind w:left="6226"/>
      </w:pPr>
      <w:rPr>
        <w:rFonts w:cs="Cambria" w:hAnsi="Cambria" w:eastAsia="Cambria" w:ascii="Cambria"/>
        <w:b w:val="0"/>
        <w:i w:val="0"/>
        <w:strike w:val="0"/>
        <w:dstrike w:val="0"/>
        <w:color w:val="000000"/>
        <w:sz w:val="20"/>
        <w:szCs w:val="20"/>
        <w:u w:val="none" w:color="000000"/>
        <w:bdr w:val="none"/>
        <w:shd w:val="clear"/>
        <w:vertAlign w:val="baseline"/>
      </w:rPr>
    </w:lvl>
  </w:abstractNum>
  <w:abstractNum w:abstractNumId="19">
    <w:multiLevelType w:val="hybridMultilevel"/>
    <w:lvl w:ilvl="0">
      <w:start w:val="1"/>
      <w:numFmt w:val="bullet"/>
      <w:lvlText w:val="•"/>
      <w:pPr>
        <w:ind w:left="115"/>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8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0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26"/>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4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6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86"/>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0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2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0">
    <w:multiLevelType w:val="hybridMultilevel"/>
    <w:lvl w:ilvl="0">
      <w:start w:val="1"/>
      <w:numFmt w:val="bullet"/>
      <w:lvlText w:val="•"/>
      <w:pPr>
        <w:ind w:left="202"/>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9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91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30"/>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5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7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90"/>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51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30"/>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1">
    <w:multiLevelType w:val="hybridMultilevel"/>
    <w:lvl w:ilvl="0">
      <w:start w:val="1"/>
      <w:numFmt w:val="bullet"/>
      <w:lvlText w:val="•"/>
      <w:pPr>
        <w:ind w:left="139"/>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6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2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4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0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2">
    <w:multiLevelType w:val="hybridMultilevel"/>
    <w:lvl w:ilvl="0">
      <w:start w:val="4"/>
      <w:numFmt w:val="decimal"/>
      <w:lvlText w:val="%1."/>
      <w:pPr>
        <w:ind w:left="24"/>
      </w:pPr>
      <w:rPr>
        <w:rFonts w:cs="Cambria" w:hAnsi="Cambria" w:eastAsia="Cambria" w:ascii="Cambria"/>
        <w:b w:val="0"/>
        <w:i w:val="0"/>
        <w:strike w:val="0"/>
        <w:dstrike w:val="0"/>
        <w:color w:val="000000"/>
        <w:sz w:val="20"/>
        <w:szCs w:val="20"/>
        <w:u w:val="none" w:color="000000"/>
        <w:bdr w:val="none"/>
        <w:shd w:val="clear"/>
        <w:vertAlign w:val="baseline"/>
      </w:rPr>
    </w:lvl>
    <w:lvl w:ilvl="1">
      <w:start w:val="1"/>
      <w:numFmt w:val="lowerLetter"/>
      <w:lvlText w:val="%2"/>
      <w:pPr>
        <w:ind w:left="1186"/>
      </w:pPr>
      <w:rPr>
        <w:rFonts w:cs="Cambria" w:hAnsi="Cambria" w:eastAsia="Cambria" w:ascii="Cambria"/>
        <w:b w:val="0"/>
        <w:i w:val="0"/>
        <w:strike w:val="0"/>
        <w:dstrike w:val="0"/>
        <w:color w:val="000000"/>
        <w:sz w:val="20"/>
        <w:szCs w:val="20"/>
        <w:u w:val="none" w:color="000000"/>
        <w:bdr w:val="none"/>
        <w:shd w:val="clear"/>
        <w:vertAlign w:val="baseline"/>
      </w:rPr>
    </w:lvl>
    <w:lvl w:ilvl="2">
      <w:start w:val="1"/>
      <w:numFmt w:val="lowerRoman"/>
      <w:lvlText w:val="%3"/>
      <w:pPr>
        <w:ind w:left="1906"/>
      </w:pPr>
      <w:rPr>
        <w:rFonts w:cs="Cambria" w:hAnsi="Cambria" w:eastAsia="Cambria" w:ascii="Cambria"/>
        <w:b w:val="0"/>
        <w:i w:val="0"/>
        <w:strike w:val="0"/>
        <w:dstrike w:val="0"/>
        <w:color w:val="000000"/>
        <w:sz w:val="20"/>
        <w:szCs w:val="20"/>
        <w:u w:val="none" w:color="000000"/>
        <w:bdr w:val="none"/>
        <w:shd w:val="clear"/>
        <w:vertAlign w:val="baseline"/>
      </w:rPr>
    </w:lvl>
    <w:lvl w:ilvl="3">
      <w:start w:val="1"/>
      <w:numFmt w:val="decimal"/>
      <w:lvlText w:val="%4"/>
      <w:pPr>
        <w:ind w:left="2626"/>
      </w:pPr>
      <w:rPr>
        <w:rFonts w:cs="Cambria" w:hAnsi="Cambria" w:eastAsia="Cambria" w:ascii="Cambria"/>
        <w:b w:val="0"/>
        <w:i w:val="0"/>
        <w:strike w:val="0"/>
        <w:dstrike w:val="0"/>
        <w:color w:val="000000"/>
        <w:sz w:val="20"/>
        <w:szCs w:val="20"/>
        <w:u w:val="none" w:color="000000"/>
        <w:bdr w:val="none"/>
        <w:shd w:val="clear"/>
        <w:vertAlign w:val="baseline"/>
      </w:rPr>
    </w:lvl>
    <w:lvl w:ilvl="4">
      <w:start w:val="1"/>
      <w:numFmt w:val="lowerLetter"/>
      <w:lvlText w:val="%5"/>
      <w:pPr>
        <w:ind w:left="3346"/>
      </w:pPr>
      <w:rPr>
        <w:rFonts w:cs="Cambria" w:hAnsi="Cambria" w:eastAsia="Cambria" w:ascii="Cambria"/>
        <w:b w:val="0"/>
        <w:i w:val="0"/>
        <w:strike w:val="0"/>
        <w:dstrike w:val="0"/>
        <w:color w:val="000000"/>
        <w:sz w:val="20"/>
        <w:szCs w:val="20"/>
        <w:u w:val="none" w:color="000000"/>
        <w:bdr w:val="none"/>
        <w:shd w:val="clear"/>
        <w:vertAlign w:val="baseline"/>
      </w:rPr>
    </w:lvl>
    <w:lvl w:ilvl="5">
      <w:start w:val="1"/>
      <w:numFmt w:val="lowerRoman"/>
      <w:lvlText w:val="%6"/>
      <w:pPr>
        <w:ind w:left="4066"/>
      </w:pPr>
      <w:rPr>
        <w:rFonts w:cs="Cambria" w:hAnsi="Cambria" w:eastAsia="Cambria" w:ascii="Cambria"/>
        <w:b w:val="0"/>
        <w:i w:val="0"/>
        <w:strike w:val="0"/>
        <w:dstrike w:val="0"/>
        <w:color w:val="000000"/>
        <w:sz w:val="20"/>
        <w:szCs w:val="20"/>
        <w:u w:val="none" w:color="000000"/>
        <w:bdr w:val="none"/>
        <w:shd w:val="clear"/>
        <w:vertAlign w:val="baseline"/>
      </w:rPr>
    </w:lvl>
    <w:lvl w:ilvl="6">
      <w:start w:val="1"/>
      <w:numFmt w:val="decimal"/>
      <w:lvlText w:val="%7"/>
      <w:pPr>
        <w:ind w:left="4786"/>
      </w:pPr>
      <w:rPr>
        <w:rFonts w:cs="Cambria" w:hAnsi="Cambria" w:eastAsia="Cambria" w:ascii="Cambria"/>
        <w:b w:val="0"/>
        <w:i w:val="0"/>
        <w:strike w:val="0"/>
        <w:dstrike w:val="0"/>
        <w:color w:val="000000"/>
        <w:sz w:val="20"/>
        <w:szCs w:val="20"/>
        <w:u w:val="none" w:color="000000"/>
        <w:bdr w:val="none"/>
        <w:shd w:val="clear"/>
        <w:vertAlign w:val="baseline"/>
      </w:rPr>
    </w:lvl>
    <w:lvl w:ilvl="7">
      <w:start w:val="1"/>
      <w:numFmt w:val="lowerLetter"/>
      <w:lvlText w:val="%8"/>
      <w:pPr>
        <w:ind w:left="5506"/>
      </w:pPr>
      <w:rPr>
        <w:rFonts w:cs="Cambria" w:hAnsi="Cambria" w:eastAsia="Cambria" w:ascii="Cambria"/>
        <w:b w:val="0"/>
        <w:i w:val="0"/>
        <w:strike w:val="0"/>
        <w:dstrike w:val="0"/>
        <w:color w:val="000000"/>
        <w:sz w:val="20"/>
        <w:szCs w:val="20"/>
        <w:u w:val="none" w:color="000000"/>
        <w:bdr w:val="none"/>
        <w:shd w:val="clear"/>
        <w:vertAlign w:val="baseline"/>
      </w:rPr>
    </w:lvl>
    <w:lvl w:ilvl="8">
      <w:start w:val="1"/>
      <w:numFmt w:val="lowerRoman"/>
      <w:lvlText w:val="%9"/>
      <w:pPr>
        <w:ind w:left="6226"/>
      </w:pPr>
      <w:rPr>
        <w:rFonts w:cs="Cambria" w:hAnsi="Cambria" w:eastAsia="Cambria" w:ascii="Cambria"/>
        <w:b w:val="0"/>
        <w:i w:val="0"/>
        <w:strike w:val="0"/>
        <w:dstrike w:val="0"/>
        <w:color w:val="000000"/>
        <w:sz w:val="20"/>
        <w:szCs w:val="20"/>
        <w:u w:val="none" w:color="000000"/>
        <w:bdr w:val="none"/>
        <w:shd w:val="clear"/>
        <w:vertAlign w:val="baseline"/>
      </w:rPr>
    </w:lvl>
  </w:abstractNum>
  <w:abstractNum w:abstractNumId="23">
    <w:multiLevelType w:val="hybridMultilevel"/>
    <w:lvl w:ilvl="0">
      <w:start w:val="1"/>
      <w:numFmt w:val="bullet"/>
      <w:lvlText w:val="•"/>
      <w:pPr>
        <w:ind w:left="139"/>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6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2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4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8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02"/>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4">
    <w:multiLevelType w:val="hybridMultilevel"/>
    <w:lvl w:ilvl="0">
      <w:start w:val="1"/>
      <w:numFmt w:val="bullet"/>
      <w:lvlText w:val="-"/>
      <w:pPr>
        <w:ind w:left="53"/>
      </w:pPr>
      <w:rPr>
        <w:rFonts w:cs="Cambria" w:hAnsi="Cambria" w:eastAsia="Cambria" w:ascii="Cambria"/>
        <w:b w:val="0"/>
        <w:i w:val="0"/>
        <w:strike w:val="0"/>
        <w:dstrike w:val="0"/>
        <w:color w:val="000000"/>
        <w:sz w:val="16"/>
        <w:szCs w:val="16"/>
        <w:u w:val="none" w:color="000000"/>
        <w:bdr w:val="none"/>
        <w:shd w:val="clear"/>
        <w:vertAlign w:val="baseline"/>
      </w:rPr>
    </w:lvl>
    <w:lvl w:ilvl="1">
      <w:start w:val="1"/>
      <w:numFmt w:val="bullet"/>
      <w:lvlText w:val="o"/>
      <w:pPr>
        <w:ind w:left="1186"/>
      </w:pPr>
      <w:rPr>
        <w:rFonts w:cs="Cambria" w:hAnsi="Cambria" w:eastAsia="Cambria" w:ascii="Cambria"/>
        <w:b w:val="0"/>
        <w:i w:val="0"/>
        <w:strike w:val="0"/>
        <w:dstrike w:val="0"/>
        <w:color w:val="000000"/>
        <w:sz w:val="16"/>
        <w:szCs w:val="16"/>
        <w:u w:val="none" w:color="000000"/>
        <w:bdr w:val="none"/>
        <w:shd w:val="clear"/>
        <w:vertAlign w:val="baseline"/>
      </w:rPr>
    </w:lvl>
    <w:lvl w:ilvl="2">
      <w:start w:val="1"/>
      <w:numFmt w:val="bullet"/>
      <w:lvlText w:val="▪"/>
      <w:pPr>
        <w:ind w:left="1906"/>
      </w:pPr>
      <w:rPr>
        <w:rFonts w:cs="Cambria" w:hAnsi="Cambria" w:eastAsia="Cambria" w:ascii="Cambria"/>
        <w:b w:val="0"/>
        <w:i w:val="0"/>
        <w:strike w:val="0"/>
        <w:dstrike w:val="0"/>
        <w:color w:val="000000"/>
        <w:sz w:val="16"/>
        <w:szCs w:val="16"/>
        <w:u w:val="none" w:color="000000"/>
        <w:bdr w:val="none"/>
        <w:shd w:val="clear"/>
        <w:vertAlign w:val="baseline"/>
      </w:rPr>
    </w:lvl>
    <w:lvl w:ilvl="3">
      <w:start w:val="1"/>
      <w:numFmt w:val="bullet"/>
      <w:lvlText w:val="•"/>
      <w:pPr>
        <w:ind w:left="2626"/>
      </w:pPr>
      <w:rPr>
        <w:rFonts w:cs="Cambria" w:hAnsi="Cambria" w:eastAsia="Cambria" w:ascii="Cambria"/>
        <w:b w:val="0"/>
        <w:i w:val="0"/>
        <w:strike w:val="0"/>
        <w:dstrike w:val="0"/>
        <w:color w:val="000000"/>
        <w:sz w:val="16"/>
        <w:szCs w:val="16"/>
        <w:u w:val="none" w:color="000000"/>
        <w:bdr w:val="none"/>
        <w:shd w:val="clear"/>
        <w:vertAlign w:val="baseline"/>
      </w:rPr>
    </w:lvl>
    <w:lvl w:ilvl="4">
      <w:start w:val="1"/>
      <w:numFmt w:val="bullet"/>
      <w:lvlText w:val="o"/>
      <w:pPr>
        <w:ind w:left="3346"/>
      </w:pPr>
      <w:rPr>
        <w:rFonts w:cs="Cambria" w:hAnsi="Cambria" w:eastAsia="Cambria" w:ascii="Cambria"/>
        <w:b w:val="0"/>
        <w:i w:val="0"/>
        <w:strike w:val="0"/>
        <w:dstrike w:val="0"/>
        <w:color w:val="000000"/>
        <w:sz w:val="16"/>
        <w:szCs w:val="16"/>
        <w:u w:val="none" w:color="000000"/>
        <w:bdr w:val="none"/>
        <w:shd w:val="clear"/>
        <w:vertAlign w:val="baseline"/>
      </w:rPr>
    </w:lvl>
    <w:lvl w:ilvl="5">
      <w:start w:val="1"/>
      <w:numFmt w:val="bullet"/>
      <w:lvlText w:val="▪"/>
      <w:pPr>
        <w:ind w:left="4066"/>
      </w:pPr>
      <w:rPr>
        <w:rFonts w:cs="Cambria" w:hAnsi="Cambria" w:eastAsia="Cambria" w:ascii="Cambria"/>
        <w:b w:val="0"/>
        <w:i w:val="0"/>
        <w:strike w:val="0"/>
        <w:dstrike w:val="0"/>
        <w:color w:val="000000"/>
        <w:sz w:val="16"/>
        <w:szCs w:val="16"/>
        <w:u w:val="none" w:color="000000"/>
        <w:bdr w:val="none"/>
        <w:shd w:val="clear"/>
        <w:vertAlign w:val="baseline"/>
      </w:rPr>
    </w:lvl>
    <w:lvl w:ilvl="6">
      <w:start w:val="1"/>
      <w:numFmt w:val="bullet"/>
      <w:lvlText w:val="•"/>
      <w:pPr>
        <w:ind w:left="4786"/>
      </w:pPr>
      <w:rPr>
        <w:rFonts w:cs="Cambria" w:hAnsi="Cambria" w:eastAsia="Cambria" w:ascii="Cambria"/>
        <w:b w:val="0"/>
        <w:i w:val="0"/>
        <w:strike w:val="0"/>
        <w:dstrike w:val="0"/>
        <w:color w:val="000000"/>
        <w:sz w:val="16"/>
        <w:szCs w:val="16"/>
        <w:u w:val="none" w:color="000000"/>
        <w:bdr w:val="none"/>
        <w:shd w:val="clear"/>
        <w:vertAlign w:val="baseline"/>
      </w:rPr>
    </w:lvl>
    <w:lvl w:ilvl="7">
      <w:start w:val="1"/>
      <w:numFmt w:val="bullet"/>
      <w:lvlText w:val="o"/>
      <w:pPr>
        <w:ind w:left="5506"/>
      </w:pPr>
      <w:rPr>
        <w:rFonts w:cs="Cambria" w:hAnsi="Cambria" w:eastAsia="Cambria" w:ascii="Cambria"/>
        <w:b w:val="0"/>
        <w:i w:val="0"/>
        <w:strike w:val="0"/>
        <w:dstrike w:val="0"/>
        <w:color w:val="000000"/>
        <w:sz w:val="16"/>
        <w:szCs w:val="16"/>
        <w:u w:val="none" w:color="000000"/>
        <w:bdr w:val="none"/>
        <w:shd w:val="clear"/>
        <w:vertAlign w:val="baseline"/>
      </w:rPr>
    </w:lvl>
    <w:lvl w:ilvl="8">
      <w:start w:val="1"/>
      <w:numFmt w:val="bullet"/>
      <w:lvlText w:val="▪"/>
      <w:pPr>
        <w:ind w:left="6226"/>
      </w:pPr>
      <w:rPr>
        <w:rFonts w:cs="Cambria" w:hAnsi="Cambria" w:eastAsia="Cambria" w:ascii="Cambria"/>
        <w:b w:val="0"/>
        <w:i w:val="0"/>
        <w:strike w:val="0"/>
        <w:dstrike w:val="0"/>
        <w:color w:val="000000"/>
        <w:sz w:val="16"/>
        <w:szCs w:val="16"/>
        <w:u w:val="none" w:color="000000"/>
        <w:bdr w:val="none"/>
        <w:shd w:val="clear"/>
        <w:vertAlign w:val="baseline"/>
      </w:rPr>
    </w:lvl>
  </w:abstractNum>
  <w:abstractNum w:abstractNumId="25">
    <w:multiLevelType w:val="hybridMultilevel"/>
    <w:lvl w:ilvl="0">
      <w:start w:val="1"/>
      <w:numFmt w:val="bullet"/>
      <w:lvlText w:val="-"/>
      <w:pPr>
        <w:ind w:left="67"/>
      </w:pPr>
      <w:rPr>
        <w:rFonts w:cs="Cambria" w:hAnsi="Cambria" w:eastAsia="Cambria" w:ascii="Cambria"/>
        <w:b w:val="0"/>
        <w:i w:val="0"/>
        <w:strike w:val="0"/>
        <w:dstrike w:val="0"/>
        <w:color w:val="000000"/>
        <w:sz w:val="17"/>
        <w:szCs w:val="17"/>
        <w:u w:val="none" w:color="000000"/>
        <w:bdr w:val="none"/>
        <w:shd w:val="clear"/>
        <w:vertAlign w:val="baseline"/>
      </w:rPr>
    </w:lvl>
    <w:lvl w:ilvl="1">
      <w:start w:val="1"/>
      <w:numFmt w:val="bullet"/>
      <w:lvlText w:val="o"/>
      <w:pPr>
        <w:ind w:left="1186"/>
      </w:pPr>
      <w:rPr>
        <w:rFonts w:cs="Cambria" w:hAnsi="Cambria" w:eastAsia="Cambria" w:ascii="Cambria"/>
        <w:b w:val="0"/>
        <w:i w:val="0"/>
        <w:strike w:val="0"/>
        <w:dstrike w:val="0"/>
        <w:color w:val="000000"/>
        <w:sz w:val="17"/>
        <w:szCs w:val="17"/>
        <w:u w:val="none" w:color="000000"/>
        <w:bdr w:val="none"/>
        <w:shd w:val="clear"/>
        <w:vertAlign w:val="baseline"/>
      </w:rPr>
    </w:lvl>
    <w:lvl w:ilvl="2">
      <w:start w:val="1"/>
      <w:numFmt w:val="bullet"/>
      <w:lvlText w:val="▪"/>
      <w:pPr>
        <w:ind w:left="1906"/>
      </w:pPr>
      <w:rPr>
        <w:rFonts w:cs="Cambria" w:hAnsi="Cambria" w:eastAsia="Cambria" w:ascii="Cambria"/>
        <w:b w:val="0"/>
        <w:i w:val="0"/>
        <w:strike w:val="0"/>
        <w:dstrike w:val="0"/>
        <w:color w:val="000000"/>
        <w:sz w:val="17"/>
        <w:szCs w:val="17"/>
        <w:u w:val="none" w:color="000000"/>
        <w:bdr w:val="none"/>
        <w:shd w:val="clear"/>
        <w:vertAlign w:val="baseline"/>
      </w:rPr>
    </w:lvl>
    <w:lvl w:ilvl="3">
      <w:start w:val="1"/>
      <w:numFmt w:val="bullet"/>
      <w:lvlText w:val="•"/>
      <w:pPr>
        <w:ind w:left="2626"/>
      </w:pPr>
      <w:rPr>
        <w:rFonts w:cs="Cambria" w:hAnsi="Cambria" w:eastAsia="Cambria" w:ascii="Cambria"/>
        <w:b w:val="0"/>
        <w:i w:val="0"/>
        <w:strike w:val="0"/>
        <w:dstrike w:val="0"/>
        <w:color w:val="000000"/>
        <w:sz w:val="17"/>
        <w:szCs w:val="17"/>
        <w:u w:val="none" w:color="000000"/>
        <w:bdr w:val="none"/>
        <w:shd w:val="clear"/>
        <w:vertAlign w:val="baseline"/>
      </w:rPr>
    </w:lvl>
    <w:lvl w:ilvl="4">
      <w:start w:val="1"/>
      <w:numFmt w:val="bullet"/>
      <w:lvlText w:val="o"/>
      <w:pPr>
        <w:ind w:left="3346"/>
      </w:pPr>
      <w:rPr>
        <w:rFonts w:cs="Cambria" w:hAnsi="Cambria" w:eastAsia="Cambria" w:ascii="Cambria"/>
        <w:b w:val="0"/>
        <w:i w:val="0"/>
        <w:strike w:val="0"/>
        <w:dstrike w:val="0"/>
        <w:color w:val="000000"/>
        <w:sz w:val="17"/>
        <w:szCs w:val="17"/>
        <w:u w:val="none" w:color="000000"/>
        <w:bdr w:val="none"/>
        <w:shd w:val="clear"/>
        <w:vertAlign w:val="baseline"/>
      </w:rPr>
    </w:lvl>
    <w:lvl w:ilvl="5">
      <w:start w:val="1"/>
      <w:numFmt w:val="bullet"/>
      <w:lvlText w:val="▪"/>
      <w:pPr>
        <w:ind w:left="4066"/>
      </w:pPr>
      <w:rPr>
        <w:rFonts w:cs="Cambria" w:hAnsi="Cambria" w:eastAsia="Cambria" w:ascii="Cambria"/>
        <w:b w:val="0"/>
        <w:i w:val="0"/>
        <w:strike w:val="0"/>
        <w:dstrike w:val="0"/>
        <w:color w:val="000000"/>
        <w:sz w:val="17"/>
        <w:szCs w:val="17"/>
        <w:u w:val="none" w:color="000000"/>
        <w:bdr w:val="none"/>
        <w:shd w:val="clear"/>
        <w:vertAlign w:val="baseline"/>
      </w:rPr>
    </w:lvl>
    <w:lvl w:ilvl="6">
      <w:start w:val="1"/>
      <w:numFmt w:val="bullet"/>
      <w:lvlText w:val="•"/>
      <w:pPr>
        <w:ind w:left="4786"/>
      </w:pPr>
      <w:rPr>
        <w:rFonts w:cs="Cambria" w:hAnsi="Cambria" w:eastAsia="Cambria" w:ascii="Cambria"/>
        <w:b w:val="0"/>
        <w:i w:val="0"/>
        <w:strike w:val="0"/>
        <w:dstrike w:val="0"/>
        <w:color w:val="000000"/>
        <w:sz w:val="17"/>
        <w:szCs w:val="17"/>
        <w:u w:val="none" w:color="000000"/>
        <w:bdr w:val="none"/>
        <w:shd w:val="clear"/>
        <w:vertAlign w:val="baseline"/>
      </w:rPr>
    </w:lvl>
    <w:lvl w:ilvl="7">
      <w:start w:val="1"/>
      <w:numFmt w:val="bullet"/>
      <w:lvlText w:val="o"/>
      <w:pPr>
        <w:ind w:left="5506"/>
      </w:pPr>
      <w:rPr>
        <w:rFonts w:cs="Cambria" w:hAnsi="Cambria" w:eastAsia="Cambria" w:ascii="Cambria"/>
        <w:b w:val="0"/>
        <w:i w:val="0"/>
        <w:strike w:val="0"/>
        <w:dstrike w:val="0"/>
        <w:color w:val="000000"/>
        <w:sz w:val="17"/>
        <w:szCs w:val="17"/>
        <w:u w:val="none" w:color="000000"/>
        <w:bdr w:val="none"/>
        <w:shd w:val="clear"/>
        <w:vertAlign w:val="baseline"/>
      </w:rPr>
    </w:lvl>
    <w:lvl w:ilvl="8">
      <w:start w:val="1"/>
      <w:numFmt w:val="bullet"/>
      <w:lvlText w:val="▪"/>
      <w:pPr>
        <w:ind w:left="6226"/>
      </w:pPr>
      <w:rPr>
        <w:rFonts w:cs="Cambria" w:hAnsi="Cambria" w:eastAsia="Cambria" w:ascii="Cambria"/>
        <w:b w:val="0"/>
        <w:i w:val="0"/>
        <w:strike w:val="0"/>
        <w:dstrike w:val="0"/>
        <w:color w:val="000000"/>
        <w:sz w:val="17"/>
        <w:szCs w:val="17"/>
        <w:u w:val="none" w:color="000000"/>
        <w:bdr w:val="none"/>
        <w:shd w:val="clear"/>
        <w:vertAlign w:val="baseline"/>
      </w:rPr>
    </w:lvl>
  </w:abstractNum>
  <w:abstractNum w:abstractNumId="26">
    <w:multiLevelType w:val="hybridMultilevel"/>
    <w:lvl w:ilvl="0">
      <w:start w:val="1"/>
      <w:numFmt w:val="bullet"/>
      <w:lvlText w:val="•"/>
      <w:pPr>
        <w:ind w:left="139"/>
      </w:pPr>
      <w:rPr>
        <w:rFonts w:cs="Arial" w:hAnsi="Arial" w:eastAsia="Arial" w:ascii="Arial"/>
        <w:b w:val="0"/>
        <w:i w:val="0"/>
        <w:strike w:val="0"/>
        <w:dstrike w:val="0"/>
        <w:color w:val="000000"/>
        <w:sz w:val="20"/>
        <w:szCs w:val="20"/>
        <w:u w:val="none" w:color="000000"/>
        <w:bdr w:val="none"/>
        <w:shd w:val="clear"/>
        <w:vertAlign w:val="baseline"/>
      </w:rPr>
    </w:lvl>
    <w:lvl w:ilvl="1">
      <w:start w:val="1"/>
      <w:numFmt w:val="bullet"/>
      <w:lvlText w:val="o"/>
      <w:pPr>
        <w:ind w:left="116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2">
      <w:start w:val="1"/>
      <w:numFmt w:val="bullet"/>
      <w:lvlText w:val="▪"/>
      <w:pPr>
        <w:ind w:left="188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3">
      <w:start w:val="1"/>
      <w:numFmt w:val="bullet"/>
      <w:lvlText w:val="•"/>
      <w:pPr>
        <w:ind w:left="2606"/>
      </w:pPr>
      <w:rPr>
        <w:rFonts w:cs="Arial" w:hAnsi="Arial" w:eastAsia="Arial" w:ascii="Arial"/>
        <w:b w:val="0"/>
        <w:i w:val="0"/>
        <w:strike w:val="0"/>
        <w:dstrike w:val="0"/>
        <w:color w:val="000000"/>
        <w:sz w:val="20"/>
        <w:szCs w:val="20"/>
        <w:u w:val="none" w:color="000000"/>
        <w:bdr w:val="none"/>
        <w:shd w:val="clear"/>
        <w:vertAlign w:val="baseline"/>
      </w:rPr>
    </w:lvl>
    <w:lvl w:ilvl="4">
      <w:start w:val="1"/>
      <w:numFmt w:val="bullet"/>
      <w:lvlText w:val="o"/>
      <w:pPr>
        <w:ind w:left="332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5">
      <w:start w:val="1"/>
      <w:numFmt w:val="bullet"/>
      <w:lvlText w:val="▪"/>
      <w:pPr>
        <w:ind w:left="404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6">
      <w:start w:val="1"/>
      <w:numFmt w:val="bullet"/>
      <w:lvlText w:val="•"/>
      <w:pPr>
        <w:ind w:left="4766"/>
      </w:pPr>
      <w:rPr>
        <w:rFonts w:cs="Arial" w:hAnsi="Arial" w:eastAsia="Arial" w:ascii="Arial"/>
        <w:b w:val="0"/>
        <w:i w:val="0"/>
        <w:strike w:val="0"/>
        <w:dstrike w:val="0"/>
        <w:color w:val="000000"/>
        <w:sz w:val="20"/>
        <w:szCs w:val="20"/>
        <w:u w:val="none" w:color="000000"/>
        <w:bdr w:val="none"/>
        <w:shd w:val="clear"/>
        <w:vertAlign w:val="baseline"/>
      </w:rPr>
    </w:lvl>
    <w:lvl w:ilvl="7">
      <w:start w:val="1"/>
      <w:numFmt w:val="bullet"/>
      <w:lvlText w:val="o"/>
      <w:pPr>
        <w:ind w:left="548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lvl w:ilvl="8">
      <w:start w:val="1"/>
      <w:numFmt w:val="bullet"/>
      <w:lvlText w:val="▪"/>
      <w:pPr>
        <w:ind w:left="6206"/>
      </w:pPr>
      <w:rPr>
        <w:rFonts w:cs="Segoe UI Symbol" w:hAnsi="Segoe UI Symbol" w:eastAsia="Segoe UI Symbol" w:ascii="Segoe UI Symbol"/>
        <w:b w:val="0"/>
        <w:i w:val="0"/>
        <w:strike w:val="0"/>
        <w:dstrike w:val="0"/>
        <w:color w:val="000000"/>
        <w:sz w:val="20"/>
        <w:szCs w:val="20"/>
        <w:u w:val="none" w:color="000000"/>
        <w:bdr w:val="none"/>
        <w:shd w:val="clear"/>
        <w:vertAlign w:val="baseline"/>
      </w:rPr>
    </w:lvl>
  </w:abstractNum>
  <w:abstractNum w:abstractNumId="27">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28">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29">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0">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1">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2">
    <w:multiLevelType w:val="hybridMultilevel"/>
    <w:lvl w:ilvl="0">
      <w:start w:val="1"/>
      <w:numFmt w:val="bullet"/>
      <w:lvlText w:val="-"/>
      <w:pPr>
        <w:ind w:left="0"/>
      </w:pPr>
      <w:rPr>
        <w:rFonts w:cs="Cambria" w:hAnsi="Cambria" w:eastAsia="Cambria" w:ascii="Cambria"/>
        <w:b w:val="0"/>
        <w:i w:val="0"/>
        <w:strike w:val="0"/>
        <w:dstrike w:val="0"/>
        <w:color w:val="000000"/>
        <w:sz w:val="18"/>
        <w:szCs w:val="18"/>
        <w:u w:val="none" w:color="000000"/>
        <w:bdr w:val="none"/>
        <w:shd w:val="clear"/>
        <w:vertAlign w:val="baseline"/>
      </w:rPr>
    </w:lvl>
    <w:lvl w:ilvl="1">
      <w:start w:val="1"/>
      <w:numFmt w:val="bullet"/>
      <w:lvlText w:val="o"/>
      <w:pPr>
        <w:ind w:left="1190"/>
      </w:pPr>
      <w:rPr>
        <w:rFonts w:cs="Cambria" w:hAnsi="Cambria" w:eastAsia="Cambria" w:ascii="Cambria"/>
        <w:b w:val="0"/>
        <w:i w:val="0"/>
        <w:strike w:val="0"/>
        <w:dstrike w:val="0"/>
        <w:color w:val="000000"/>
        <w:sz w:val="18"/>
        <w:szCs w:val="18"/>
        <w:u w:val="none" w:color="000000"/>
        <w:bdr w:val="none"/>
        <w:shd w:val="clear"/>
        <w:vertAlign w:val="baseline"/>
      </w:rPr>
    </w:lvl>
    <w:lvl w:ilvl="2">
      <w:start w:val="1"/>
      <w:numFmt w:val="bullet"/>
      <w:lvlText w:val="▪"/>
      <w:pPr>
        <w:ind w:left="1910"/>
      </w:pPr>
      <w:rPr>
        <w:rFonts w:cs="Cambria" w:hAnsi="Cambria" w:eastAsia="Cambria" w:ascii="Cambria"/>
        <w:b w:val="0"/>
        <w:i w:val="0"/>
        <w:strike w:val="0"/>
        <w:dstrike w:val="0"/>
        <w:color w:val="000000"/>
        <w:sz w:val="18"/>
        <w:szCs w:val="18"/>
        <w:u w:val="none" w:color="000000"/>
        <w:bdr w:val="none"/>
        <w:shd w:val="clear"/>
        <w:vertAlign w:val="baseline"/>
      </w:rPr>
    </w:lvl>
    <w:lvl w:ilvl="3">
      <w:start w:val="1"/>
      <w:numFmt w:val="bullet"/>
      <w:lvlText w:val="•"/>
      <w:pPr>
        <w:ind w:left="2630"/>
      </w:pPr>
      <w:rPr>
        <w:rFonts w:cs="Cambria" w:hAnsi="Cambria" w:eastAsia="Cambria" w:ascii="Cambria"/>
        <w:b w:val="0"/>
        <w:i w:val="0"/>
        <w:strike w:val="0"/>
        <w:dstrike w:val="0"/>
        <w:color w:val="000000"/>
        <w:sz w:val="18"/>
        <w:szCs w:val="18"/>
        <w:u w:val="none" w:color="000000"/>
        <w:bdr w:val="none"/>
        <w:shd w:val="clear"/>
        <w:vertAlign w:val="baseline"/>
      </w:rPr>
    </w:lvl>
    <w:lvl w:ilvl="4">
      <w:start w:val="1"/>
      <w:numFmt w:val="bullet"/>
      <w:lvlText w:val="o"/>
      <w:pPr>
        <w:ind w:left="3350"/>
      </w:pPr>
      <w:rPr>
        <w:rFonts w:cs="Cambria" w:hAnsi="Cambria" w:eastAsia="Cambria" w:ascii="Cambria"/>
        <w:b w:val="0"/>
        <w:i w:val="0"/>
        <w:strike w:val="0"/>
        <w:dstrike w:val="0"/>
        <w:color w:val="000000"/>
        <w:sz w:val="18"/>
        <w:szCs w:val="18"/>
        <w:u w:val="none" w:color="000000"/>
        <w:bdr w:val="none"/>
        <w:shd w:val="clear"/>
        <w:vertAlign w:val="baseline"/>
      </w:rPr>
    </w:lvl>
    <w:lvl w:ilvl="5">
      <w:start w:val="1"/>
      <w:numFmt w:val="bullet"/>
      <w:lvlText w:val="▪"/>
      <w:pPr>
        <w:ind w:left="4070"/>
      </w:pPr>
      <w:rPr>
        <w:rFonts w:cs="Cambria" w:hAnsi="Cambria" w:eastAsia="Cambria" w:ascii="Cambria"/>
        <w:b w:val="0"/>
        <w:i w:val="0"/>
        <w:strike w:val="0"/>
        <w:dstrike w:val="0"/>
        <w:color w:val="000000"/>
        <w:sz w:val="18"/>
        <w:szCs w:val="18"/>
        <w:u w:val="none" w:color="000000"/>
        <w:bdr w:val="none"/>
        <w:shd w:val="clear"/>
        <w:vertAlign w:val="baseline"/>
      </w:rPr>
    </w:lvl>
    <w:lvl w:ilvl="6">
      <w:start w:val="1"/>
      <w:numFmt w:val="bullet"/>
      <w:lvlText w:val="•"/>
      <w:pPr>
        <w:ind w:left="4790"/>
      </w:pPr>
      <w:rPr>
        <w:rFonts w:cs="Cambria" w:hAnsi="Cambria" w:eastAsia="Cambria" w:ascii="Cambria"/>
        <w:b w:val="0"/>
        <w:i w:val="0"/>
        <w:strike w:val="0"/>
        <w:dstrike w:val="0"/>
        <w:color w:val="000000"/>
        <w:sz w:val="18"/>
        <w:szCs w:val="18"/>
        <w:u w:val="none" w:color="000000"/>
        <w:bdr w:val="none"/>
        <w:shd w:val="clear"/>
        <w:vertAlign w:val="baseline"/>
      </w:rPr>
    </w:lvl>
    <w:lvl w:ilvl="7">
      <w:start w:val="1"/>
      <w:numFmt w:val="bullet"/>
      <w:lvlText w:val="o"/>
      <w:pPr>
        <w:ind w:left="5510"/>
      </w:pPr>
      <w:rPr>
        <w:rFonts w:cs="Cambria" w:hAnsi="Cambria" w:eastAsia="Cambria" w:ascii="Cambria"/>
        <w:b w:val="0"/>
        <w:i w:val="0"/>
        <w:strike w:val="0"/>
        <w:dstrike w:val="0"/>
        <w:color w:val="000000"/>
        <w:sz w:val="18"/>
        <w:szCs w:val="18"/>
        <w:u w:val="none" w:color="000000"/>
        <w:bdr w:val="none"/>
        <w:shd w:val="clear"/>
        <w:vertAlign w:val="baseline"/>
      </w:rPr>
    </w:lvl>
    <w:lvl w:ilvl="8">
      <w:start w:val="1"/>
      <w:numFmt w:val="bullet"/>
      <w:lvlText w:val="▪"/>
      <w:pPr>
        <w:ind w:left="6230"/>
      </w:pPr>
      <w:rPr>
        <w:rFonts w:cs="Cambria" w:hAnsi="Cambria" w:eastAsia="Cambria" w:ascii="Cambria"/>
        <w:b w:val="0"/>
        <w:i w:val="0"/>
        <w:strike w:val="0"/>
        <w:dstrike w:val="0"/>
        <w:color w:val="000000"/>
        <w:sz w:val="18"/>
        <w:szCs w:val="18"/>
        <w:u w:val="none" w:color="000000"/>
        <w:bdr w:val="none"/>
        <w:shd w:val="clear"/>
        <w:vertAlign w:val="baseline"/>
      </w:rPr>
    </w:lvl>
  </w:abstractNum>
  <w:abstractNum w:abstractNumId="33">
    <w:multiLevelType w:val="hybridMultilevel"/>
    <w:lvl w:ilvl="0">
      <w:start w:val="1"/>
      <w:numFmt w:val="bullet"/>
      <w:lvlText w:val="-"/>
      <w:pPr>
        <w:ind w:left="0"/>
      </w:pPr>
      <w:rPr>
        <w:rFonts w:cs="Cambria" w:hAnsi="Cambria" w:eastAsia="Cambria" w:ascii="Cambria"/>
        <w:b w:val="0"/>
        <w:i w:val="0"/>
        <w:strike w:val="0"/>
        <w:dstrike w:val="0"/>
        <w:color w:val="000000"/>
        <w:sz w:val="18"/>
        <w:szCs w:val="18"/>
        <w:u w:val="none" w:color="000000"/>
        <w:bdr w:val="none"/>
        <w:shd w:val="clear"/>
        <w:vertAlign w:val="baseline"/>
      </w:rPr>
    </w:lvl>
    <w:lvl w:ilvl="1">
      <w:start w:val="1"/>
      <w:numFmt w:val="bullet"/>
      <w:lvlText w:val="o"/>
      <w:pPr>
        <w:ind w:left="1190"/>
      </w:pPr>
      <w:rPr>
        <w:rFonts w:cs="Cambria" w:hAnsi="Cambria" w:eastAsia="Cambria" w:ascii="Cambria"/>
        <w:b w:val="0"/>
        <w:i w:val="0"/>
        <w:strike w:val="0"/>
        <w:dstrike w:val="0"/>
        <w:color w:val="000000"/>
        <w:sz w:val="18"/>
        <w:szCs w:val="18"/>
        <w:u w:val="none" w:color="000000"/>
        <w:bdr w:val="none"/>
        <w:shd w:val="clear"/>
        <w:vertAlign w:val="baseline"/>
      </w:rPr>
    </w:lvl>
    <w:lvl w:ilvl="2">
      <w:start w:val="1"/>
      <w:numFmt w:val="bullet"/>
      <w:lvlText w:val="▪"/>
      <w:pPr>
        <w:ind w:left="1910"/>
      </w:pPr>
      <w:rPr>
        <w:rFonts w:cs="Cambria" w:hAnsi="Cambria" w:eastAsia="Cambria" w:ascii="Cambria"/>
        <w:b w:val="0"/>
        <w:i w:val="0"/>
        <w:strike w:val="0"/>
        <w:dstrike w:val="0"/>
        <w:color w:val="000000"/>
        <w:sz w:val="18"/>
        <w:szCs w:val="18"/>
        <w:u w:val="none" w:color="000000"/>
        <w:bdr w:val="none"/>
        <w:shd w:val="clear"/>
        <w:vertAlign w:val="baseline"/>
      </w:rPr>
    </w:lvl>
    <w:lvl w:ilvl="3">
      <w:start w:val="1"/>
      <w:numFmt w:val="bullet"/>
      <w:lvlText w:val="•"/>
      <w:pPr>
        <w:ind w:left="2630"/>
      </w:pPr>
      <w:rPr>
        <w:rFonts w:cs="Cambria" w:hAnsi="Cambria" w:eastAsia="Cambria" w:ascii="Cambria"/>
        <w:b w:val="0"/>
        <w:i w:val="0"/>
        <w:strike w:val="0"/>
        <w:dstrike w:val="0"/>
        <w:color w:val="000000"/>
        <w:sz w:val="18"/>
        <w:szCs w:val="18"/>
        <w:u w:val="none" w:color="000000"/>
        <w:bdr w:val="none"/>
        <w:shd w:val="clear"/>
        <w:vertAlign w:val="baseline"/>
      </w:rPr>
    </w:lvl>
    <w:lvl w:ilvl="4">
      <w:start w:val="1"/>
      <w:numFmt w:val="bullet"/>
      <w:lvlText w:val="o"/>
      <w:pPr>
        <w:ind w:left="3350"/>
      </w:pPr>
      <w:rPr>
        <w:rFonts w:cs="Cambria" w:hAnsi="Cambria" w:eastAsia="Cambria" w:ascii="Cambria"/>
        <w:b w:val="0"/>
        <w:i w:val="0"/>
        <w:strike w:val="0"/>
        <w:dstrike w:val="0"/>
        <w:color w:val="000000"/>
        <w:sz w:val="18"/>
        <w:szCs w:val="18"/>
        <w:u w:val="none" w:color="000000"/>
        <w:bdr w:val="none"/>
        <w:shd w:val="clear"/>
        <w:vertAlign w:val="baseline"/>
      </w:rPr>
    </w:lvl>
    <w:lvl w:ilvl="5">
      <w:start w:val="1"/>
      <w:numFmt w:val="bullet"/>
      <w:lvlText w:val="▪"/>
      <w:pPr>
        <w:ind w:left="4070"/>
      </w:pPr>
      <w:rPr>
        <w:rFonts w:cs="Cambria" w:hAnsi="Cambria" w:eastAsia="Cambria" w:ascii="Cambria"/>
        <w:b w:val="0"/>
        <w:i w:val="0"/>
        <w:strike w:val="0"/>
        <w:dstrike w:val="0"/>
        <w:color w:val="000000"/>
        <w:sz w:val="18"/>
        <w:szCs w:val="18"/>
        <w:u w:val="none" w:color="000000"/>
        <w:bdr w:val="none"/>
        <w:shd w:val="clear"/>
        <w:vertAlign w:val="baseline"/>
      </w:rPr>
    </w:lvl>
    <w:lvl w:ilvl="6">
      <w:start w:val="1"/>
      <w:numFmt w:val="bullet"/>
      <w:lvlText w:val="•"/>
      <w:pPr>
        <w:ind w:left="4790"/>
      </w:pPr>
      <w:rPr>
        <w:rFonts w:cs="Cambria" w:hAnsi="Cambria" w:eastAsia="Cambria" w:ascii="Cambria"/>
        <w:b w:val="0"/>
        <w:i w:val="0"/>
        <w:strike w:val="0"/>
        <w:dstrike w:val="0"/>
        <w:color w:val="000000"/>
        <w:sz w:val="18"/>
        <w:szCs w:val="18"/>
        <w:u w:val="none" w:color="000000"/>
        <w:bdr w:val="none"/>
        <w:shd w:val="clear"/>
        <w:vertAlign w:val="baseline"/>
      </w:rPr>
    </w:lvl>
    <w:lvl w:ilvl="7">
      <w:start w:val="1"/>
      <w:numFmt w:val="bullet"/>
      <w:lvlText w:val="o"/>
      <w:pPr>
        <w:ind w:left="5510"/>
      </w:pPr>
      <w:rPr>
        <w:rFonts w:cs="Cambria" w:hAnsi="Cambria" w:eastAsia="Cambria" w:ascii="Cambria"/>
        <w:b w:val="0"/>
        <w:i w:val="0"/>
        <w:strike w:val="0"/>
        <w:dstrike w:val="0"/>
        <w:color w:val="000000"/>
        <w:sz w:val="18"/>
        <w:szCs w:val="18"/>
        <w:u w:val="none" w:color="000000"/>
        <w:bdr w:val="none"/>
        <w:shd w:val="clear"/>
        <w:vertAlign w:val="baseline"/>
      </w:rPr>
    </w:lvl>
    <w:lvl w:ilvl="8">
      <w:start w:val="1"/>
      <w:numFmt w:val="bullet"/>
      <w:lvlText w:val="▪"/>
      <w:pPr>
        <w:ind w:left="6230"/>
      </w:pPr>
      <w:rPr>
        <w:rFonts w:cs="Cambria" w:hAnsi="Cambria" w:eastAsia="Cambria" w:ascii="Cambria"/>
        <w:b w:val="0"/>
        <w:i w:val="0"/>
        <w:strike w:val="0"/>
        <w:dstrike w:val="0"/>
        <w:color w:val="000000"/>
        <w:sz w:val="18"/>
        <w:szCs w:val="18"/>
        <w:u w:val="none" w:color="000000"/>
        <w:bdr w:val="none"/>
        <w:shd w:val="clear"/>
        <w:vertAlign w:val="baseline"/>
      </w:rPr>
    </w:lvl>
  </w:abstractNum>
  <w:abstractNum w:abstractNumId="34">
    <w:multiLevelType w:val="hybridMultilevel"/>
    <w:lvl w:ilvl="0">
      <w:start w:val="1"/>
      <w:numFmt w:val="bullet"/>
      <w:lvlText w:val="-"/>
      <w:pPr>
        <w:ind w:left="0"/>
      </w:pPr>
      <w:rPr>
        <w:rFonts w:cs="Cambria" w:hAnsi="Cambria" w:eastAsia="Cambria" w:ascii="Cambria"/>
        <w:b w:val="0"/>
        <w:i w:val="0"/>
        <w:strike w:val="0"/>
        <w:dstrike w:val="0"/>
        <w:color w:val="000000"/>
        <w:sz w:val="18"/>
        <w:szCs w:val="18"/>
        <w:u w:val="none" w:color="000000"/>
        <w:bdr w:val="none"/>
        <w:shd w:val="clear"/>
        <w:vertAlign w:val="baseline"/>
      </w:rPr>
    </w:lvl>
    <w:lvl w:ilvl="1">
      <w:start w:val="1"/>
      <w:numFmt w:val="bullet"/>
      <w:lvlText w:val="o"/>
      <w:pPr>
        <w:ind w:left="1190"/>
      </w:pPr>
      <w:rPr>
        <w:rFonts w:cs="Cambria" w:hAnsi="Cambria" w:eastAsia="Cambria" w:ascii="Cambria"/>
        <w:b w:val="0"/>
        <w:i w:val="0"/>
        <w:strike w:val="0"/>
        <w:dstrike w:val="0"/>
        <w:color w:val="000000"/>
        <w:sz w:val="18"/>
        <w:szCs w:val="18"/>
        <w:u w:val="none" w:color="000000"/>
        <w:bdr w:val="none"/>
        <w:shd w:val="clear"/>
        <w:vertAlign w:val="baseline"/>
      </w:rPr>
    </w:lvl>
    <w:lvl w:ilvl="2">
      <w:start w:val="1"/>
      <w:numFmt w:val="bullet"/>
      <w:lvlText w:val="▪"/>
      <w:pPr>
        <w:ind w:left="1910"/>
      </w:pPr>
      <w:rPr>
        <w:rFonts w:cs="Cambria" w:hAnsi="Cambria" w:eastAsia="Cambria" w:ascii="Cambria"/>
        <w:b w:val="0"/>
        <w:i w:val="0"/>
        <w:strike w:val="0"/>
        <w:dstrike w:val="0"/>
        <w:color w:val="000000"/>
        <w:sz w:val="18"/>
        <w:szCs w:val="18"/>
        <w:u w:val="none" w:color="000000"/>
        <w:bdr w:val="none"/>
        <w:shd w:val="clear"/>
        <w:vertAlign w:val="baseline"/>
      </w:rPr>
    </w:lvl>
    <w:lvl w:ilvl="3">
      <w:start w:val="1"/>
      <w:numFmt w:val="bullet"/>
      <w:lvlText w:val="•"/>
      <w:pPr>
        <w:ind w:left="2630"/>
      </w:pPr>
      <w:rPr>
        <w:rFonts w:cs="Cambria" w:hAnsi="Cambria" w:eastAsia="Cambria" w:ascii="Cambria"/>
        <w:b w:val="0"/>
        <w:i w:val="0"/>
        <w:strike w:val="0"/>
        <w:dstrike w:val="0"/>
        <w:color w:val="000000"/>
        <w:sz w:val="18"/>
        <w:szCs w:val="18"/>
        <w:u w:val="none" w:color="000000"/>
        <w:bdr w:val="none"/>
        <w:shd w:val="clear"/>
        <w:vertAlign w:val="baseline"/>
      </w:rPr>
    </w:lvl>
    <w:lvl w:ilvl="4">
      <w:start w:val="1"/>
      <w:numFmt w:val="bullet"/>
      <w:lvlText w:val="o"/>
      <w:pPr>
        <w:ind w:left="3350"/>
      </w:pPr>
      <w:rPr>
        <w:rFonts w:cs="Cambria" w:hAnsi="Cambria" w:eastAsia="Cambria" w:ascii="Cambria"/>
        <w:b w:val="0"/>
        <w:i w:val="0"/>
        <w:strike w:val="0"/>
        <w:dstrike w:val="0"/>
        <w:color w:val="000000"/>
        <w:sz w:val="18"/>
        <w:szCs w:val="18"/>
        <w:u w:val="none" w:color="000000"/>
        <w:bdr w:val="none"/>
        <w:shd w:val="clear"/>
        <w:vertAlign w:val="baseline"/>
      </w:rPr>
    </w:lvl>
    <w:lvl w:ilvl="5">
      <w:start w:val="1"/>
      <w:numFmt w:val="bullet"/>
      <w:lvlText w:val="▪"/>
      <w:pPr>
        <w:ind w:left="4070"/>
      </w:pPr>
      <w:rPr>
        <w:rFonts w:cs="Cambria" w:hAnsi="Cambria" w:eastAsia="Cambria" w:ascii="Cambria"/>
        <w:b w:val="0"/>
        <w:i w:val="0"/>
        <w:strike w:val="0"/>
        <w:dstrike w:val="0"/>
        <w:color w:val="000000"/>
        <w:sz w:val="18"/>
        <w:szCs w:val="18"/>
        <w:u w:val="none" w:color="000000"/>
        <w:bdr w:val="none"/>
        <w:shd w:val="clear"/>
        <w:vertAlign w:val="baseline"/>
      </w:rPr>
    </w:lvl>
    <w:lvl w:ilvl="6">
      <w:start w:val="1"/>
      <w:numFmt w:val="bullet"/>
      <w:lvlText w:val="•"/>
      <w:pPr>
        <w:ind w:left="4790"/>
      </w:pPr>
      <w:rPr>
        <w:rFonts w:cs="Cambria" w:hAnsi="Cambria" w:eastAsia="Cambria" w:ascii="Cambria"/>
        <w:b w:val="0"/>
        <w:i w:val="0"/>
        <w:strike w:val="0"/>
        <w:dstrike w:val="0"/>
        <w:color w:val="000000"/>
        <w:sz w:val="18"/>
        <w:szCs w:val="18"/>
        <w:u w:val="none" w:color="000000"/>
        <w:bdr w:val="none"/>
        <w:shd w:val="clear"/>
        <w:vertAlign w:val="baseline"/>
      </w:rPr>
    </w:lvl>
    <w:lvl w:ilvl="7">
      <w:start w:val="1"/>
      <w:numFmt w:val="bullet"/>
      <w:lvlText w:val="o"/>
      <w:pPr>
        <w:ind w:left="5510"/>
      </w:pPr>
      <w:rPr>
        <w:rFonts w:cs="Cambria" w:hAnsi="Cambria" w:eastAsia="Cambria" w:ascii="Cambria"/>
        <w:b w:val="0"/>
        <w:i w:val="0"/>
        <w:strike w:val="0"/>
        <w:dstrike w:val="0"/>
        <w:color w:val="000000"/>
        <w:sz w:val="18"/>
        <w:szCs w:val="18"/>
        <w:u w:val="none" w:color="000000"/>
        <w:bdr w:val="none"/>
        <w:shd w:val="clear"/>
        <w:vertAlign w:val="baseline"/>
      </w:rPr>
    </w:lvl>
    <w:lvl w:ilvl="8">
      <w:start w:val="1"/>
      <w:numFmt w:val="bullet"/>
      <w:lvlText w:val="▪"/>
      <w:pPr>
        <w:ind w:left="6230"/>
      </w:pPr>
      <w:rPr>
        <w:rFonts w:cs="Cambria" w:hAnsi="Cambria" w:eastAsia="Cambria" w:ascii="Cambria"/>
        <w:b w:val="0"/>
        <w:i w:val="0"/>
        <w:strike w:val="0"/>
        <w:dstrike w:val="0"/>
        <w:color w:val="000000"/>
        <w:sz w:val="18"/>
        <w:szCs w:val="18"/>
        <w:u w:val="none" w:color="000000"/>
        <w:bdr w:val="none"/>
        <w:shd w:val="clear"/>
        <w:vertAlign w:val="baseline"/>
      </w:rPr>
    </w:lvl>
  </w:abstractNum>
  <w:abstractNum w:abstractNumId="35">
    <w:multiLevelType w:val="hybridMultilevel"/>
    <w:lvl w:ilvl="0">
      <w:start w:val="1"/>
      <w:numFmt w:val="bullet"/>
      <w:lvlText w:val="-"/>
      <w:pPr>
        <w:ind w:left="0"/>
      </w:pPr>
      <w:rPr>
        <w:rFonts w:cs="Cambria" w:hAnsi="Cambria" w:eastAsia="Cambria" w:ascii="Cambria"/>
        <w:b w:val="0"/>
        <w:i w:val="0"/>
        <w:strike w:val="0"/>
        <w:dstrike w:val="0"/>
        <w:color w:val="000000"/>
        <w:sz w:val="18"/>
        <w:szCs w:val="18"/>
        <w:u w:val="none" w:color="000000"/>
        <w:bdr w:val="none"/>
        <w:shd w:val="clear"/>
        <w:vertAlign w:val="baseline"/>
      </w:rPr>
    </w:lvl>
    <w:lvl w:ilvl="1">
      <w:start w:val="1"/>
      <w:numFmt w:val="bullet"/>
      <w:lvlText w:val="o"/>
      <w:pPr>
        <w:ind w:left="1190"/>
      </w:pPr>
      <w:rPr>
        <w:rFonts w:cs="Cambria" w:hAnsi="Cambria" w:eastAsia="Cambria" w:ascii="Cambria"/>
        <w:b w:val="0"/>
        <w:i w:val="0"/>
        <w:strike w:val="0"/>
        <w:dstrike w:val="0"/>
        <w:color w:val="000000"/>
        <w:sz w:val="18"/>
        <w:szCs w:val="18"/>
        <w:u w:val="none" w:color="000000"/>
        <w:bdr w:val="none"/>
        <w:shd w:val="clear"/>
        <w:vertAlign w:val="baseline"/>
      </w:rPr>
    </w:lvl>
    <w:lvl w:ilvl="2">
      <w:start w:val="1"/>
      <w:numFmt w:val="bullet"/>
      <w:lvlText w:val="▪"/>
      <w:pPr>
        <w:ind w:left="1910"/>
      </w:pPr>
      <w:rPr>
        <w:rFonts w:cs="Cambria" w:hAnsi="Cambria" w:eastAsia="Cambria" w:ascii="Cambria"/>
        <w:b w:val="0"/>
        <w:i w:val="0"/>
        <w:strike w:val="0"/>
        <w:dstrike w:val="0"/>
        <w:color w:val="000000"/>
        <w:sz w:val="18"/>
        <w:szCs w:val="18"/>
        <w:u w:val="none" w:color="000000"/>
        <w:bdr w:val="none"/>
        <w:shd w:val="clear"/>
        <w:vertAlign w:val="baseline"/>
      </w:rPr>
    </w:lvl>
    <w:lvl w:ilvl="3">
      <w:start w:val="1"/>
      <w:numFmt w:val="bullet"/>
      <w:lvlText w:val="•"/>
      <w:pPr>
        <w:ind w:left="2630"/>
      </w:pPr>
      <w:rPr>
        <w:rFonts w:cs="Cambria" w:hAnsi="Cambria" w:eastAsia="Cambria" w:ascii="Cambria"/>
        <w:b w:val="0"/>
        <w:i w:val="0"/>
        <w:strike w:val="0"/>
        <w:dstrike w:val="0"/>
        <w:color w:val="000000"/>
        <w:sz w:val="18"/>
        <w:szCs w:val="18"/>
        <w:u w:val="none" w:color="000000"/>
        <w:bdr w:val="none"/>
        <w:shd w:val="clear"/>
        <w:vertAlign w:val="baseline"/>
      </w:rPr>
    </w:lvl>
    <w:lvl w:ilvl="4">
      <w:start w:val="1"/>
      <w:numFmt w:val="bullet"/>
      <w:lvlText w:val="o"/>
      <w:pPr>
        <w:ind w:left="3350"/>
      </w:pPr>
      <w:rPr>
        <w:rFonts w:cs="Cambria" w:hAnsi="Cambria" w:eastAsia="Cambria" w:ascii="Cambria"/>
        <w:b w:val="0"/>
        <w:i w:val="0"/>
        <w:strike w:val="0"/>
        <w:dstrike w:val="0"/>
        <w:color w:val="000000"/>
        <w:sz w:val="18"/>
        <w:szCs w:val="18"/>
        <w:u w:val="none" w:color="000000"/>
        <w:bdr w:val="none"/>
        <w:shd w:val="clear"/>
        <w:vertAlign w:val="baseline"/>
      </w:rPr>
    </w:lvl>
    <w:lvl w:ilvl="5">
      <w:start w:val="1"/>
      <w:numFmt w:val="bullet"/>
      <w:lvlText w:val="▪"/>
      <w:pPr>
        <w:ind w:left="4070"/>
      </w:pPr>
      <w:rPr>
        <w:rFonts w:cs="Cambria" w:hAnsi="Cambria" w:eastAsia="Cambria" w:ascii="Cambria"/>
        <w:b w:val="0"/>
        <w:i w:val="0"/>
        <w:strike w:val="0"/>
        <w:dstrike w:val="0"/>
        <w:color w:val="000000"/>
        <w:sz w:val="18"/>
        <w:szCs w:val="18"/>
        <w:u w:val="none" w:color="000000"/>
        <w:bdr w:val="none"/>
        <w:shd w:val="clear"/>
        <w:vertAlign w:val="baseline"/>
      </w:rPr>
    </w:lvl>
    <w:lvl w:ilvl="6">
      <w:start w:val="1"/>
      <w:numFmt w:val="bullet"/>
      <w:lvlText w:val="•"/>
      <w:pPr>
        <w:ind w:left="4790"/>
      </w:pPr>
      <w:rPr>
        <w:rFonts w:cs="Cambria" w:hAnsi="Cambria" w:eastAsia="Cambria" w:ascii="Cambria"/>
        <w:b w:val="0"/>
        <w:i w:val="0"/>
        <w:strike w:val="0"/>
        <w:dstrike w:val="0"/>
        <w:color w:val="000000"/>
        <w:sz w:val="18"/>
        <w:szCs w:val="18"/>
        <w:u w:val="none" w:color="000000"/>
        <w:bdr w:val="none"/>
        <w:shd w:val="clear"/>
        <w:vertAlign w:val="baseline"/>
      </w:rPr>
    </w:lvl>
    <w:lvl w:ilvl="7">
      <w:start w:val="1"/>
      <w:numFmt w:val="bullet"/>
      <w:lvlText w:val="o"/>
      <w:pPr>
        <w:ind w:left="5510"/>
      </w:pPr>
      <w:rPr>
        <w:rFonts w:cs="Cambria" w:hAnsi="Cambria" w:eastAsia="Cambria" w:ascii="Cambria"/>
        <w:b w:val="0"/>
        <w:i w:val="0"/>
        <w:strike w:val="0"/>
        <w:dstrike w:val="0"/>
        <w:color w:val="000000"/>
        <w:sz w:val="18"/>
        <w:szCs w:val="18"/>
        <w:u w:val="none" w:color="000000"/>
        <w:bdr w:val="none"/>
        <w:shd w:val="clear"/>
        <w:vertAlign w:val="baseline"/>
      </w:rPr>
    </w:lvl>
    <w:lvl w:ilvl="8">
      <w:start w:val="1"/>
      <w:numFmt w:val="bullet"/>
      <w:lvlText w:val="▪"/>
      <w:pPr>
        <w:ind w:left="6230"/>
      </w:pPr>
      <w:rPr>
        <w:rFonts w:cs="Cambria" w:hAnsi="Cambria" w:eastAsia="Cambria" w:ascii="Cambria"/>
        <w:b w:val="0"/>
        <w:i w:val="0"/>
        <w:strike w:val="0"/>
        <w:dstrike w:val="0"/>
        <w:color w:val="000000"/>
        <w:sz w:val="18"/>
        <w:szCs w:val="18"/>
        <w:u w:val="none" w:color="000000"/>
        <w:bdr w:val="none"/>
        <w:shd w:val="clear"/>
        <w:vertAlign w:val="baseline"/>
      </w:rPr>
    </w:lvl>
  </w:abstractNum>
  <w:abstractNum w:abstractNumId="36">
    <w:multiLevelType w:val="hybridMultilevel"/>
    <w:lvl w:ilvl="0">
      <w:start w:val="1"/>
      <w:numFmt w:val="bullet"/>
      <w:lvlText w:val="-"/>
      <w:pPr>
        <w:ind w:left="72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7">
    <w:multiLevelType w:val="hybridMultilevel"/>
    <w:lvl w:ilvl="0">
      <w:start w:val="1"/>
      <w:numFmt w:val="bullet"/>
      <w:lvlText w:val="-"/>
      <w:pPr>
        <w:ind w:left="83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8">
    <w:multiLevelType w:val="hybridMultilevel"/>
    <w:lvl w:ilvl="0">
      <w:start w:val="1"/>
      <w:numFmt w:val="bullet"/>
      <w:lvlText w:val="-"/>
      <w:pPr>
        <w:ind w:left="830"/>
      </w:pPr>
      <w:rPr>
        <w:rFonts w:cs="Arial" w:hAnsi="Arial" w:eastAsia="Arial" w:ascii="Arial"/>
        <w:b w:val="0"/>
        <w:i w:val="0"/>
        <w:strike w:val="0"/>
        <w:dstrike w:val="0"/>
        <w:color w:val="000000"/>
        <w:sz w:val="18"/>
        <w:szCs w:val="18"/>
        <w:u w:val="none" w:color="000000"/>
        <w:bdr w:val="none"/>
        <w:shd w:val="clear"/>
        <w:vertAlign w:val="baseline"/>
      </w:rPr>
    </w:lvl>
    <w:lvl w:ilvl="1">
      <w:start w:val="1"/>
      <w:numFmt w:val="bullet"/>
      <w:lvlText w:val="o"/>
      <w:pPr>
        <w:ind w:left="1550"/>
      </w:pPr>
      <w:rPr>
        <w:rFonts w:cs="Arial" w:hAnsi="Arial" w:eastAsia="Arial" w:ascii="Arial"/>
        <w:b w:val="0"/>
        <w:i w:val="0"/>
        <w:strike w:val="0"/>
        <w:dstrike w:val="0"/>
        <w:color w:val="000000"/>
        <w:sz w:val="18"/>
        <w:szCs w:val="18"/>
        <w:u w:val="none" w:color="000000"/>
        <w:bdr w:val="none"/>
        <w:shd w:val="clear"/>
        <w:vertAlign w:val="baseline"/>
      </w:rPr>
    </w:lvl>
    <w:lvl w:ilvl="2">
      <w:start w:val="1"/>
      <w:numFmt w:val="bullet"/>
      <w:lvlText w:val="▪"/>
      <w:pPr>
        <w:ind w:left="2270"/>
      </w:pPr>
      <w:rPr>
        <w:rFonts w:cs="Arial" w:hAnsi="Arial" w:eastAsia="Arial" w:ascii="Arial"/>
        <w:b w:val="0"/>
        <w:i w:val="0"/>
        <w:strike w:val="0"/>
        <w:dstrike w:val="0"/>
        <w:color w:val="000000"/>
        <w:sz w:val="18"/>
        <w:szCs w:val="18"/>
        <w:u w:val="none" w:color="000000"/>
        <w:bdr w:val="none"/>
        <w:shd w:val="clear"/>
        <w:vertAlign w:val="baseline"/>
      </w:rPr>
    </w:lvl>
    <w:lvl w:ilvl="3">
      <w:start w:val="1"/>
      <w:numFmt w:val="bullet"/>
      <w:lvlText w:val="•"/>
      <w:pPr>
        <w:ind w:left="2990"/>
      </w:pPr>
      <w:rPr>
        <w:rFonts w:cs="Arial" w:hAnsi="Arial" w:eastAsia="Arial" w:ascii="Arial"/>
        <w:b w:val="0"/>
        <w:i w:val="0"/>
        <w:strike w:val="0"/>
        <w:dstrike w:val="0"/>
        <w:color w:val="000000"/>
        <w:sz w:val="18"/>
        <w:szCs w:val="18"/>
        <w:u w:val="none" w:color="000000"/>
        <w:bdr w:val="none"/>
        <w:shd w:val="clear"/>
        <w:vertAlign w:val="baseline"/>
      </w:rPr>
    </w:lvl>
    <w:lvl w:ilvl="4">
      <w:start w:val="1"/>
      <w:numFmt w:val="bullet"/>
      <w:lvlText w:val="o"/>
      <w:pPr>
        <w:ind w:left="3710"/>
      </w:pPr>
      <w:rPr>
        <w:rFonts w:cs="Arial" w:hAnsi="Arial" w:eastAsia="Arial" w:ascii="Arial"/>
        <w:b w:val="0"/>
        <w:i w:val="0"/>
        <w:strike w:val="0"/>
        <w:dstrike w:val="0"/>
        <w:color w:val="000000"/>
        <w:sz w:val="18"/>
        <w:szCs w:val="18"/>
        <w:u w:val="none" w:color="000000"/>
        <w:bdr w:val="none"/>
        <w:shd w:val="clear"/>
        <w:vertAlign w:val="baseline"/>
      </w:rPr>
    </w:lvl>
    <w:lvl w:ilvl="5">
      <w:start w:val="1"/>
      <w:numFmt w:val="bullet"/>
      <w:lvlText w:val="▪"/>
      <w:pPr>
        <w:ind w:left="4430"/>
      </w:pPr>
      <w:rPr>
        <w:rFonts w:cs="Arial" w:hAnsi="Arial" w:eastAsia="Arial" w:ascii="Arial"/>
        <w:b w:val="0"/>
        <w:i w:val="0"/>
        <w:strike w:val="0"/>
        <w:dstrike w:val="0"/>
        <w:color w:val="000000"/>
        <w:sz w:val="18"/>
        <w:szCs w:val="18"/>
        <w:u w:val="none" w:color="000000"/>
        <w:bdr w:val="none"/>
        <w:shd w:val="clear"/>
        <w:vertAlign w:val="baseline"/>
      </w:rPr>
    </w:lvl>
    <w:lvl w:ilvl="6">
      <w:start w:val="1"/>
      <w:numFmt w:val="bullet"/>
      <w:lvlText w:val="•"/>
      <w:pPr>
        <w:ind w:left="5150"/>
      </w:pPr>
      <w:rPr>
        <w:rFonts w:cs="Arial" w:hAnsi="Arial" w:eastAsia="Arial" w:ascii="Arial"/>
        <w:b w:val="0"/>
        <w:i w:val="0"/>
        <w:strike w:val="0"/>
        <w:dstrike w:val="0"/>
        <w:color w:val="000000"/>
        <w:sz w:val="18"/>
        <w:szCs w:val="18"/>
        <w:u w:val="none" w:color="000000"/>
        <w:bdr w:val="none"/>
        <w:shd w:val="clear"/>
        <w:vertAlign w:val="baseline"/>
      </w:rPr>
    </w:lvl>
    <w:lvl w:ilvl="7">
      <w:start w:val="1"/>
      <w:numFmt w:val="bullet"/>
      <w:lvlText w:val="o"/>
      <w:pPr>
        <w:ind w:left="5870"/>
      </w:pPr>
      <w:rPr>
        <w:rFonts w:cs="Arial" w:hAnsi="Arial" w:eastAsia="Arial" w:ascii="Arial"/>
        <w:b w:val="0"/>
        <w:i w:val="0"/>
        <w:strike w:val="0"/>
        <w:dstrike w:val="0"/>
        <w:color w:val="000000"/>
        <w:sz w:val="18"/>
        <w:szCs w:val="18"/>
        <w:u w:val="none" w:color="000000"/>
        <w:bdr w:val="none"/>
        <w:shd w:val="clear"/>
        <w:vertAlign w:val="baseline"/>
      </w:rPr>
    </w:lvl>
    <w:lvl w:ilvl="8">
      <w:start w:val="1"/>
      <w:numFmt w:val="bullet"/>
      <w:lvlText w:val="▪"/>
      <w:pPr>
        <w:ind w:left="6590"/>
      </w:pPr>
      <w:rPr>
        <w:rFonts w:cs="Arial" w:hAnsi="Arial" w:eastAsia="Arial" w:ascii="Arial"/>
        <w:b w:val="0"/>
        <w:i w:val="0"/>
        <w:strike w:val="0"/>
        <w:dstrike w:val="0"/>
        <w:color w:val="000000"/>
        <w:sz w:val="18"/>
        <w:szCs w:val="18"/>
        <w:u w:val="none" w:color="000000"/>
        <w:bdr w:val="none"/>
        <w:shd w:val="clear"/>
        <w:vertAlign w:val="baseline"/>
      </w:rPr>
    </w:lvl>
  </w:abstractNum>
  <w:abstractNum w:abstractNumId="39">
    <w:multiLevelType w:val="hybridMultilevel"/>
    <w:lvl w:ilvl="0">
      <w:start w:val="1"/>
      <w:numFmt w:val="bullet"/>
      <w:lvlText w:val="-"/>
      <w:pPr>
        <w:ind w:left="361"/>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0">
    <w:multiLevelType w:val="hybridMultilevel"/>
    <w:lvl w:ilvl="0">
      <w:start w:val="1"/>
      <w:numFmt w:val="bullet"/>
      <w:lvlText w:val="-"/>
      <w:pPr>
        <w:ind w:left="361"/>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1">
    <w:multiLevelType w:val="hybridMultilevel"/>
    <w:lvl w:ilvl="0">
      <w:start w:val="1"/>
      <w:numFmt w:val="bullet"/>
      <w:lvlText w:val="-"/>
      <w:pPr>
        <w:ind w:left="423"/>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325"/>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045"/>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65"/>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85"/>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205"/>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925"/>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645"/>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65"/>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2">
    <w:multiLevelType w:val="hybridMultilevel"/>
    <w:lvl w:ilvl="0">
      <w:start w:val="1"/>
      <w:numFmt w:val="bullet"/>
      <w:lvlText w:val="-"/>
      <w:pPr>
        <w:ind w:left="356"/>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58"/>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78"/>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698"/>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18"/>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38"/>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58"/>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78"/>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298"/>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3">
    <w:multiLevelType w:val="hybridMultilevel"/>
    <w:lvl w:ilvl="0">
      <w:start w:val="1"/>
      <w:numFmt w:val="bullet"/>
      <w:lvlText w:val="-"/>
      <w:pPr>
        <w:ind w:left="394"/>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301"/>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021"/>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41"/>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61"/>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81"/>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901"/>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621"/>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41"/>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4">
    <w:multiLevelType w:val="hybridMultilevel"/>
    <w:lvl w:ilvl="0">
      <w:start w:val="1"/>
      <w:numFmt w:val="bullet"/>
      <w:lvlText w:val="-"/>
      <w:pPr>
        <w:ind w:left="341"/>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43"/>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63"/>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683"/>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03"/>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23"/>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43"/>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63"/>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283"/>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5">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6">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7">
    <w:multiLevelType w:val="hybridMultilevel"/>
    <w:lvl w:ilvl="0">
      <w:start w:val="1"/>
      <w:numFmt w:val="bullet"/>
      <w:lvlText w:val="-"/>
      <w:pPr>
        <w:ind w:left="254"/>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58"/>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78"/>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698"/>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18"/>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38"/>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58"/>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78"/>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298"/>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8">
    <w:multiLevelType w:val="hybridMultilevel"/>
    <w:lvl w:ilvl="0">
      <w:start w:val="1"/>
      <w:numFmt w:val="bullet"/>
      <w:lvlText w:val="-"/>
      <w:pPr>
        <w:ind w:left="298"/>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85"/>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2005"/>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25"/>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45"/>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65"/>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85"/>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605"/>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25"/>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49">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50">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51">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52">
    <w:multiLevelType w:val="hybridMultilevel"/>
    <w:lvl w:ilvl="0">
      <w:start w:val="1"/>
      <w:numFmt w:val="bullet"/>
      <w:lvlText w:val="-"/>
      <w:pPr>
        <w:ind w:left="254"/>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58"/>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78"/>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698"/>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18"/>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38"/>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58"/>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78"/>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298"/>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53">
    <w:multiLevelType w:val="hybridMultilevel"/>
    <w:lvl w:ilvl="0">
      <w:start w:val="1"/>
      <w:numFmt w:val="bullet"/>
      <w:lvlText w:val="-"/>
      <w:pPr>
        <w:ind w:left="259"/>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262"/>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982"/>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702"/>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422"/>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142"/>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862"/>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582"/>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302"/>
      </w:pPr>
      <w:rPr>
        <w:rFonts w:cs="Arial" w:hAnsi="Arial" w:eastAsia="Arial" w:ascii="Arial"/>
        <w:b w:val="0"/>
        <w:i w:val="0"/>
        <w:strike w:val="0"/>
        <w:dstrike w:val="0"/>
        <w:color w:val="000000"/>
        <w:sz w:val="22"/>
        <w:szCs w:val="22"/>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68" w:lineRule="auto"/>
      <w:ind w:left="10" w:right="3" w:hanging="10"/>
      <w:jc w:val="both"/>
    </w:pPr>
    <w:rPr>
      <w:rFonts w:cs="Cambria" w:hAnsi="Cambria" w:eastAsia="Cambria" w:ascii="Cambria"/>
      <w:color w:val="000000"/>
      <w:sz w:val="24"/>
    </w:rPr>
  </w:style>
  <w:style w:type="paragraph" w:styleId="heading3">
    <w:name w:val="Heading 3"/>
    <w:next w:val="normal"/>
    <w:link w:val="heading3Char"/>
    <w:uiPriority w:val="9"/>
    <w:unhideWhenUsed/>
    <w:qFormat/>
    <w:pPr>
      <w:keepNext/>
      <w:keepLines/>
      <w:bidi w:val="0"/>
      <w:spacing w:before="0" w:after="0" w:line="259" w:lineRule="auto"/>
      <w:ind w:left="10" w:right="0" w:hanging="10"/>
      <w:jc w:val="left"/>
      <w:outlineLvl w:val="2"/>
    </w:pPr>
    <w:rPr>
      <w:rFonts w:cs="Cambria" w:hAnsi="Cambria" w:eastAsia="Cambria" w:ascii="Cambria"/>
      <w:b w:val="1"/>
      <w:color w:val="244061"/>
      <w:sz w:val="24"/>
    </w:rPr>
  </w:style>
  <w:style w:type="character" w:styleId="heading3Char">
    <w:name w:val="Heading 3 Char"/>
    <w:link w:val="heading3"/>
    <w:rPr>
      <w:rFonts w:cs="Cambria" w:hAnsi="Cambria" w:eastAsia="Cambria" w:ascii="Cambria"/>
      <w:b w:val="1"/>
      <w:color w:val="244061"/>
      <w:sz w:val="24"/>
    </w:rPr>
  </w:style>
  <w:style w:type="paragraph" w:styleId="footnote description">
    <w:name w:val="footnote description"/>
    <w:next w:val="normal"/>
    <w:link w:val="footnote descriptionChar"/>
    <w:hidden/>
    <w:pPr>
      <w:bidi w:val="0"/>
      <w:spacing w:before="0" w:after="0" w:line="259" w:lineRule="auto"/>
      <w:ind w:left="0" w:right="0" w:firstLine="0"/>
      <w:jc w:val="left"/>
    </w:pPr>
    <w:rPr>
      <w:rFonts w:cs="Cambria" w:hAnsi="Cambria" w:eastAsia="Cambria" w:ascii="Cambria"/>
      <w:color w:val="000000"/>
      <w:sz w:val="18"/>
    </w:rPr>
  </w:style>
  <w:style w:type="character" w:styleId="footnote descriptionChar">
    <w:name w:val="footnote description Char"/>
    <w:link w:val="footnote description"/>
    <w:rPr>
      <w:rFonts w:cs="Cambria" w:hAnsi="Cambria" w:eastAsia="Cambria" w:ascii="Cambria"/>
      <w:color w:val="000000"/>
      <w:sz w:val="18"/>
    </w:rPr>
  </w:style>
  <w:style w:type="paragraph" w:styleId="heading1">
    <w:name w:val="Heading 1"/>
    <w:next w:val="normal"/>
    <w:link w:val="heading1Char"/>
    <w:uiPriority w:val="9"/>
    <w:unhideWhenUsed/>
    <w:qFormat/>
    <w:pPr>
      <w:keepNext/>
      <w:keepLines/>
      <w:bidi w:val="0"/>
      <w:spacing w:before="0" w:after="0" w:line="259" w:lineRule="auto"/>
      <w:ind w:left="10" w:right="0" w:hanging="10"/>
      <w:jc w:val="left"/>
      <w:outlineLvl w:val="0"/>
    </w:pPr>
    <w:rPr>
      <w:rFonts w:cs="Cambria" w:hAnsi="Cambria" w:eastAsia="Cambria" w:ascii="Cambria"/>
      <w:b w:val="1"/>
      <w:color w:val="365f91"/>
      <w:sz w:val="32"/>
    </w:rPr>
  </w:style>
  <w:style w:type="character" w:styleId="heading1Char">
    <w:name w:val="Heading 1 Char"/>
    <w:link w:val="heading1"/>
    <w:rPr>
      <w:rFonts w:cs="Cambria" w:hAnsi="Cambria" w:eastAsia="Cambria" w:ascii="Cambria"/>
      <w:b w:val="1"/>
      <w:color w:val="365f91"/>
      <w:sz w:val="32"/>
    </w:rPr>
  </w:style>
  <w:style w:type="paragraph" w:styleId="heading2">
    <w:name w:val="Heading 2"/>
    <w:next w:val="normal"/>
    <w:link w:val="heading2Char"/>
    <w:uiPriority w:val="9"/>
    <w:unhideWhenUsed/>
    <w:qFormat/>
    <w:pPr>
      <w:keepNext/>
      <w:keepLines/>
      <w:bidi w:val="0"/>
      <w:spacing w:before="0" w:after="16" w:line="259" w:lineRule="auto"/>
      <w:ind w:left="10" w:right="0" w:hanging="10"/>
      <w:jc w:val="left"/>
      <w:outlineLvl w:val="1"/>
    </w:pPr>
    <w:rPr>
      <w:rFonts w:cs="Cambria" w:hAnsi="Cambria" w:eastAsia="Cambria" w:ascii="Cambria"/>
      <w:b w:val="1"/>
      <w:color w:val="1f497d"/>
      <w:sz w:val="24"/>
    </w:rPr>
  </w:style>
  <w:style w:type="character" w:styleId="heading2Char">
    <w:name w:val="Heading 2 Char"/>
    <w:link w:val="heading2"/>
    <w:rPr>
      <w:rFonts w:cs="Cambria" w:hAnsi="Cambria" w:eastAsia="Cambria" w:ascii="Cambria"/>
      <w:b w:val="1"/>
      <w:color w:val="1f497d"/>
      <w:sz w:val="24"/>
    </w:rPr>
  </w:style>
  <w:style w:type="paragraph" w:styleId="TOC1">
    <w:name w:val="toc 1"/>
    <w:hidden/>
    <w:pPr>
      <w:bidi w:val="0"/>
      <w:spacing w:before="0" w:after="136" w:line="248" w:lineRule="auto"/>
      <w:ind w:left="25" w:right="23" w:hanging="10"/>
      <w:jc w:val="both"/>
    </w:pPr>
    <w:rPr>
      <w:rFonts w:cs="Cambria" w:hAnsi="Cambria" w:eastAsia="Cambria" w:ascii="Cambria"/>
      <w:color w:val="000000"/>
      <w:sz w:val="22"/>
    </w:rPr>
  </w:style>
  <w:style w:type="paragraph" w:styleId="TOC2">
    <w:name w:val="toc 2"/>
    <w:hidden/>
    <w:pPr>
      <w:bidi w:val="0"/>
      <w:spacing w:before="0" w:after="136" w:line="248" w:lineRule="auto"/>
      <w:ind w:left="116" w:right="23" w:hanging="10"/>
      <w:jc w:val="both"/>
    </w:pPr>
    <w:rPr>
      <w:rFonts w:cs="Cambria" w:hAnsi="Cambria" w:eastAsia="Cambria" w:ascii="Cambria"/>
      <w:color w:val="000000"/>
      <w:sz w:val="22"/>
    </w:rPr>
  </w:style>
  <w:style w:type="paragraph" w:styleId="TOC3">
    <w:name w:val="toc 3"/>
    <w:hidden/>
    <w:pPr>
      <w:bidi w:val="0"/>
      <w:spacing w:before="0" w:after="123" w:line="259" w:lineRule="auto"/>
      <w:ind w:left="452" w:right="532" w:hanging="10"/>
      <w:jc w:val="right"/>
    </w:pPr>
    <w:rPr>
      <w:rFonts w:cs="Cambria" w:hAnsi="Cambria" w:eastAsia="Cambria" w:ascii="Cambria"/>
      <w:color w:val="000000"/>
      <w:sz w:val="22"/>
    </w:rPr>
  </w:style>
  <w:style w:type="character" w:styleId="footnote mark">
    <w:name w:val="footnote mark"/>
    <w:hidden/>
    <w:rPr>
      <w:rFonts w:cs="Cambria" w:hAnsi="Cambria" w:eastAsia="Cambria" w:ascii="Cambria"/>
      <w:color w:val="000000"/>
      <w:sz w:val="18"/>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3" Type="http://schemas.openxmlformats.org/officeDocument/2006/relationships/footer" Target="footer3.xml"/><Relationship Id="rsFootnotesId" Type="http://schemas.openxmlformats.org/officeDocument/2006/relationships/footnotes" Target="footnotes.xml"/><Relationship Id="rsSettingsId" Type="http://schemas.openxmlformats.org/officeDocument/2006/relationships/settings" Target="settings.xml"/><Relationship Id="rId76" Type="http://schemas.openxmlformats.org/officeDocument/2006/relationships/image" Target="media/image1026.jpg"/><Relationship Id="rId84" Type="http://schemas.openxmlformats.org/officeDocument/2006/relationships/customXml" Target="../customXml/item2.xml"/><Relationship Id="rId12" Type="http://schemas.openxmlformats.org/officeDocument/2006/relationships/footer" Target="footer12.xml"/><Relationship Id="rId7" Type="http://schemas.openxmlformats.org/officeDocument/2006/relationships/footer" Target="footer7.xml"/><Relationship Id="rId71" Type="http://schemas.openxmlformats.org/officeDocument/2006/relationships/image" Target="media/image1034.png"/><Relationship Id="rId2" Type="http://schemas.openxmlformats.org/officeDocument/2006/relationships/footer" Target="footer2.xml"/><Relationship Id="rId75" Type="http://schemas.openxmlformats.org/officeDocument/2006/relationships/image" Target="media/image1038.png"/><Relationship Id="rId70" Type="http://schemas.openxmlformats.org/officeDocument/2006/relationships/image" Target="media/image1033.png"/><Relationship Id="rId83" Type="http://schemas.openxmlformats.org/officeDocument/2006/relationships/customXml" Target="../customXml/item1.xml"/><Relationship Id="rId74" Type="http://schemas.openxmlformats.org/officeDocument/2006/relationships/image" Target="media/image1037.png"/><Relationship Id="rId6" Type="http://schemas.openxmlformats.org/officeDocument/2006/relationships/footer" Target="footer6.xml"/><Relationship Id="rId1" Type="http://schemas.openxmlformats.org/officeDocument/2006/relationships/footer" Target="footer1.xml"/><Relationship Id="rId11" Type="http://schemas.openxmlformats.org/officeDocument/2006/relationships/footer" Target="footer11.xml"/><Relationship Id="rId79" Type="http://schemas.openxmlformats.org/officeDocument/2006/relationships/image" Target="media/image1041.png"/><Relationship Id="rId87" Type="http://schemas.openxmlformats.org/officeDocument/2006/relationships/customXml" Target="../customXml/item5.xml"/><Relationship Id="rId5" Type="http://schemas.openxmlformats.org/officeDocument/2006/relationships/footer" Target="footer5.xml"/><Relationship Id="rId82" Type="http://schemas.openxmlformats.org/officeDocument/2006/relationships/image" Target="media/image1031.jpg"/><Relationship Id="rId73" Type="http://schemas.openxmlformats.org/officeDocument/2006/relationships/image" Target="media/image1036.png"/><Relationship Id="rId81" Type="http://schemas.openxmlformats.org/officeDocument/2006/relationships/image" Target="media/image1043.png"/><Relationship Id="rId10" Type="http://schemas.openxmlformats.org/officeDocument/2006/relationships/footer" Target="footer10.xml"/><Relationship Id="rId78" Type="http://schemas.openxmlformats.org/officeDocument/2006/relationships/image" Target="media/image1040.png"/><Relationship Id="rsNumberingId" Type="http://schemas.openxmlformats.org/officeDocument/2006/relationships/numbering" Target="numbering.xml"/><Relationship Id="rsStylesId" Type="http://schemas.openxmlformats.org/officeDocument/2006/relationships/styles" Target="styles.xml"/><Relationship Id="rId86" Type="http://schemas.openxmlformats.org/officeDocument/2006/relationships/customXml" Target="../customXml/item4.xml"/><Relationship Id="rId4" Type="http://schemas.openxmlformats.org/officeDocument/2006/relationships/footer" Target="footer4.xml"/><Relationship Id="rId69" Type="http://schemas.openxmlformats.org/officeDocument/2006/relationships/image" Target="media/image1032.png"/><Relationship Id="rId77" Type="http://schemas.openxmlformats.org/officeDocument/2006/relationships/image" Target="media/image1039.png"/><Relationship Id="rId9" Type="http://schemas.openxmlformats.org/officeDocument/2006/relationships/footer" Target="footer9.xml"/><Relationship Id="rId72" Type="http://schemas.openxmlformats.org/officeDocument/2006/relationships/image" Target="media/image1035.png"/><Relationship Id="rId80" Type="http://schemas.openxmlformats.org/officeDocument/2006/relationships/image" Target="media/image1042.png"/><Relationship Id="rId8" Type="http://schemas.openxmlformats.org/officeDocument/2006/relationships/footer" Target="footer8.xml"/><Relationship Id="rId85" Type="http://schemas.openxmlformats.org/officeDocument/2006/relationships/customXml" Target="../customXml/item3.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2015-06-23T08:00:00+00:00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1683</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UGA</TermName>
          <TermId xmlns="http://schemas.microsoft.com/office/infopath/2007/PartnerControls">59b5413b-885f-4ce2-80bf-69c9b570288d</TermId>
        </TermInfo>
      </Terms>
    </gc6531b704974d528487414686b72f6f>
    <_dlc_DocId xmlns="f1161f5b-24a3-4c2d-bc81-44cb9325e8ee">ATLASPDC-4-33767</_dlc_DocId>
    <_dlc_DocIdUrl xmlns="f1161f5b-24a3-4c2d-bc81-44cb9325e8ee">
      <Url>https://info.undp.org/docs/pdc/_layouts/DocIdRedir.aspx?ID=ATLASPDC-4-33767</Url>
      <Description>ATLASPDC-4-33767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A6A4B9-B106-4C15-B8D6-2F98C5B0752D}"/>
</file>

<file path=customXml/itemProps2.xml><?xml version="1.0" encoding="utf-8"?>
<ds:datastoreItem xmlns:ds="http://schemas.openxmlformats.org/officeDocument/2006/customXml" ds:itemID="{5E94EEA1-8B13-4714-B034-B05721216C17}"/>
</file>

<file path=customXml/itemProps3.xml><?xml version="1.0" encoding="utf-8"?>
<ds:datastoreItem xmlns:ds="http://schemas.openxmlformats.org/officeDocument/2006/customXml" ds:itemID="{4F998634-827D-406D-9397-AF07E5859AC9}"/>
</file>

<file path=customXml/itemProps4.xml><?xml version="1.0" encoding="utf-8"?>
<ds:datastoreItem xmlns:ds="http://schemas.openxmlformats.org/officeDocument/2006/customXml" ds:itemID="{7CFDF289-CE4B-4D00-83D4-6E9740067A0D}"/>
</file>

<file path=customXml/itemProps5.xml><?xml version="1.0" encoding="utf-8"?>
<ds:datastoreItem xmlns:ds="http://schemas.openxmlformats.org/officeDocument/2006/customXml" ds:itemID="{43CCABA4-0D72-44E0-85D5-D67BECB40C8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terms:created xsi:type="dcterms:W3CDTF">2015-06-23T08:08:15Z</dcterms:created>
  <dcterms:modified xsi:type="dcterms:W3CDTF">2015-06-23T08:08:15Z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1683;#UGA|59b5413b-885f-4ce2-80bf-69c9b570288d</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c2929432-6bde-4c8e-ab5c-c30a48424909</vt:lpwstr>
  </property>
  <property fmtid="{D5CDD505-2E9C-101B-9397-08002B2CF9AE}" pid="18" name="URL">
    <vt:lpwstr/>
  </property>
  <property fmtid="{D5CDD505-2E9C-101B-9397-08002B2CF9AE}" pid="19" name="DocumentSetDescription">
    <vt:lpwstr/>
  </property>
</Properties>
</file>