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bookmarkStart w:id="1" w:name="_GoBack"/>
      <w:bookmarkEnd w:id="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5A4CDD" w:rsidRPr="00450804" w14:paraId="0F203C0F" w14:textId="77777777" w:rsidTr="00C74F76">
        <w:trPr>
          <w:trHeight w:val="288"/>
        </w:trPr>
        <w:tc>
          <w:tcPr>
            <w:tcW w:w="3325" w:type="dxa"/>
            <w:vAlign w:val="center"/>
          </w:tcPr>
          <w:p w14:paraId="08E0AF94" w14:textId="77777777" w:rsidR="005A4CDD" w:rsidRPr="00450804" w:rsidRDefault="005A4CDD" w:rsidP="005A4CDD">
            <w:pPr>
              <w:pStyle w:val="ListParagraph"/>
              <w:numPr>
                <w:ilvl w:val="0"/>
                <w:numId w:val="14"/>
              </w:numPr>
              <w:ind w:left="360"/>
              <w:rPr>
                <w:sz w:val="18"/>
                <w:szCs w:val="18"/>
              </w:rPr>
            </w:pPr>
            <w:r w:rsidRPr="00450804">
              <w:rPr>
                <w:sz w:val="18"/>
                <w:szCs w:val="18"/>
              </w:rPr>
              <w:t xml:space="preserve">Project </w:t>
            </w:r>
            <w:r>
              <w:rPr>
                <w:sz w:val="18"/>
                <w:szCs w:val="18"/>
              </w:rPr>
              <w:t>Title</w:t>
            </w:r>
          </w:p>
        </w:tc>
        <w:tc>
          <w:tcPr>
            <w:tcW w:w="9923" w:type="dxa"/>
          </w:tcPr>
          <w:p w14:paraId="2EBC76A4" w14:textId="71AC3033" w:rsidR="005A4CDD" w:rsidRPr="00450804" w:rsidRDefault="005A4CDD" w:rsidP="005A4CDD">
            <w:pPr>
              <w:rPr>
                <w:sz w:val="18"/>
                <w:szCs w:val="18"/>
              </w:rPr>
            </w:pPr>
            <w:r w:rsidRPr="007E4D3B">
              <w:rPr>
                <w:rFonts w:ascii="Calibri" w:hAnsi="Calibri"/>
                <w:b/>
                <w:color w:val="1F3864"/>
              </w:rPr>
              <w:t>A malaria free Vanuatu, contributing to the good health and well-being of the population</w:t>
            </w:r>
          </w:p>
        </w:tc>
      </w:tr>
      <w:tr w:rsidR="005A4CDD" w:rsidRPr="00450804" w14:paraId="65CF131F" w14:textId="77777777" w:rsidTr="00C74F76">
        <w:trPr>
          <w:trHeight w:val="288"/>
        </w:trPr>
        <w:tc>
          <w:tcPr>
            <w:tcW w:w="3325" w:type="dxa"/>
            <w:vAlign w:val="center"/>
          </w:tcPr>
          <w:p w14:paraId="62ACD40E" w14:textId="77777777" w:rsidR="005A4CDD" w:rsidRPr="00450804" w:rsidRDefault="005A4CDD" w:rsidP="005A4CDD">
            <w:pPr>
              <w:pStyle w:val="ListParagraph"/>
              <w:numPr>
                <w:ilvl w:val="0"/>
                <w:numId w:val="14"/>
              </w:numPr>
              <w:ind w:left="360"/>
              <w:rPr>
                <w:sz w:val="18"/>
                <w:szCs w:val="18"/>
              </w:rPr>
            </w:pPr>
            <w:r w:rsidRPr="00450804">
              <w:rPr>
                <w:sz w:val="18"/>
                <w:szCs w:val="18"/>
              </w:rPr>
              <w:t>Project Number</w:t>
            </w:r>
          </w:p>
        </w:tc>
        <w:tc>
          <w:tcPr>
            <w:tcW w:w="9923" w:type="dxa"/>
          </w:tcPr>
          <w:p w14:paraId="1B4FF74D" w14:textId="64B19EAA" w:rsidR="005A4CDD" w:rsidRPr="00450804" w:rsidRDefault="00C96749" w:rsidP="005A4CDD">
            <w:pPr>
              <w:rPr>
                <w:sz w:val="18"/>
                <w:szCs w:val="18"/>
              </w:rPr>
            </w:pPr>
            <w:r w:rsidRPr="002C613E">
              <w:rPr>
                <w:rFonts w:ascii="Calibri" w:hAnsi="Calibri"/>
                <w:b/>
                <w:color w:val="1F3864"/>
              </w:rPr>
              <w:t>00130166</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584D42AC" w:rsidR="00DD330A" w:rsidRPr="00450804" w:rsidRDefault="00D603C1" w:rsidP="0084274F">
            <w:pPr>
              <w:rPr>
                <w:sz w:val="18"/>
                <w:szCs w:val="18"/>
              </w:rPr>
            </w:pPr>
            <w:r>
              <w:rPr>
                <w:sz w:val="18"/>
                <w:szCs w:val="18"/>
              </w:rPr>
              <w:t>Vanuatu</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40FDA471" w14:textId="5CE3BDDD" w:rsidR="0047718E" w:rsidRPr="0047718E" w:rsidRDefault="004D6E6F" w:rsidP="00264328">
            <w:pPr>
              <w:pStyle w:val="ListParagraph"/>
              <w:numPr>
                <w:ilvl w:val="0"/>
                <w:numId w:val="21"/>
              </w:numPr>
              <w:ind w:left="360"/>
              <w:jc w:val="both"/>
              <w:rPr>
                <w:sz w:val="19"/>
                <w:szCs w:val="19"/>
              </w:rPr>
            </w:pPr>
            <w:r w:rsidRPr="004D6E6F">
              <w:rPr>
                <w:rFonts w:ascii="Calibri" w:eastAsia="Calibri" w:hAnsi="Calibri" w:cs="Calibri"/>
                <w:color w:val="000000"/>
                <w:sz w:val="19"/>
                <w:szCs w:val="19"/>
              </w:rPr>
              <w:t>The adoption of</w:t>
            </w:r>
            <w:r>
              <w:rPr>
                <w:rFonts w:ascii="Calibri" w:eastAsia="Calibri" w:hAnsi="Calibri" w:cs="Calibri"/>
                <w:color w:val="000000"/>
                <w:sz w:val="19"/>
                <w:szCs w:val="19"/>
              </w:rPr>
              <w:t xml:space="preserve"> a</w:t>
            </w:r>
            <w:r w:rsidRPr="004D6E6F">
              <w:rPr>
                <w:rFonts w:ascii="Calibri" w:eastAsia="Calibri" w:hAnsi="Calibri" w:cs="Calibri"/>
                <w:color w:val="000000"/>
                <w:sz w:val="19"/>
                <w:szCs w:val="19"/>
              </w:rPr>
              <w:t xml:space="preserve"> malaria elimination approach </w:t>
            </w:r>
            <w:r>
              <w:rPr>
                <w:rFonts w:ascii="Calibri" w:eastAsia="Calibri" w:hAnsi="Calibri" w:cs="Calibri"/>
                <w:color w:val="000000"/>
                <w:sz w:val="19"/>
                <w:szCs w:val="19"/>
              </w:rPr>
              <w:t xml:space="preserve">includes the </w:t>
            </w:r>
            <w:r w:rsidRPr="004D6E6F">
              <w:rPr>
                <w:rFonts w:ascii="Calibri" w:eastAsia="Calibri" w:hAnsi="Calibri" w:cs="Calibri"/>
                <w:color w:val="000000"/>
                <w:sz w:val="19"/>
                <w:szCs w:val="19"/>
              </w:rPr>
              <w:t xml:space="preserve">decentralisation of services </w:t>
            </w:r>
            <w:r>
              <w:rPr>
                <w:rFonts w:ascii="Calibri" w:eastAsia="Calibri" w:hAnsi="Calibri" w:cs="Calibri"/>
                <w:color w:val="000000"/>
                <w:sz w:val="19"/>
                <w:szCs w:val="19"/>
              </w:rPr>
              <w:t>away from central areas and facility based</w:t>
            </w:r>
            <w:r w:rsidRPr="004D6E6F">
              <w:rPr>
                <w:rFonts w:ascii="Calibri" w:eastAsia="Calibri" w:hAnsi="Calibri" w:cs="Calibri"/>
                <w:color w:val="000000"/>
                <w:sz w:val="19"/>
                <w:szCs w:val="19"/>
              </w:rPr>
              <w:t xml:space="preserve"> </w:t>
            </w:r>
            <w:r w:rsidR="00264328">
              <w:rPr>
                <w:rFonts w:ascii="Calibri" w:eastAsia="Calibri" w:hAnsi="Calibri" w:cs="Calibri"/>
                <w:color w:val="000000"/>
                <w:sz w:val="19"/>
                <w:szCs w:val="19"/>
              </w:rPr>
              <w:t>service provision. Service provision within</w:t>
            </w:r>
            <w:r w:rsidRPr="004D6E6F">
              <w:rPr>
                <w:rFonts w:ascii="Calibri" w:eastAsia="Calibri" w:hAnsi="Calibri" w:cs="Calibri"/>
                <w:color w:val="000000"/>
                <w:sz w:val="19"/>
                <w:szCs w:val="19"/>
              </w:rPr>
              <w:t xml:space="preserve"> communities </w:t>
            </w:r>
            <w:r w:rsidR="00264328">
              <w:rPr>
                <w:rFonts w:ascii="Calibri" w:eastAsia="Calibri" w:hAnsi="Calibri" w:cs="Calibri"/>
                <w:color w:val="000000"/>
                <w:sz w:val="19"/>
                <w:szCs w:val="19"/>
              </w:rPr>
              <w:t>will</w:t>
            </w:r>
            <w:r w:rsidRPr="004D6E6F">
              <w:rPr>
                <w:rFonts w:ascii="Calibri" w:eastAsia="Calibri" w:hAnsi="Calibri" w:cs="Calibri"/>
                <w:color w:val="000000"/>
                <w:sz w:val="19"/>
                <w:szCs w:val="19"/>
              </w:rPr>
              <w:t xml:space="preserve"> improve access by those in remote</w:t>
            </w:r>
            <w:r w:rsidR="00FD73FE">
              <w:rPr>
                <w:rFonts w:ascii="Calibri" w:eastAsia="Calibri" w:hAnsi="Calibri" w:cs="Calibri"/>
                <w:color w:val="000000"/>
                <w:sz w:val="19"/>
                <w:szCs w:val="19"/>
              </w:rPr>
              <w:t xml:space="preserve"> and coastel</w:t>
            </w:r>
            <w:r w:rsidRPr="004D6E6F">
              <w:rPr>
                <w:rFonts w:ascii="Calibri" w:eastAsia="Calibri" w:hAnsi="Calibri" w:cs="Calibri"/>
                <w:color w:val="000000"/>
                <w:sz w:val="19"/>
                <w:szCs w:val="19"/>
              </w:rPr>
              <w:t xml:space="preserve"> locations</w:t>
            </w:r>
            <w:r w:rsidR="00FD73FE">
              <w:rPr>
                <w:rFonts w:ascii="Calibri" w:eastAsia="Calibri" w:hAnsi="Calibri" w:cs="Calibri"/>
                <w:color w:val="000000"/>
                <w:sz w:val="19"/>
                <w:szCs w:val="19"/>
              </w:rPr>
              <w:t>. Those in coastel locations make around 75% of total population.</w:t>
            </w:r>
            <w:r w:rsidR="0047718E">
              <w:rPr>
                <w:rFonts w:ascii="Calibri" w:eastAsia="Calibri" w:hAnsi="Calibri" w:cs="Calibri"/>
                <w:color w:val="000000"/>
                <w:sz w:val="19"/>
                <w:szCs w:val="19"/>
              </w:rPr>
              <w:t xml:space="preserve"> </w:t>
            </w:r>
            <w:r w:rsidR="005D253D">
              <w:rPr>
                <w:rFonts w:ascii="Calibri" w:eastAsia="Calibri" w:hAnsi="Calibri" w:cs="Calibri"/>
                <w:color w:val="000000"/>
                <w:sz w:val="19"/>
                <w:szCs w:val="19"/>
              </w:rPr>
              <w:t xml:space="preserve">Risk mapping and targeting programming will ensure all vulnerable populations will access required services. </w:t>
            </w:r>
          </w:p>
          <w:p w14:paraId="1889EE94" w14:textId="767BED5A" w:rsidR="00414FBA" w:rsidRPr="00B3442B" w:rsidRDefault="0047718E" w:rsidP="00B3442B">
            <w:pPr>
              <w:pStyle w:val="ListParagraph"/>
              <w:numPr>
                <w:ilvl w:val="0"/>
                <w:numId w:val="21"/>
              </w:numPr>
              <w:ind w:left="360"/>
              <w:jc w:val="both"/>
              <w:rPr>
                <w:sz w:val="19"/>
                <w:szCs w:val="19"/>
              </w:rPr>
            </w:pPr>
            <w:r>
              <w:rPr>
                <w:rFonts w:ascii="Calibri" w:eastAsia="Calibri" w:hAnsi="Calibri" w:cs="Calibri"/>
                <w:color w:val="000000"/>
                <w:sz w:val="19"/>
                <w:szCs w:val="19"/>
              </w:rPr>
              <w:t xml:space="preserve">Key interventions are in place to ensure </w:t>
            </w:r>
            <w:r w:rsidR="004D6E6F" w:rsidRPr="004D6E6F">
              <w:rPr>
                <w:rFonts w:ascii="Calibri" w:eastAsia="Calibri" w:hAnsi="Calibri" w:cs="Calibri"/>
                <w:color w:val="000000"/>
                <w:sz w:val="19"/>
                <w:szCs w:val="19"/>
              </w:rPr>
              <w:t xml:space="preserve">those affected by natural disasters (displaced populations) </w:t>
            </w:r>
            <w:r w:rsidR="002B104E">
              <w:rPr>
                <w:rFonts w:ascii="Calibri" w:eastAsia="Calibri" w:hAnsi="Calibri" w:cs="Calibri"/>
                <w:color w:val="000000"/>
                <w:sz w:val="19"/>
                <w:szCs w:val="19"/>
              </w:rPr>
              <w:t>will receive immediate urgent attention</w:t>
            </w:r>
            <w:r w:rsidR="00BD5DD9">
              <w:rPr>
                <w:rFonts w:ascii="Calibri" w:eastAsia="Calibri" w:hAnsi="Calibri" w:cs="Calibri"/>
                <w:color w:val="000000"/>
                <w:sz w:val="19"/>
                <w:szCs w:val="19"/>
              </w:rPr>
              <w:t xml:space="preserve"> in terms of service delivery as what has been practi</w:t>
            </w:r>
            <w:r w:rsidR="002B104E">
              <w:rPr>
                <w:rFonts w:ascii="Calibri" w:eastAsia="Calibri" w:hAnsi="Calibri" w:cs="Calibri"/>
                <w:color w:val="000000"/>
                <w:sz w:val="19"/>
                <w:szCs w:val="19"/>
              </w:rPr>
              <w:t>c</w:t>
            </w:r>
            <w:r w:rsidR="00BD5DD9">
              <w:rPr>
                <w:rFonts w:ascii="Calibri" w:eastAsia="Calibri" w:hAnsi="Calibri" w:cs="Calibri"/>
                <w:color w:val="000000"/>
                <w:sz w:val="19"/>
                <w:szCs w:val="19"/>
              </w:rPr>
              <w:t xml:space="preserve">ed in 2020 with </w:t>
            </w:r>
            <w:r w:rsidR="002B104E">
              <w:rPr>
                <w:rFonts w:ascii="Calibri" w:eastAsia="Calibri" w:hAnsi="Calibri" w:cs="Calibri"/>
                <w:color w:val="000000"/>
                <w:sz w:val="19"/>
                <w:szCs w:val="19"/>
              </w:rPr>
              <w:t xml:space="preserve">the </w:t>
            </w:r>
            <w:r w:rsidR="00BD5DD9">
              <w:rPr>
                <w:rFonts w:ascii="Calibri" w:eastAsia="Calibri" w:hAnsi="Calibri" w:cs="Calibri"/>
                <w:color w:val="000000"/>
                <w:sz w:val="19"/>
                <w:szCs w:val="19"/>
              </w:rPr>
              <w:t xml:space="preserve">TC Harold response. </w:t>
            </w:r>
            <w:r w:rsidR="00DE0A8A">
              <w:rPr>
                <w:rFonts w:ascii="Calibri" w:eastAsia="Calibri" w:hAnsi="Calibri" w:cs="Calibri"/>
                <w:color w:val="000000"/>
                <w:sz w:val="19"/>
                <w:szCs w:val="19"/>
              </w:rPr>
              <w:t xml:space="preserve">The programme will be utilizing </w:t>
            </w:r>
            <w:r w:rsidR="002B104E">
              <w:rPr>
                <w:rFonts w:ascii="Calibri" w:eastAsia="Calibri" w:hAnsi="Calibri" w:cs="Calibri"/>
                <w:color w:val="000000"/>
                <w:sz w:val="19"/>
                <w:szCs w:val="19"/>
              </w:rPr>
              <w:t xml:space="preserve">LLINs </w:t>
            </w:r>
            <w:r w:rsidR="00DE0A8A">
              <w:rPr>
                <w:rFonts w:ascii="Calibri" w:eastAsia="Calibri" w:hAnsi="Calibri" w:cs="Calibri"/>
                <w:color w:val="000000"/>
                <w:sz w:val="19"/>
                <w:szCs w:val="19"/>
              </w:rPr>
              <w:t xml:space="preserve">stock from the 2018-2020 grant cycle to respond to any </w:t>
            </w:r>
            <w:r w:rsidR="002B104E">
              <w:rPr>
                <w:rFonts w:ascii="Calibri" w:eastAsia="Calibri" w:hAnsi="Calibri" w:cs="Calibri"/>
                <w:color w:val="000000"/>
                <w:sz w:val="19"/>
                <w:szCs w:val="19"/>
              </w:rPr>
              <w:t xml:space="preserve">sudden requests for </w:t>
            </w:r>
            <w:r w:rsidR="00DE0A8A">
              <w:rPr>
                <w:rFonts w:ascii="Calibri" w:eastAsia="Calibri" w:hAnsi="Calibri" w:cs="Calibri"/>
                <w:color w:val="000000"/>
                <w:sz w:val="19"/>
                <w:szCs w:val="19"/>
              </w:rPr>
              <w:t xml:space="preserve">LLINs </w:t>
            </w:r>
            <w:r w:rsidR="00350042">
              <w:rPr>
                <w:rFonts w:ascii="Calibri" w:eastAsia="Calibri" w:hAnsi="Calibri" w:cs="Calibri"/>
                <w:color w:val="000000"/>
                <w:sz w:val="19"/>
                <w:szCs w:val="19"/>
              </w:rPr>
              <w:t>resulting from environment</w:t>
            </w:r>
            <w:r w:rsidR="002B104E">
              <w:rPr>
                <w:rFonts w:ascii="Calibri" w:eastAsia="Calibri" w:hAnsi="Calibri" w:cs="Calibri"/>
                <w:color w:val="000000"/>
                <w:sz w:val="19"/>
                <w:szCs w:val="19"/>
              </w:rPr>
              <w:t xml:space="preserve">al shocks. </w:t>
            </w:r>
            <w:r w:rsidR="005854AC">
              <w:rPr>
                <w:rFonts w:ascii="Calibri" w:eastAsia="Calibri" w:hAnsi="Calibri" w:cs="Calibri"/>
                <w:color w:val="000000"/>
                <w:sz w:val="19"/>
                <w:szCs w:val="19"/>
              </w:rPr>
              <w:t xml:space="preserve">The programme will also be working very closely with the </w:t>
            </w:r>
            <w:r w:rsidR="00DB7405" w:rsidRPr="00DB7405">
              <w:rPr>
                <w:rFonts w:ascii="Calibri" w:eastAsia="Calibri" w:hAnsi="Calibri" w:cs="Calibri"/>
                <w:color w:val="000000"/>
                <w:sz w:val="19"/>
                <w:szCs w:val="19"/>
              </w:rPr>
              <w:t xml:space="preserve">National Disaster Management Office (NDMO) </w:t>
            </w:r>
            <w:r w:rsidR="00630803">
              <w:rPr>
                <w:rFonts w:ascii="Calibri" w:eastAsia="Calibri" w:hAnsi="Calibri" w:cs="Calibri"/>
                <w:color w:val="000000"/>
                <w:sz w:val="19"/>
                <w:szCs w:val="19"/>
              </w:rPr>
              <w:t xml:space="preserve">and </w:t>
            </w:r>
            <w:r w:rsidR="00DB7405" w:rsidRPr="00DB7405">
              <w:rPr>
                <w:rFonts w:ascii="Calibri" w:eastAsia="Calibri" w:hAnsi="Calibri" w:cs="Calibri"/>
                <w:color w:val="000000"/>
                <w:sz w:val="19"/>
                <w:szCs w:val="19"/>
              </w:rPr>
              <w:t xml:space="preserve">Health and Nutrition Cluster to establish plans and mechanisms to support immediate provision of comprehensive malaria and </w:t>
            </w:r>
            <w:r w:rsidR="00630803">
              <w:rPr>
                <w:rFonts w:ascii="Calibri" w:eastAsia="Calibri" w:hAnsi="Calibri" w:cs="Calibri"/>
                <w:color w:val="000000"/>
                <w:sz w:val="19"/>
                <w:szCs w:val="19"/>
              </w:rPr>
              <w:t>vector borne disease</w:t>
            </w:r>
            <w:r w:rsidR="00DB7405" w:rsidRPr="00DB7405">
              <w:rPr>
                <w:rFonts w:ascii="Calibri" w:eastAsia="Calibri" w:hAnsi="Calibri" w:cs="Calibri"/>
                <w:color w:val="000000"/>
                <w:sz w:val="19"/>
                <w:szCs w:val="19"/>
              </w:rPr>
              <w:t xml:space="preserve"> prevention and case management services as part of Vanuatu’s disaster relief package.</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E3745A" w:rsidRPr="00AC33A5" w14:paraId="0606E2F8" w14:textId="77777777" w:rsidTr="0087589A">
        <w:tc>
          <w:tcPr>
            <w:tcW w:w="13248" w:type="dxa"/>
          </w:tcPr>
          <w:p w14:paraId="658A4F08" w14:textId="421A7450" w:rsidR="00653C4D" w:rsidRPr="00653C4D" w:rsidRDefault="008528C2" w:rsidP="00653C4D">
            <w:pPr>
              <w:pStyle w:val="ListParagraph"/>
              <w:numPr>
                <w:ilvl w:val="0"/>
                <w:numId w:val="22"/>
              </w:numPr>
              <w:ind w:left="360"/>
              <w:rPr>
                <w:rFonts w:ascii="Calibri" w:eastAsia="Calibri" w:hAnsi="Calibri" w:cs="Calibri"/>
                <w:color w:val="000000"/>
                <w:sz w:val="19"/>
                <w:szCs w:val="19"/>
              </w:rPr>
            </w:pPr>
            <w:r w:rsidRPr="008528C2">
              <w:rPr>
                <w:rFonts w:ascii="Calibri" w:eastAsia="Calibri" w:hAnsi="Calibri" w:cs="Calibri"/>
                <w:color w:val="000000"/>
                <w:sz w:val="19"/>
                <w:szCs w:val="19"/>
              </w:rPr>
              <w:t>Gender analysis in terms of service acess was considered in the project design. Based on national survey data despite high LLIN coverage, utilisation of LLINs in Vanuatu was unacceptably low (41% amongst pregnant women). The adoption of malaria elimination approach of taking facility based services to the communities will make significant contributions to improving service access by pregnant women.</w:t>
            </w:r>
            <w:r w:rsidR="0044340B">
              <w:rPr>
                <w:rFonts w:ascii="Calibri" w:eastAsia="Calibri" w:hAnsi="Calibri" w:cs="Calibri"/>
                <w:color w:val="000000"/>
                <w:sz w:val="19"/>
                <w:szCs w:val="19"/>
              </w:rPr>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C65BF8" w:rsidRPr="00AC33A5" w14:paraId="72D3C7EA" w14:textId="77777777" w:rsidTr="0087589A">
        <w:tc>
          <w:tcPr>
            <w:tcW w:w="13248" w:type="dxa"/>
          </w:tcPr>
          <w:p w14:paraId="4CD3C25A" w14:textId="74F311D1" w:rsidR="00C65BF8" w:rsidRPr="008C711F" w:rsidRDefault="00196BF9" w:rsidP="008F30F9">
            <w:pPr>
              <w:pStyle w:val="ListParagraph"/>
              <w:numPr>
                <w:ilvl w:val="0"/>
                <w:numId w:val="22"/>
              </w:numPr>
              <w:ind w:left="360"/>
              <w:rPr>
                <w:rFonts w:eastAsia="Times New Roman"/>
                <w:color w:val="595959" w:themeColor="text1" w:themeTint="A6"/>
                <w:sz w:val="18"/>
                <w:szCs w:val="18"/>
              </w:rPr>
            </w:pPr>
            <w:r>
              <w:rPr>
                <w:rFonts w:ascii="Calibri" w:eastAsia="Calibri" w:hAnsi="Calibri" w:cs="Calibri"/>
                <w:color w:val="000000"/>
                <w:sz w:val="19"/>
                <w:szCs w:val="19"/>
              </w:rPr>
              <w:t xml:space="preserve">Key interventions are in place to ensure </w:t>
            </w:r>
            <w:r w:rsidRPr="004D6E6F">
              <w:rPr>
                <w:rFonts w:ascii="Calibri" w:eastAsia="Calibri" w:hAnsi="Calibri" w:cs="Calibri"/>
                <w:color w:val="000000"/>
                <w:sz w:val="19"/>
                <w:szCs w:val="19"/>
              </w:rPr>
              <w:t xml:space="preserve">those affected by natural disasters (displaced populations) </w:t>
            </w:r>
            <w:r>
              <w:rPr>
                <w:rFonts w:ascii="Calibri" w:eastAsia="Calibri" w:hAnsi="Calibri" w:cs="Calibri"/>
                <w:color w:val="000000"/>
                <w:sz w:val="19"/>
                <w:szCs w:val="19"/>
              </w:rPr>
              <w:t xml:space="preserve">will receive immediate urgent attention in terms of service delivery as what has been practiced in 2020 with the TC Harold response. The programme will be utilizing LLINs stock from the 2018-2020 grant cycle to respond to any sudden requests for LLINs resulting from environmental shocks. The programme will also be working very closely with the </w:t>
            </w:r>
            <w:r w:rsidRPr="00DB7405">
              <w:rPr>
                <w:rFonts w:ascii="Calibri" w:eastAsia="Calibri" w:hAnsi="Calibri" w:cs="Calibri"/>
                <w:color w:val="000000"/>
                <w:sz w:val="19"/>
                <w:szCs w:val="19"/>
              </w:rPr>
              <w:t xml:space="preserve">National Disaster Management Office </w:t>
            </w:r>
            <w:r w:rsidRPr="00DB7405">
              <w:rPr>
                <w:rFonts w:ascii="Calibri" w:eastAsia="Calibri" w:hAnsi="Calibri" w:cs="Calibri"/>
                <w:color w:val="000000"/>
                <w:sz w:val="19"/>
                <w:szCs w:val="19"/>
              </w:rPr>
              <w:lastRenderedPageBreak/>
              <w:t xml:space="preserve">(NDMO) </w:t>
            </w:r>
            <w:r>
              <w:rPr>
                <w:rFonts w:ascii="Calibri" w:eastAsia="Calibri" w:hAnsi="Calibri" w:cs="Calibri"/>
                <w:color w:val="000000"/>
                <w:sz w:val="19"/>
                <w:szCs w:val="19"/>
              </w:rPr>
              <w:t xml:space="preserve">and </w:t>
            </w:r>
            <w:r w:rsidRPr="00DB7405">
              <w:rPr>
                <w:rFonts w:ascii="Calibri" w:eastAsia="Calibri" w:hAnsi="Calibri" w:cs="Calibri"/>
                <w:color w:val="000000"/>
                <w:sz w:val="19"/>
                <w:szCs w:val="19"/>
              </w:rPr>
              <w:t xml:space="preserve">Health and Nutrition Cluster to establish plans and mechanisms to support immediate provision of comprehensive malaria and </w:t>
            </w:r>
            <w:r>
              <w:rPr>
                <w:rFonts w:ascii="Calibri" w:eastAsia="Calibri" w:hAnsi="Calibri" w:cs="Calibri"/>
                <w:color w:val="000000"/>
                <w:sz w:val="19"/>
                <w:szCs w:val="19"/>
              </w:rPr>
              <w:t>vector borne disease</w:t>
            </w:r>
            <w:r w:rsidRPr="00DB7405">
              <w:rPr>
                <w:rFonts w:ascii="Calibri" w:eastAsia="Calibri" w:hAnsi="Calibri" w:cs="Calibri"/>
                <w:color w:val="000000"/>
                <w:sz w:val="19"/>
                <w:szCs w:val="19"/>
              </w:rPr>
              <w:t xml:space="preserve"> prevention and case management services as part of Vanuatu’s disaster relief package.</w:t>
            </w:r>
            <w:r w:rsidR="00EA7AF5">
              <w:rPr>
                <w:rFonts w:ascii="Calibri" w:eastAsia="Calibri" w:hAnsi="Calibri" w:cs="Calibri"/>
                <w:color w:val="000000"/>
                <w:sz w:val="19"/>
                <w:szCs w:val="19"/>
              </w:rPr>
              <w:t xml:space="preserve"> </w:t>
            </w:r>
            <w:r w:rsidR="00EA7AF5" w:rsidRPr="00EA7AF5">
              <w:rPr>
                <w:rFonts w:ascii="Calibri" w:eastAsia="Calibri" w:hAnsi="Calibri" w:cs="Calibri"/>
                <w:color w:val="000000"/>
                <w:sz w:val="19"/>
                <w:szCs w:val="19"/>
              </w:rPr>
              <w:t xml:space="preserve">The programme will also </w:t>
            </w:r>
            <w:r w:rsidR="00EA7AF5">
              <w:rPr>
                <w:rFonts w:ascii="Calibri" w:eastAsia="Calibri" w:hAnsi="Calibri" w:cs="Calibri"/>
                <w:color w:val="000000"/>
                <w:sz w:val="19"/>
                <w:szCs w:val="19"/>
              </w:rPr>
              <w:t>s</w:t>
            </w:r>
            <w:r w:rsidR="00EA7AF5" w:rsidRPr="00EA7AF5">
              <w:rPr>
                <w:rFonts w:ascii="Calibri" w:eastAsia="Calibri" w:hAnsi="Calibri" w:cs="Calibri"/>
                <w:color w:val="000000"/>
                <w:sz w:val="19"/>
                <w:szCs w:val="19"/>
              </w:rPr>
              <w:t>upport epidemic preparedness through the development of disaster relief plans specifc for malaria so as to ensure an adequate response to national disasters</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330"/>
        <w:gridCol w:w="1260"/>
        <w:gridCol w:w="1170"/>
        <w:gridCol w:w="2093"/>
        <w:gridCol w:w="1507"/>
        <w:gridCol w:w="3780"/>
      </w:tblGrid>
      <w:tr w:rsidR="00EA61FC" w:rsidRPr="0019385F" w14:paraId="7D2F07FC" w14:textId="77777777" w:rsidTr="00E40EDA">
        <w:trPr>
          <w:trHeight w:val="1061"/>
        </w:trPr>
        <w:tc>
          <w:tcPr>
            <w:tcW w:w="333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603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3780" w:type="dxa"/>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E40EDA">
        <w:tc>
          <w:tcPr>
            <w:tcW w:w="333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26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360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3780" w:type="dxa"/>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E40EDA">
        <w:tc>
          <w:tcPr>
            <w:tcW w:w="3330" w:type="dxa"/>
            <w:vAlign w:val="center"/>
          </w:tcPr>
          <w:p w14:paraId="5C2A8FF4" w14:textId="4559097B" w:rsidR="0099309F" w:rsidRPr="009B4F2C" w:rsidRDefault="00C055DB" w:rsidP="0084274F">
            <w:pPr>
              <w:rPr>
                <w:sz w:val="18"/>
                <w:szCs w:val="18"/>
              </w:rPr>
            </w:pPr>
            <w:r w:rsidRPr="009B4F2C">
              <w:rPr>
                <w:sz w:val="18"/>
                <w:szCs w:val="18"/>
              </w:rPr>
              <w:t xml:space="preserve">Risk 1: </w:t>
            </w:r>
            <w:r>
              <w:rPr>
                <w:sz w:val="18"/>
                <w:szCs w:val="18"/>
              </w:rPr>
              <w:t>….</w:t>
            </w:r>
            <w:r w:rsidR="00ED3693">
              <w:rPr>
                <w:sz w:val="18"/>
                <w:szCs w:val="18"/>
              </w:rPr>
              <w:t xml:space="preserve"> </w:t>
            </w:r>
            <w:r w:rsidR="00652BE3">
              <w:rPr>
                <w:sz w:val="18"/>
                <w:szCs w:val="18"/>
              </w:rPr>
              <w:t xml:space="preserve">Natural Disasters </w:t>
            </w:r>
          </w:p>
        </w:tc>
        <w:tc>
          <w:tcPr>
            <w:tcW w:w="1260" w:type="dxa"/>
          </w:tcPr>
          <w:p w14:paraId="67E15CE1" w14:textId="0BE1A798" w:rsidR="00C055DB" w:rsidRPr="00C86F7C" w:rsidRDefault="00C055DB" w:rsidP="0084274F">
            <w:pPr>
              <w:rPr>
                <w:rFonts w:cs="Minion Pro"/>
                <w:sz w:val="18"/>
                <w:szCs w:val="18"/>
              </w:rPr>
            </w:pPr>
            <w:r w:rsidRPr="00C86F7C">
              <w:rPr>
                <w:rFonts w:cs="Minion Pro"/>
                <w:sz w:val="18"/>
                <w:szCs w:val="18"/>
              </w:rPr>
              <w:t>I =</w:t>
            </w:r>
            <w:r w:rsidR="0099309F">
              <w:rPr>
                <w:rFonts w:cs="Minion Pro"/>
                <w:sz w:val="18"/>
                <w:szCs w:val="18"/>
              </w:rPr>
              <w:t xml:space="preserve"> </w:t>
            </w:r>
            <w:r w:rsidRPr="00C86F7C">
              <w:rPr>
                <w:rFonts w:cs="Minion Pro"/>
                <w:sz w:val="18"/>
                <w:szCs w:val="18"/>
              </w:rPr>
              <w:t xml:space="preserve"> </w:t>
            </w:r>
            <w:r w:rsidR="000F2D54">
              <w:rPr>
                <w:rFonts w:cs="Minion Pro"/>
                <w:sz w:val="18"/>
                <w:szCs w:val="18"/>
              </w:rPr>
              <w:t>5</w:t>
            </w:r>
          </w:p>
          <w:p w14:paraId="4BB50A64" w14:textId="73120264" w:rsidR="00C055DB" w:rsidRPr="00C86F7C" w:rsidRDefault="00C055DB" w:rsidP="0084274F">
            <w:pPr>
              <w:rPr>
                <w:rFonts w:cs="Minion Pro"/>
                <w:sz w:val="18"/>
                <w:szCs w:val="18"/>
              </w:rPr>
            </w:pPr>
            <w:r w:rsidRPr="00C86F7C">
              <w:rPr>
                <w:rFonts w:cs="Minion Pro"/>
                <w:sz w:val="18"/>
                <w:szCs w:val="18"/>
              </w:rPr>
              <w:t>P =</w:t>
            </w:r>
            <w:r w:rsidR="00DA0359">
              <w:rPr>
                <w:rFonts w:cs="Minion Pro"/>
                <w:sz w:val="18"/>
                <w:szCs w:val="18"/>
              </w:rPr>
              <w:t xml:space="preserve"> </w:t>
            </w:r>
            <w:r w:rsidR="00196E70">
              <w:rPr>
                <w:rFonts w:cs="Minion Pro"/>
                <w:sz w:val="18"/>
                <w:szCs w:val="18"/>
              </w:rPr>
              <w:t>5</w:t>
            </w:r>
          </w:p>
        </w:tc>
        <w:tc>
          <w:tcPr>
            <w:tcW w:w="1170" w:type="dxa"/>
          </w:tcPr>
          <w:p w14:paraId="7B5C7252" w14:textId="0908D0C3" w:rsidR="00C055DB" w:rsidRPr="0099309F" w:rsidRDefault="0099309F" w:rsidP="0084274F">
            <w:pPr>
              <w:rPr>
                <w:bCs/>
                <w:sz w:val="18"/>
                <w:szCs w:val="18"/>
              </w:rPr>
            </w:pPr>
            <w:r w:rsidRPr="0099309F">
              <w:rPr>
                <w:bCs/>
                <w:sz w:val="18"/>
                <w:szCs w:val="18"/>
              </w:rPr>
              <w:t>High</w:t>
            </w:r>
          </w:p>
        </w:tc>
        <w:tc>
          <w:tcPr>
            <w:tcW w:w="3600" w:type="dxa"/>
            <w:gridSpan w:val="2"/>
          </w:tcPr>
          <w:p w14:paraId="249AA562" w14:textId="438ACF08" w:rsidR="00C055DB" w:rsidRPr="002B4F5B" w:rsidRDefault="002B4F5B" w:rsidP="00D455A6">
            <w:pPr>
              <w:jc w:val="both"/>
              <w:rPr>
                <w:bCs/>
                <w:sz w:val="18"/>
                <w:szCs w:val="18"/>
              </w:rPr>
            </w:pPr>
            <w:r w:rsidRPr="002B4F5B">
              <w:rPr>
                <w:bCs/>
                <w:sz w:val="18"/>
                <w:szCs w:val="18"/>
              </w:rPr>
              <w:t xml:space="preserve">Vanuatu is </w:t>
            </w:r>
            <w:r w:rsidR="00374115">
              <w:rPr>
                <w:bCs/>
                <w:sz w:val="18"/>
                <w:szCs w:val="18"/>
              </w:rPr>
              <w:t>consid</w:t>
            </w:r>
            <w:r w:rsidR="003B789F">
              <w:rPr>
                <w:bCs/>
                <w:sz w:val="18"/>
                <w:szCs w:val="18"/>
              </w:rPr>
              <w:t>e</w:t>
            </w:r>
            <w:r w:rsidR="00374115">
              <w:rPr>
                <w:bCs/>
                <w:sz w:val="18"/>
                <w:szCs w:val="18"/>
              </w:rPr>
              <w:t>red to be one of the countries most at risk</w:t>
            </w:r>
            <w:r w:rsidR="004F477E">
              <w:rPr>
                <w:bCs/>
                <w:sz w:val="18"/>
                <w:szCs w:val="18"/>
              </w:rPr>
              <w:t xml:space="preserve"> to natural disasters in the world</w:t>
            </w:r>
            <w:r w:rsidR="00C52C7C">
              <w:rPr>
                <w:bCs/>
                <w:sz w:val="18"/>
                <w:szCs w:val="18"/>
              </w:rPr>
              <w:t xml:space="preserve">. </w:t>
            </w:r>
            <w:r w:rsidR="00C52C7C" w:rsidRPr="00C52C7C">
              <w:rPr>
                <w:bCs/>
                <w:sz w:val="18"/>
                <w:szCs w:val="18"/>
              </w:rPr>
              <w:t>This is reflected in the country's number one ranking on the World Risk Index (Integrated Research on Disaster Risk – IRDR 2017). (World Bank Group, 2018). The most recent events have been: Tropical Cyclone Pam March 2015, several eruptions of the Manaro Voui volcano on Ambae in 2017/8 2018, Tropical Cyclone Harold in April 2020, and ashfall from Yasur volcano, Tanna in 2020.</w:t>
            </w:r>
          </w:p>
        </w:tc>
        <w:tc>
          <w:tcPr>
            <w:tcW w:w="3780" w:type="dxa"/>
          </w:tcPr>
          <w:p w14:paraId="5BC7622A" w14:textId="2F0C71F1" w:rsidR="00D455A6" w:rsidRPr="00257685" w:rsidRDefault="00D455A6" w:rsidP="00D455A6">
            <w:pPr>
              <w:jc w:val="both"/>
              <w:rPr>
                <w:bCs/>
                <w:sz w:val="18"/>
                <w:szCs w:val="18"/>
              </w:rPr>
            </w:pPr>
            <w:r w:rsidRPr="00D455A6">
              <w:rPr>
                <w:bCs/>
                <w:sz w:val="18"/>
                <w:szCs w:val="18"/>
              </w:rPr>
              <w:t xml:space="preserve">Readiness to manage malaria and other </w:t>
            </w:r>
            <w:r w:rsidR="00006442">
              <w:rPr>
                <w:bCs/>
                <w:sz w:val="18"/>
                <w:szCs w:val="18"/>
              </w:rPr>
              <w:t>vector borne diseases</w:t>
            </w:r>
            <w:r w:rsidRPr="00D455A6">
              <w:rPr>
                <w:bCs/>
                <w:sz w:val="18"/>
                <w:szCs w:val="18"/>
              </w:rPr>
              <w:t xml:space="preserve"> in </w:t>
            </w:r>
            <w:r w:rsidR="008F6289">
              <w:rPr>
                <w:bCs/>
                <w:sz w:val="18"/>
                <w:szCs w:val="18"/>
              </w:rPr>
              <w:t xml:space="preserve">a </w:t>
            </w:r>
            <w:r w:rsidRPr="00D455A6">
              <w:rPr>
                <w:bCs/>
                <w:sz w:val="18"/>
                <w:szCs w:val="18"/>
              </w:rPr>
              <w:t xml:space="preserve">disaster context is now a core component of the </w:t>
            </w:r>
            <w:r w:rsidR="004762E6">
              <w:rPr>
                <w:bCs/>
                <w:sz w:val="18"/>
                <w:szCs w:val="18"/>
              </w:rPr>
              <w:t>National Strategic Plan for Malaria Elimination (</w:t>
            </w:r>
            <w:r w:rsidRPr="00D455A6">
              <w:rPr>
                <w:bCs/>
                <w:sz w:val="18"/>
                <w:szCs w:val="18"/>
              </w:rPr>
              <w:t>NSPME</w:t>
            </w:r>
            <w:r w:rsidR="004762E6">
              <w:rPr>
                <w:bCs/>
                <w:sz w:val="18"/>
                <w:szCs w:val="18"/>
              </w:rPr>
              <w:t>)</w:t>
            </w:r>
            <w:r w:rsidRPr="00D455A6">
              <w:rPr>
                <w:bCs/>
                <w:sz w:val="18"/>
                <w:szCs w:val="18"/>
              </w:rPr>
              <w:t>. Explicit links are being made with</w:t>
            </w:r>
            <w:r w:rsidR="008818AB">
              <w:rPr>
                <w:bCs/>
                <w:sz w:val="18"/>
                <w:szCs w:val="18"/>
              </w:rPr>
              <w:t xml:space="preserve"> the</w:t>
            </w:r>
            <w:r w:rsidRPr="00D455A6">
              <w:rPr>
                <w:bCs/>
                <w:sz w:val="18"/>
                <w:szCs w:val="18"/>
              </w:rPr>
              <w:t xml:space="preserve"> National and Provincial Disaster Management Offices and other government departments to strengthen response capacity. Increased supervision capacity will also make implementation more robust. </w:t>
            </w:r>
          </w:p>
        </w:tc>
      </w:tr>
      <w:tr w:rsidR="00C055DB" w14:paraId="112CD22E" w14:textId="77777777" w:rsidTr="00E40EDA">
        <w:tc>
          <w:tcPr>
            <w:tcW w:w="3330" w:type="dxa"/>
            <w:vAlign w:val="center"/>
          </w:tcPr>
          <w:p w14:paraId="290A1806" w14:textId="76F8FE93" w:rsidR="00C055DB" w:rsidRPr="00372083" w:rsidRDefault="00C055DB" w:rsidP="0084274F">
            <w:pPr>
              <w:rPr>
                <w:b/>
                <w:sz w:val="18"/>
                <w:szCs w:val="18"/>
              </w:rPr>
            </w:pPr>
            <w:r>
              <w:rPr>
                <w:sz w:val="18"/>
                <w:szCs w:val="18"/>
              </w:rPr>
              <w:t>Risk 2 ….</w:t>
            </w:r>
            <w:r w:rsidR="00D04792">
              <w:rPr>
                <w:sz w:val="18"/>
                <w:szCs w:val="18"/>
              </w:rPr>
              <w:t xml:space="preserve"> </w:t>
            </w:r>
            <w:r w:rsidR="00E11D51">
              <w:rPr>
                <w:sz w:val="18"/>
                <w:szCs w:val="18"/>
              </w:rPr>
              <w:t>COVID 19 Impacts on programme implementation</w:t>
            </w:r>
          </w:p>
        </w:tc>
        <w:tc>
          <w:tcPr>
            <w:tcW w:w="1260" w:type="dxa"/>
          </w:tcPr>
          <w:p w14:paraId="0348661D" w14:textId="705B500D" w:rsidR="00C055DB" w:rsidRPr="00C86F7C" w:rsidRDefault="00C055DB" w:rsidP="0084274F">
            <w:pPr>
              <w:rPr>
                <w:rFonts w:cs="Minion Pro"/>
                <w:sz w:val="18"/>
                <w:szCs w:val="18"/>
              </w:rPr>
            </w:pPr>
            <w:r w:rsidRPr="00C86F7C">
              <w:rPr>
                <w:rFonts w:cs="Minion Pro"/>
                <w:sz w:val="18"/>
                <w:szCs w:val="18"/>
              </w:rPr>
              <w:t xml:space="preserve">I = </w:t>
            </w:r>
            <w:r w:rsidR="00E11D51">
              <w:rPr>
                <w:rFonts w:cs="Minion Pro"/>
                <w:sz w:val="18"/>
                <w:szCs w:val="18"/>
              </w:rPr>
              <w:t>5</w:t>
            </w:r>
          </w:p>
          <w:p w14:paraId="0B822867" w14:textId="7A1B00FA" w:rsidR="00C055DB" w:rsidRPr="00C86F7C" w:rsidRDefault="00C055DB" w:rsidP="0084274F">
            <w:pPr>
              <w:rPr>
                <w:sz w:val="18"/>
                <w:szCs w:val="18"/>
              </w:rPr>
            </w:pPr>
            <w:r w:rsidRPr="00C86F7C">
              <w:rPr>
                <w:rFonts w:cs="Minion Pro"/>
                <w:sz w:val="18"/>
                <w:szCs w:val="18"/>
              </w:rPr>
              <w:t xml:space="preserve">P = </w:t>
            </w:r>
            <w:r w:rsidR="00E11D51">
              <w:rPr>
                <w:rFonts w:cs="Minion Pro"/>
                <w:sz w:val="18"/>
                <w:szCs w:val="18"/>
              </w:rPr>
              <w:t>5</w:t>
            </w:r>
          </w:p>
        </w:tc>
        <w:tc>
          <w:tcPr>
            <w:tcW w:w="1170" w:type="dxa"/>
          </w:tcPr>
          <w:p w14:paraId="1B549DF0" w14:textId="64C0D991" w:rsidR="00C055DB" w:rsidRPr="00DC1183" w:rsidRDefault="00DC1183" w:rsidP="0084274F">
            <w:pPr>
              <w:rPr>
                <w:bCs/>
                <w:sz w:val="18"/>
                <w:szCs w:val="18"/>
              </w:rPr>
            </w:pPr>
            <w:r>
              <w:rPr>
                <w:bCs/>
                <w:sz w:val="18"/>
                <w:szCs w:val="18"/>
              </w:rPr>
              <w:t>High</w:t>
            </w:r>
          </w:p>
        </w:tc>
        <w:tc>
          <w:tcPr>
            <w:tcW w:w="3600" w:type="dxa"/>
            <w:gridSpan w:val="2"/>
          </w:tcPr>
          <w:p w14:paraId="183BB23C" w14:textId="27F83691" w:rsidR="00C055DB" w:rsidRPr="00DC1183" w:rsidRDefault="000406A3" w:rsidP="0084274F">
            <w:pPr>
              <w:rPr>
                <w:bCs/>
                <w:sz w:val="18"/>
                <w:szCs w:val="18"/>
              </w:rPr>
            </w:pPr>
            <w:r>
              <w:rPr>
                <w:bCs/>
                <w:sz w:val="18"/>
                <w:szCs w:val="18"/>
              </w:rPr>
              <w:t xml:space="preserve">Travel and movement restriction </w:t>
            </w:r>
            <w:r w:rsidR="00F156E6">
              <w:rPr>
                <w:bCs/>
                <w:sz w:val="18"/>
                <w:szCs w:val="18"/>
              </w:rPr>
              <w:t xml:space="preserve">could have potential impacts on </w:t>
            </w:r>
            <w:r w:rsidR="00D90AD2">
              <w:rPr>
                <w:bCs/>
                <w:sz w:val="18"/>
                <w:szCs w:val="18"/>
              </w:rPr>
              <w:t>activity implementation</w:t>
            </w:r>
            <w:r w:rsidR="00F156E6">
              <w:rPr>
                <w:bCs/>
                <w:sz w:val="18"/>
                <w:szCs w:val="18"/>
              </w:rPr>
              <w:t xml:space="preserve"> as well as </w:t>
            </w:r>
            <w:r w:rsidR="008349E8">
              <w:rPr>
                <w:bCs/>
                <w:sz w:val="18"/>
                <w:szCs w:val="18"/>
              </w:rPr>
              <w:t>disruption in supply of health and non health commodities</w:t>
            </w:r>
            <w:r w:rsidR="00617F54">
              <w:rPr>
                <w:bCs/>
                <w:sz w:val="18"/>
                <w:szCs w:val="18"/>
              </w:rPr>
              <w:t>.</w:t>
            </w:r>
          </w:p>
        </w:tc>
        <w:tc>
          <w:tcPr>
            <w:tcW w:w="3780" w:type="dxa"/>
          </w:tcPr>
          <w:p w14:paraId="7CE2A102" w14:textId="77777777" w:rsidR="00B35C11" w:rsidRPr="00B35C11" w:rsidRDefault="00AC0FC8" w:rsidP="00B35C11">
            <w:pPr>
              <w:pStyle w:val="ListParagraph"/>
              <w:numPr>
                <w:ilvl w:val="0"/>
                <w:numId w:val="23"/>
              </w:numPr>
              <w:ind w:left="360"/>
              <w:rPr>
                <w:b/>
                <w:sz w:val="18"/>
                <w:szCs w:val="18"/>
              </w:rPr>
            </w:pPr>
            <w:r w:rsidRPr="00B35C11">
              <w:rPr>
                <w:bCs/>
                <w:sz w:val="18"/>
                <w:szCs w:val="18"/>
              </w:rPr>
              <w:t>Health</w:t>
            </w:r>
            <w:r w:rsidR="0035645C" w:rsidRPr="00B35C11">
              <w:rPr>
                <w:bCs/>
                <w:sz w:val="18"/>
                <w:szCs w:val="18"/>
              </w:rPr>
              <w:t xml:space="preserve"> services </w:t>
            </w:r>
            <w:r w:rsidRPr="00B35C11">
              <w:rPr>
                <w:bCs/>
                <w:sz w:val="18"/>
                <w:szCs w:val="18"/>
              </w:rPr>
              <w:t xml:space="preserve">to </w:t>
            </w:r>
            <w:r w:rsidR="0035645C" w:rsidRPr="00B35C11">
              <w:rPr>
                <w:bCs/>
                <w:sz w:val="18"/>
                <w:szCs w:val="18"/>
              </w:rPr>
              <w:t xml:space="preserve">be regarded as essential services. </w:t>
            </w:r>
          </w:p>
          <w:p w14:paraId="453158EA" w14:textId="6ABEB295" w:rsidR="00C055DB" w:rsidRPr="00B35C11" w:rsidRDefault="00143803" w:rsidP="00B35C11">
            <w:pPr>
              <w:pStyle w:val="ListParagraph"/>
              <w:numPr>
                <w:ilvl w:val="0"/>
                <w:numId w:val="23"/>
              </w:numPr>
              <w:ind w:left="360"/>
              <w:rPr>
                <w:b/>
                <w:sz w:val="18"/>
                <w:szCs w:val="18"/>
              </w:rPr>
            </w:pPr>
            <w:r w:rsidRPr="00B35C11">
              <w:rPr>
                <w:bCs/>
                <w:sz w:val="18"/>
                <w:szCs w:val="18"/>
              </w:rPr>
              <w:t xml:space="preserve">Shift away from LLINs mass distribution to </w:t>
            </w:r>
            <w:r w:rsidR="004A54A2">
              <w:rPr>
                <w:bCs/>
                <w:sz w:val="18"/>
                <w:szCs w:val="18"/>
              </w:rPr>
              <w:t>‘rolling’ or ongoing</w:t>
            </w:r>
            <w:r w:rsidRPr="00B35C11">
              <w:rPr>
                <w:bCs/>
                <w:sz w:val="18"/>
                <w:szCs w:val="18"/>
              </w:rPr>
              <w:t xml:space="preserve"> distribution</w:t>
            </w:r>
            <w:r w:rsidR="00BF636F" w:rsidRPr="00B35C11">
              <w:rPr>
                <w:bCs/>
                <w:sz w:val="18"/>
                <w:szCs w:val="18"/>
              </w:rPr>
              <w:t>.</w:t>
            </w:r>
            <w:r w:rsidR="0073692D">
              <w:rPr>
                <w:bCs/>
                <w:sz w:val="18"/>
                <w:szCs w:val="18"/>
              </w:rPr>
              <w:t xml:space="preserve"> Programme Implementation including </w:t>
            </w:r>
            <w:r w:rsidR="0073692D">
              <w:rPr>
                <w:bCs/>
                <w:sz w:val="18"/>
                <w:szCs w:val="18"/>
              </w:rPr>
              <w:lastRenderedPageBreak/>
              <w:t>LLINs d</w:t>
            </w:r>
            <w:r w:rsidR="00B16C0E" w:rsidRPr="00B35C11">
              <w:rPr>
                <w:bCs/>
                <w:sz w:val="18"/>
                <w:szCs w:val="18"/>
              </w:rPr>
              <w:t xml:space="preserve">istribution protocols to be aligned to WHO </w:t>
            </w:r>
            <w:r w:rsidR="004454E9" w:rsidRPr="00B35C11">
              <w:rPr>
                <w:bCs/>
                <w:sz w:val="18"/>
                <w:szCs w:val="18"/>
              </w:rPr>
              <w:t xml:space="preserve">COVID </w:t>
            </w:r>
            <w:r w:rsidR="00B16C0E" w:rsidRPr="00B35C11">
              <w:rPr>
                <w:bCs/>
                <w:sz w:val="18"/>
                <w:szCs w:val="18"/>
              </w:rPr>
              <w:t>guidelines</w:t>
            </w:r>
            <w:r w:rsidRPr="00B35C11">
              <w:rPr>
                <w:bCs/>
                <w:sz w:val="18"/>
                <w:szCs w:val="18"/>
              </w:rPr>
              <w:t xml:space="preserve"> </w:t>
            </w:r>
            <w:r w:rsidR="0073692D">
              <w:rPr>
                <w:bCs/>
                <w:sz w:val="18"/>
                <w:szCs w:val="18"/>
              </w:rPr>
              <w:t>on service delivery</w:t>
            </w:r>
          </w:p>
        </w:tc>
      </w:tr>
      <w:tr w:rsidR="00C055DB" w14:paraId="2F6AE21E" w14:textId="77777777" w:rsidTr="004A40A4">
        <w:trPr>
          <w:trHeight w:val="593"/>
        </w:trPr>
        <w:tc>
          <w:tcPr>
            <w:tcW w:w="3330" w:type="dxa"/>
            <w:vMerge w:val="restart"/>
          </w:tcPr>
          <w:p w14:paraId="4F52E464" w14:textId="77777777" w:rsidR="00C055DB" w:rsidRDefault="00C055DB" w:rsidP="00C055DB">
            <w:pPr>
              <w:rPr>
                <w:b/>
                <w:szCs w:val="20"/>
              </w:rPr>
            </w:pPr>
          </w:p>
        </w:tc>
        <w:tc>
          <w:tcPr>
            <w:tcW w:w="9810" w:type="dxa"/>
            <w:gridSpan w:val="5"/>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E40EDA">
        <w:tc>
          <w:tcPr>
            <w:tcW w:w="3330" w:type="dxa"/>
            <w:vMerge/>
          </w:tcPr>
          <w:p w14:paraId="327169E6" w14:textId="77777777" w:rsidR="00483E64" w:rsidRPr="00372083" w:rsidRDefault="00483E64" w:rsidP="00C055DB">
            <w:pPr>
              <w:rPr>
                <w:sz w:val="18"/>
                <w:szCs w:val="18"/>
                <w:u w:val="single"/>
              </w:rPr>
            </w:pPr>
          </w:p>
        </w:tc>
        <w:tc>
          <w:tcPr>
            <w:tcW w:w="6030" w:type="dxa"/>
            <w:gridSpan w:val="4"/>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3780"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E40EDA">
        <w:trPr>
          <w:trHeight w:val="251"/>
        </w:trPr>
        <w:tc>
          <w:tcPr>
            <w:tcW w:w="3330" w:type="dxa"/>
            <w:vMerge/>
          </w:tcPr>
          <w:p w14:paraId="7AF92304" w14:textId="77777777" w:rsidR="00C055DB" w:rsidRDefault="00C055DB" w:rsidP="00C055DB">
            <w:pPr>
              <w:rPr>
                <w:rFonts w:cs="Minion Pro"/>
                <w:sz w:val="18"/>
                <w:szCs w:val="18"/>
              </w:rPr>
            </w:pPr>
          </w:p>
        </w:tc>
        <w:tc>
          <w:tcPr>
            <w:tcW w:w="452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1507" w:type="dxa"/>
          </w:tcPr>
          <w:p w14:paraId="09ED3510"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3780" w:type="dxa"/>
          </w:tcPr>
          <w:p w14:paraId="6C195903" w14:textId="77777777" w:rsidR="00C055DB" w:rsidRPr="00372083" w:rsidRDefault="00C055DB" w:rsidP="00C055DB">
            <w:pPr>
              <w:rPr>
                <w:b/>
                <w:sz w:val="18"/>
                <w:szCs w:val="18"/>
              </w:rPr>
            </w:pPr>
          </w:p>
        </w:tc>
      </w:tr>
      <w:tr w:rsidR="00483E64" w14:paraId="0E5DEE2A" w14:textId="77777777" w:rsidTr="00E40EDA">
        <w:tc>
          <w:tcPr>
            <w:tcW w:w="3330" w:type="dxa"/>
            <w:vMerge/>
          </w:tcPr>
          <w:p w14:paraId="69EE0AE8" w14:textId="77777777" w:rsidR="00C055DB" w:rsidRDefault="00C055DB" w:rsidP="00C055DB">
            <w:pPr>
              <w:rPr>
                <w:rFonts w:cs="Minion Pro"/>
                <w:sz w:val="18"/>
                <w:szCs w:val="18"/>
              </w:rPr>
            </w:pPr>
          </w:p>
        </w:tc>
        <w:tc>
          <w:tcPr>
            <w:tcW w:w="452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1507" w:type="dxa"/>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3780" w:type="dxa"/>
          </w:tcPr>
          <w:p w14:paraId="6BF0C261" w14:textId="77777777" w:rsidR="00C055DB" w:rsidRPr="00372083" w:rsidRDefault="00C055DB" w:rsidP="00C055DB">
            <w:pPr>
              <w:rPr>
                <w:b/>
                <w:sz w:val="18"/>
                <w:szCs w:val="18"/>
              </w:rPr>
            </w:pPr>
          </w:p>
        </w:tc>
      </w:tr>
      <w:tr w:rsidR="00483E64" w14:paraId="71EB9E80" w14:textId="77777777" w:rsidTr="00E40EDA">
        <w:tc>
          <w:tcPr>
            <w:tcW w:w="3330" w:type="dxa"/>
            <w:vMerge/>
          </w:tcPr>
          <w:p w14:paraId="44867C87" w14:textId="77777777" w:rsidR="00C055DB" w:rsidRDefault="00C055DB" w:rsidP="00C055DB">
            <w:pPr>
              <w:rPr>
                <w:rFonts w:cs="Minion Pro"/>
                <w:sz w:val="18"/>
                <w:szCs w:val="18"/>
              </w:rPr>
            </w:pPr>
          </w:p>
        </w:tc>
        <w:tc>
          <w:tcPr>
            <w:tcW w:w="4523" w:type="dxa"/>
            <w:gridSpan w:val="3"/>
            <w:shd w:val="clear" w:color="auto" w:fill="00B0F0"/>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1507" w:type="dxa"/>
            <w:shd w:val="clear" w:color="auto" w:fill="00B0F0"/>
          </w:tcPr>
          <w:p w14:paraId="7874051C" w14:textId="0BBDB573" w:rsidR="00C055DB" w:rsidRPr="00372083" w:rsidRDefault="00C04C4C" w:rsidP="00C055DB">
            <w:pPr>
              <w:ind w:left="-2230" w:firstLine="2230"/>
              <w:rPr>
                <w:b/>
                <w:sz w:val="18"/>
                <w:szCs w:val="18"/>
              </w:rPr>
            </w:pPr>
            <w:r>
              <w:rPr>
                <w:rFonts w:ascii="Segoe UI Symbol" w:hAnsi="Segoe UI Symbol" w:cs="Segoe UI Symbol"/>
                <w:b/>
                <w:szCs w:val="20"/>
              </w:rPr>
              <w:t>x</w:t>
            </w:r>
          </w:p>
        </w:tc>
        <w:tc>
          <w:tcPr>
            <w:tcW w:w="3780" w:type="dxa"/>
          </w:tcPr>
          <w:p w14:paraId="15F4F870" w14:textId="77777777" w:rsidR="00C055DB" w:rsidRPr="00372083" w:rsidRDefault="00C055DB" w:rsidP="00C055DB">
            <w:pPr>
              <w:rPr>
                <w:b/>
                <w:sz w:val="18"/>
                <w:szCs w:val="18"/>
              </w:rPr>
            </w:pPr>
          </w:p>
        </w:tc>
      </w:tr>
      <w:tr w:rsidR="00773AD2" w:rsidRPr="00EA5477" w14:paraId="29357305" w14:textId="77777777" w:rsidTr="00E40EDA">
        <w:trPr>
          <w:trHeight w:val="782"/>
        </w:trPr>
        <w:tc>
          <w:tcPr>
            <w:tcW w:w="3330" w:type="dxa"/>
            <w:vMerge w:val="restart"/>
            <w:shd w:val="clear" w:color="auto" w:fill="FFFFFF" w:themeFill="background1"/>
          </w:tcPr>
          <w:p w14:paraId="772C8F14" w14:textId="77777777" w:rsidR="00773AD2" w:rsidRDefault="00773AD2" w:rsidP="00C055DB">
            <w:pPr>
              <w:ind w:hanging="18"/>
              <w:rPr>
                <w:b/>
                <w:szCs w:val="20"/>
              </w:rPr>
            </w:pPr>
          </w:p>
        </w:tc>
        <w:tc>
          <w:tcPr>
            <w:tcW w:w="6030" w:type="dxa"/>
            <w:gridSpan w:val="4"/>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3780"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E40EDA">
        <w:trPr>
          <w:trHeight w:val="296"/>
        </w:trPr>
        <w:tc>
          <w:tcPr>
            <w:tcW w:w="3330" w:type="dxa"/>
            <w:vMerge/>
            <w:shd w:val="clear" w:color="auto" w:fill="FFFFFF" w:themeFill="background1"/>
          </w:tcPr>
          <w:p w14:paraId="028A459C" w14:textId="77777777" w:rsidR="002248F9" w:rsidRPr="00372083" w:rsidRDefault="002248F9" w:rsidP="00C055DB">
            <w:pPr>
              <w:rPr>
                <w:sz w:val="18"/>
                <w:szCs w:val="18"/>
                <w:u w:val="single"/>
              </w:rPr>
            </w:pPr>
          </w:p>
        </w:tc>
        <w:tc>
          <w:tcPr>
            <w:tcW w:w="6030" w:type="dxa"/>
            <w:gridSpan w:val="4"/>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3780"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E40EDA">
        <w:tc>
          <w:tcPr>
            <w:tcW w:w="333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523" w:type="dxa"/>
            <w:gridSpan w:val="3"/>
            <w:shd w:val="clear" w:color="auto" w:fill="00B0F0"/>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1507" w:type="dxa"/>
            <w:shd w:val="clear" w:color="auto" w:fill="00B0F0"/>
            <w:vAlign w:val="center"/>
          </w:tcPr>
          <w:p w14:paraId="55682F24" w14:textId="44ADB5FD" w:rsidR="00F536BB" w:rsidRPr="00EF0E8F" w:rsidRDefault="00C26ACE" w:rsidP="00C055DB">
            <w:pPr>
              <w:tabs>
                <w:tab w:val="left" w:pos="360"/>
              </w:tabs>
              <w:rPr>
                <w:sz w:val="18"/>
                <w:szCs w:val="18"/>
              </w:rPr>
            </w:pPr>
            <w:r>
              <w:rPr>
                <w:rFonts w:ascii="Segoe UI Symbol" w:hAnsi="Segoe UI Symbol" w:cs="Segoe UI Symbol"/>
                <w:b/>
                <w:szCs w:val="20"/>
              </w:rPr>
              <w:t>x</w:t>
            </w:r>
          </w:p>
        </w:tc>
        <w:tc>
          <w:tcPr>
            <w:tcW w:w="3780" w:type="dxa"/>
            <w:shd w:val="clear" w:color="auto" w:fill="00B0F0"/>
          </w:tcPr>
          <w:p w14:paraId="18E5603B" w14:textId="71907B0D" w:rsidR="00F536BB" w:rsidRPr="00EF0E8F" w:rsidRDefault="00632E44" w:rsidP="00C055DB">
            <w:pPr>
              <w:tabs>
                <w:tab w:val="left" w:pos="360"/>
              </w:tabs>
              <w:rPr>
                <w:sz w:val="18"/>
                <w:szCs w:val="18"/>
              </w:rPr>
            </w:pPr>
            <w:r>
              <w:rPr>
                <w:sz w:val="18"/>
                <w:szCs w:val="18"/>
              </w:rPr>
              <w:t>Relating to access to</w:t>
            </w:r>
            <w:r w:rsidR="00725229">
              <w:rPr>
                <w:sz w:val="18"/>
                <w:szCs w:val="18"/>
              </w:rPr>
              <w:t xml:space="preserve"> proper</w:t>
            </w:r>
            <w:r>
              <w:rPr>
                <w:sz w:val="18"/>
                <w:szCs w:val="18"/>
              </w:rPr>
              <w:t xml:space="preserve"> services by communities most affected by natural disasters</w:t>
            </w:r>
            <w:r w:rsidR="00DB4136">
              <w:rPr>
                <w:sz w:val="18"/>
                <w:szCs w:val="18"/>
              </w:rPr>
              <w:t>, ie displaced populations</w:t>
            </w:r>
            <w:r w:rsidR="00725229">
              <w:rPr>
                <w:sz w:val="18"/>
                <w:szCs w:val="18"/>
              </w:rPr>
              <w:t xml:space="preserve"> and the protection of woman </w:t>
            </w:r>
            <w:r w:rsidR="00824901">
              <w:rPr>
                <w:sz w:val="18"/>
                <w:szCs w:val="18"/>
              </w:rPr>
              <w:t xml:space="preserve">and children </w:t>
            </w:r>
            <w:r w:rsidR="00725229">
              <w:rPr>
                <w:sz w:val="18"/>
                <w:szCs w:val="18"/>
              </w:rPr>
              <w:t>in shelters</w:t>
            </w:r>
          </w:p>
        </w:tc>
      </w:tr>
      <w:tr w:rsidR="00483E64" w:rsidRPr="00EF0E8F" w14:paraId="145F1571" w14:textId="77777777" w:rsidTr="00E40EDA">
        <w:tc>
          <w:tcPr>
            <w:tcW w:w="333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52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1507" w:type="dxa"/>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3780"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E40EDA">
        <w:tc>
          <w:tcPr>
            <w:tcW w:w="333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52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1507" w:type="dxa"/>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3780"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E40EDA">
        <w:tc>
          <w:tcPr>
            <w:tcW w:w="333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523" w:type="dxa"/>
            <w:gridSpan w:val="3"/>
            <w:shd w:val="clear" w:color="auto" w:fill="00B0F0"/>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1507" w:type="dxa"/>
            <w:shd w:val="clear" w:color="auto" w:fill="00B0F0"/>
            <w:vAlign w:val="center"/>
          </w:tcPr>
          <w:p w14:paraId="02ED9F41" w14:textId="4799E885" w:rsidR="00F536BB" w:rsidRPr="00EF0E8F" w:rsidRDefault="00C26ACE" w:rsidP="00C055DB">
            <w:pPr>
              <w:tabs>
                <w:tab w:val="left" w:pos="360"/>
              </w:tabs>
              <w:rPr>
                <w:sz w:val="18"/>
                <w:szCs w:val="18"/>
              </w:rPr>
            </w:pPr>
            <w:r>
              <w:rPr>
                <w:rFonts w:ascii="Segoe UI Symbol" w:hAnsi="Segoe UI Symbol" w:cs="Segoe UI Symbol"/>
                <w:b/>
                <w:szCs w:val="20"/>
              </w:rPr>
              <w:t>x</w:t>
            </w:r>
          </w:p>
        </w:tc>
        <w:tc>
          <w:tcPr>
            <w:tcW w:w="3780" w:type="dxa"/>
            <w:shd w:val="clear" w:color="auto" w:fill="00B0F0"/>
          </w:tcPr>
          <w:p w14:paraId="71032A58" w14:textId="0FC1E71C" w:rsidR="00F536BB" w:rsidRPr="00EF0E8F" w:rsidRDefault="00DF0CE0" w:rsidP="00C055DB">
            <w:pPr>
              <w:tabs>
                <w:tab w:val="left" w:pos="360"/>
              </w:tabs>
              <w:rPr>
                <w:sz w:val="18"/>
                <w:szCs w:val="18"/>
              </w:rPr>
            </w:pPr>
            <w:r>
              <w:rPr>
                <w:sz w:val="18"/>
                <w:szCs w:val="18"/>
              </w:rPr>
              <w:t>Relates to high risks of natural disaster</w:t>
            </w:r>
            <w:r w:rsidR="00D1035E">
              <w:rPr>
                <w:sz w:val="18"/>
                <w:szCs w:val="18"/>
              </w:rPr>
              <w:t>s in Vanuatu</w:t>
            </w:r>
          </w:p>
        </w:tc>
      </w:tr>
      <w:tr w:rsidR="00483E64" w:rsidRPr="00EF0E8F" w14:paraId="2C625810" w14:textId="77777777" w:rsidTr="00E40EDA">
        <w:tc>
          <w:tcPr>
            <w:tcW w:w="333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52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1507" w:type="dxa"/>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3780"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E40EDA">
        <w:tc>
          <w:tcPr>
            <w:tcW w:w="333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52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1507" w:type="dxa"/>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3780" w:type="dxa"/>
          </w:tcPr>
          <w:p w14:paraId="07BEC435" w14:textId="77777777" w:rsidR="00F536BB" w:rsidRPr="00EF0E8F" w:rsidRDefault="00F536BB" w:rsidP="00C055DB">
            <w:pPr>
              <w:tabs>
                <w:tab w:val="left" w:pos="360"/>
              </w:tabs>
              <w:rPr>
                <w:sz w:val="18"/>
                <w:szCs w:val="18"/>
              </w:rPr>
            </w:pPr>
          </w:p>
        </w:tc>
      </w:tr>
      <w:tr w:rsidR="00725229" w:rsidRPr="00EF0E8F" w14:paraId="0D706578" w14:textId="77777777" w:rsidTr="00D1035E">
        <w:tc>
          <w:tcPr>
            <w:tcW w:w="3330" w:type="dxa"/>
            <w:vMerge/>
            <w:shd w:val="clear" w:color="auto" w:fill="FFFFFF" w:themeFill="background1"/>
          </w:tcPr>
          <w:p w14:paraId="293472D7" w14:textId="77777777" w:rsidR="00725229" w:rsidRDefault="00725229" w:rsidP="00725229">
            <w:pPr>
              <w:tabs>
                <w:tab w:val="left" w:pos="270"/>
              </w:tabs>
              <w:ind w:left="270" w:hanging="270"/>
              <w:rPr>
                <w:sz w:val="18"/>
                <w:szCs w:val="18"/>
              </w:rPr>
            </w:pPr>
          </w:p>
        </w:tc>
        <w:tc>
          <w:tcPr>
            <w:tcW w:w="4523" w:type="dxa"/>
            <w:gridSpan w:val="3"/>
            <w:shd w:val="clear" w:color="auto" w:fill="00B0F0"/>
          </w:tcPr>
          <w:p w14:paraId="5C266F6E" w14:textId="77777777" w:rsidR="00725229" w:rsidRPr="00C055DB" w:rsidRDefault="00725229" w:rsidP="00725229">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1507" w:type="dxa"/>
            <w:shd w:val="clear" w:color="auto" w:fill="00B0F0"/>
            <w:vAlign w:val="center"/>
          </w:tcPr>
          <w:p w14:paraId="498DBA2F" w14:textId="1385BB11" w:rsidR="00725229" w:rsidRPr="00EF0E8F" w:rsidRDefault="00725229" w:rsidP="00725229">
            <w:pPr>
              <w:tabs>
                <w:tab w:val="left" w:pos="360"/>
              </w:tabs>
              <w:rPr>
                <w:sz w:val="18"/>
                <w:szCs w:val="18"/>
              </w:rPr>
            </w:pPr>
            <w:r>
              <w:rPr>
                <w:rFonts w:ascii="Segoe UI Symbol" w:hAnsi="Segoe UI Symbol" w:cs="Segoe UI Symbol"/>
                <w:b/>
                <w:szCs w:val="20"/>
              </w:rPr>
              <w:t>x</w:t>
            </w:r>
          </w:p>
        </w:tc>
        <w:tc>
          <w:tcPr>
            <w:tcW w:w="3780" w:type="dxa"/>
            <w:shd w:val="clear" w:color="auto" w:fill="00B0F0"/>
          </w:tcPr>
          <w:p w14:paraId="5D2C7424" w14:textId="526C3DD6" w:rsidR="00725229" w:rsidRPr="00EF0E8F" w:rsidRDefault="00725229" w:rsidP="00725229">
            <w:pPr>
              <w:tabs>
                <w:tab w:val="left" w:pos="360"/>
              </w:tabs>
              <w:rPr>
                <w:sz w:val="18"/>
                <w:szCs w:val="18"/>
              </w:rPr>
            </w:pPr>
            <w:r>
              <w:rPr>
                <w:sz w:val="18"/>
                <w:szCs w:val="18"/>
              </w:rPr>
              <w:t>Those that are displaced and living in shelters should have access to proper health services and protection of vulnerable groups such as woman and children are</w:t>
            </w:r>
            <w:r w:rsidR="00D1035E">
              <w:rPr>
                <w:sz w:val="18"/>
                <w:szCs w:val="18"/>
              </w:rPr>
              <w:t xml:space="preserve"> a</w:t>
            </w:r>
            <w:r>
              <w:rPr>
                <w:sz w:val="18"/>
                <w:szCs w:val="18"/>
              </w:rPr>
              <w:t xml:space="preserve"> priority </w:t>
            </w:r>
          </w:p>
        </w:tc>
      </w:tr>
      <w:tr w:rsidR="00483E64" w:rsidRPr="00EF0E8F" w14:paraId="5B5AFF62" w14:textId="77777777" w:rsidTr="00E40EDA">
        <w:tc>
          <w:tcPr>
            <w:tcW w:w="333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52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1507" w:type="dxa"/>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3780"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E40EDA">
        <w:tc>
          <w:tcPr>
            <w:tcW w:w="333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52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1507" w:type="dxa"/>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3780"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03A9EB87" w14:textId="77777777" w:rsidR="00D1035E" w:rsidRDefault="00D1035E" w:rsidP="00D21753">
      <w:pPr>
        <w:spacing w:before="200"/>
        <w:ind w:left="360"/>
        <w:rPr>
          <w:b/>
          <w:color w:val="4F81BD" w:themeColor="accent1"/>
          <w:sz w:val="24"/>
        </w:rPr>
      </w:pPr>
    </w:p>
    <w:p w14:paraId="00738314" w14:textId="77777777" w:rsidR="00D1035E" w:rsidRDefault="00D1035E" w:rsidP="00D21753">
      <w:pPr>
        <w:spacing w:before="200"/>
        <w:ind w:left="360"/>
        <w:rPr>
          <w:b/>
          <w:color w:val="4F81BD" w:themeColor="accent1"/>
          <w:sz w:val="24"/>
        </w:rPr>
      </w:pPr>
    </w:p>
    <w:p w14:paraId="59FE0538" w14:textId="28BD47AD" w:rsidR="00DD330A" w:rsidRPr="001A0CAF" w:rsidRDefault="00DD330A" w:rsidP="00D21753">
      <w:pPr>
        <w:spacing w:before="200"/>
        <w:ind w:left="360"/>
        <w:rPr>
          <w:b/>
          <w:color w:val="4F81BD" w:themeColor="accent1"/>
          <w:sz w:val="24"/>
        </w:rPr>
      </w:pPr>
      <w:r w:rsidRPr="00BD03F6">
        <w:rPr>
          <w:b/>
          <w:color w:val="4F81BD" w:themeColor="accent1"/>
          <w:sz w:val="24"/>
        </w:rPr>
        <w:lastRenderedPageBreak/>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505A6C">
      <w:pPr>
        <w:pStyle w:val="Heading3"/>
        <w:spacing w:before="0"/>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49AD2840" w:rsidR="00541733" w:rsidRPr="002E0918" w:rsidRDefault="00541733" w:rsidP="00541733">
            <w:pPr>
              <w:tabs>
                <w:tab w:val="left" w:pos="810"/>
              </w:tabs>
              <w:jc w:val="center"/>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418DFE93" w:rsidR="00F07AAC" w:rsidRPr="002E0918" w:rsidRDefault="002341EC" w:rsidP="00656733">
            <w:pPr>
              <w:tabs>
                <w:tab w:val="left" w:pos="810"/>
              </w:tabs>
              <w:jc w:val="center"/>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722792D5" w:rsidR="00F07AAC" w:rsidRPr="002E0918" w:rsidRDefault="002341EC" w:rsidP="00656733">
            <w:pPr>
              <w:tabs>
                <w:tab w:val="left" w:pos="810"/>
              </w:tabs>
              <w:jc w:val="center"/>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69383DA3" w:rsidR="00F07AAC" w:rsidRPr="002E0918" w:rsidRDefault="002341EC" w:rsidP="00656733">
            <w:pPr>
              <w:tabs>
                <w:tab w:val="left" w:pos="810"/>
              </w:tabs>
              <w:jc w:val="center"/>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5EA42129" w:rsidR="00F07AAC" w:rsidRPr="002E0918" w:rsidRDefault="002341EC" w:rsidP="00656733">
            <w:pPr>
              <w:tabs>
                <w:tab w:val="left" w:pos="810"/>
              </w:tabs>
              <w:jc w:val="center"/>
              <w:rPr>
                <w:sz w:val="18"/>
                <w:szCs w:val="18"/>
              </w:rPr>
            </w:pPr>
            <w:r>
              <w:rPr>
                <w:sz w:val="18"/>
                <w:szCs w:val="18"/>
              </w:rPr>
              <w:t xml:space="preserve">Yes </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5F2AC6A2" w:rsidR="00F07AAC" w:rsidRPr="002E0918" w:rsidRDefault="002E017F" w:rsidP="00656733">
            <w:pPr>
              <w:tabs>
                <w:tab w:val="left" w:pos="810"/>
              </w:tabs>
              <w:jc w:val="center"/>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0BF7FB97" w:rsidR="00F07AAC" w:rsidRPr="002E0918" w:rsidRDefault="002E017F" w:rsidP="00656733">
            <w:pPr>
              <w:tabs>
                <w:tab w:val="left" w:pos="810"/>
              </w:tabs>
              <w:jc w:val="center"/>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7B264F74" w:rsidR="00F07AAC" w:rsidRPr="002E0918" w:rsidRDefault="00DF38FA" w:rsidP="00656733">
            <w:pPr>
              <w:tabs>
                <w:tab w:val="left" w:pos="810"/>
              </w:tabs>
              <w:jc w:val="center"/>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527E42EB" w:rsidR="00F07AAC" w:rsidRPr="002E0918" w:rsidRDefault="0032546C" w:rsidP="005345EC">
            <w:pPr>
              <w:tabs>
                <w:tab w:val="left" w:pos="810"/>
              </w:tabs>
              <w:jc w:val="center"/>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44BD1D7" w:rsidR="00F07AAC" w:rsidRPr="002E0918" w:rsidRDefault="009F21ED" w:rsidP="005345EC">
            <w:pPr>
              <w:tabs>
                <w:tab w:val="left" w:pos="810"/>
              </w:tabs>
              <w:jc w:val="center"/>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65D4E83A" w:rsidR="008A7431" w:rsidRPr="002E0918" w:rsidRDefault="006763BC" w:rsidP="005345EC">
            <w:pPr>
              <w:tabs>
                <w:tab w:val="left" w:pos="810"/>
              </w:tabs>
              <w:jc w:val="center"/>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47E00E17" w:rsidR="00F07AAC" w:rsidRPr="002E0918" w:rsidRDefault="00A709A3" w:rsidP="005345EC">
            <w:pPr>
              <w:tabs>
                <w:tab w:val="left" w:pos="810"/>
              </w:tabs>
              <w:jc w:val="center"/>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432B2D46" w:rsidR="00F07AAC" w:rsidRPr="00310835" w:rsidRDefault="00B96172" w:rsidP="00B96172">
            <w:pPr>
              <w:jc w:val="cente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5EA91D5"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146D3673" w:rsidR="00F07AAC" w:rsidRPr="00310835" w:rsidRDefault="001443F6" w:rsidP="00B96172">
            <w:pPr>
              <w:jc w:val="cente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E6381E0" w:rsidR="00C32720"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30ACD218"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5A221564"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32B50C5"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BAF6ED1"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57A2DAE1" w:rsidR="00F07AAC" w:rsidRPr="00310835" w:rsidRDefault="001443F6"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1684FDDE" w:rsidR="00F07AAC" w:rsidRPr="00310835" w:rsidRDefault="001443F6"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50FD1D80" w:rsidR="00F07AAC" w:rsidRPr="00310835" w:rsidRDefault="00AA4C05"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05037D0"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1B954BF"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3C7516CB"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36B7A6DB" w:rsidR="00F07AAC" w:rsidRPr="00310835" w:rsidRDefault="00400B48" w:rsidP="00725ACB">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2492F53C" w:rsidR="00F07AAC" w:rsidRPr="00310835" w:rsidRDefault="00400B48" w:rsidP="00725ACB">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2C50EFCB" w:rsidR="00F07AAC" w:rsidRPr="00310835" w:rsidRDefault="00400B4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3ECDF591" w:rsidR="00F07AAC" w:rsidRPr="00310835" w:rsidRDefault="00400B4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1DA8D3C9"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F17CFD8"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2E801134"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3B3B3CBC"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69867AA" w:rsidR="00F07AAC" w:rsidRPr="00310835" w:rsidRDefault="008D7AC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402DDEC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0807F794"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1AB0002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6CA9C34C"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32C7A8A9"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3BF7E3D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895B8A3"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5EF388F9"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3F3F7561"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51E8A4F0"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277B5B75"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6B6914CA"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3983C6A7"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3373DDB"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52550C0C"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37057739"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241B2D13"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408AAD30"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0BF870D7" w:rsidR="00F07AAC" w:rsidRPr="00310835" w:rsidRDefault="002A74B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06BA4D6F" w:rsidR="00F07AAC" w:rsidRPr="00310835" w:rsidRDefault="002A74B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93D3" w14:textId="77777777" w:rsidR="00C94066" w:rsidRDefault="00C94066" w:rsidP="00323A56">
      <w:r>
        <w:separator/>
      </w:r>
    </w:p>
  </w:endnote>
  <w:endnote w:type="continuationSeparator" w:id="0">
    <w:p w14:paraId="0BB66391" w14:textId="77777777" w:rsidR="00C94066" w:rsidRDefault="00C94066" w:rsidP="00323A56">
      <w:r>
        <w:continuationSeparator/>
      </w:r>
    </w:p>
  </w:endnote>
  <w:endnote w:type="continuationNotice" w:id="1">
    <w:p w14:paraId="4AF3C6AA" w14:textId="77777777" w:rsidR="00C94066" w:rsidRDefault="00C94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DAA5" w14:textId="77777777" w:rsidR="00C94066" w:rsidRDefault="00C94066" w:rsidP="00323A56">
      <w:r>
        <w:separator/>
      </w:r>
    </w:p>
  </w:footnote>
  <w:footnote w:type="continuationSeparator" w:id="0">
    <w:p w14:paraId="5389001D" w14:textId="77777777" w:rsidR="00C94066" w:rsidRDefault="00C94066" w:rsidP="00323A56">
      <w:r>
        <w:continuationSeparator/>
      </w:r>
    </w:p>
  </w:footnote>
  <w:footnote w:type="continuationNotice" w:id="1">
    <w:p w14:paraId="3923A0E0" w14:textId="77777777" w:rsidR="00C94066" w:rsidRDefault="00C94066"/>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D132FA"/>
    <w:multiLevelType w:val="hybridMultilevel"/>
    <w:tmpl w:val="ABE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0DE046F"/>
    <w:multiLevelType w:val="hybridMultilevel"/>
    <w:tmpl w:val="90C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617310"/>
    <w:multiLevelType w:val="hybridMultilevel"/>
    <w:tmpl w:val="489C0E6A"/>
    <w:lvl w:ilvl="0" w:tplc="AB6E3B74">
      <w:start w:val="23"/>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546FD"/>
    <w:multiLevelType w:val="hybridMultilevel"/>
    <w:tmpl w:val="1BB0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0"/>
  </w:num>
  <w:num w:numId="5">
    <w:abstractNumId w:val="15"/>
  </w:num>
  <w:num w:numId="6">
    <w:abstractNumId w:val="20"/>
  </w:num>
  <w:num w:numId="7">
    <w:abstractNumId w:val="19"/>
  </w:num>
  <w:num w:numId="8">
    <w:abstractNumId w:val="11"/>
  </w:num>
  <w:num w:numId="9">
    <w:abstractNumId w:val="18"/>
  </w:num>
  <w:num w:numId="10">
    <w:abstractNumId w:val="13"/>
  </w:num>
  <w:num w:numId="11">
    <w:abstractNumId w:val="8"/>
  </w:num>
  <w:num w:numId="12">
    <w:abstractNumId w:val="21"/>
  </w:num>
  <w:num w:numId="13">
    <w:abstractNumId w:val="6"/>
  </w:num>
  <w:num w:numId="14">
    <w:abstractNumId w:val="5"/>
  </w:num>
  <w:num w:numId="15">
    <w:abstractNumId w:val="7"/>
  </w:num>
  <w:num w:numId="16">
    <w:abstractNumId w:val="9"/>
  </w:num>
  <w:num w:numId="17">
    <w:abstractNumId w:val="12"/>
  </w:num>
  <w:num w:numId="18">
    <w:abstractNumId w:val="3"/>
  </w:num>
  <w:num w:numId="19">
    <w:abstractNumId w:val="15"/>
  </w:num>
  <w:num w:numId="20">
    <w:abstractNumId w:val="2"/>
  </w:num>
  <w:num w:numId="21">
    <w:abstractNumId w:val="17"/>
  </w:num>
  <w:num w:numId="22">
    <w:abstractNumId w:val="10"/>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5B8C"/>
    <w:rsid w:val="00006442"/>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2CE"/>
    <w:rsid w:val="000244A8"/>
    <w:rsid w:val="000247A3"/>
    <w:rsid w:val="0002489F"/>
    <w:rsid w:val="00024931"/>
    <w:rsid w:val="0002525B"/>
    <w:rsid w:val="0002600B"/>
    <w:rsid w:val="000308CD"/>
    <w:rsid w:val="00030953"/>
    <w:rsid w:val="00030E17"/>
    <w:rsid w:val="00031272"/>
    <w:rsid w:val="000324C6"/>
    <w:rsid w:val="000332BE"/>
    <w:rsid w:val="00034B7A"/>
    <w:rsid w:val="00034D9C"/>
    <w:rsid w:val="0003507E"/>
    <w:rsid w:val="00035121"/>
    <w:rsid w:val="000358D0"/>
    <w:rsid w:val="00035F4F"/>
    <w:rsid w:val="000366FB"/>
    <w:rsid w:val="000369E5"/>
    <w:rsid w:val="00037A50"/>
    <w:rsid w:val="00037B74"/>
    <w:rsid w:val="00037CDA"/>
    <w:rsid w:val="000406A3"/>
    <w:rsid w:val="00041379"/>
    <w:rsid w:val="00041E41"/>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0C0"/>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1A47"/>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976D5"/>
    <w:rsid w:val="000A0111"/>
    <w:rsid w:val="000A023E"/>
    <w:rsid w:val="000A2366"/>
    <w:rsid w:val="000A23F1"/>
    <w:rsid w:val="000A2694"/>
    <w:rsid w:val="000A2F56"/>
    <w:rsid w:val="000A32C0"/>
    <w:rsid w:val="000A39E4"/>
    <w:rsid w:val="000A41C4"/>
    <w:rsid w:val="000A4429"/>
    <w:rsid w:val="000A518C"/>
    <w:rsid w:val="000A62EB"/>
    <w:rsid w:val="000A6398"/>
    <w:rsid w:val="000A7B6D"/>
    <w:rsid w:val="000B1B2B"/>
    <w:rsid w:val="000B2A11"/>
    <w:rsid w:val="000B30C0"/>
    <w:rsid w:val="000B346E"/>
    <w:rsid w:val="000B3614"/>
    <w:rsid w:val="000B3D53"/>
    <w:rsid w:val="000B3F2D"/>
    <w:rsid w:val="000B5FB2"/>
    <w:rsid w:val="000B66A0"/>
    <w:rsid w:val="000B6D4B"/>
    <w:rsid w:val="000C18D1"/>
    <w:rsid w:val="000C202D"/>
    <w:rsid w:val="000C217D"/>
    <w:rsid w:val="000C286E"/>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DFE"/>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D54"/>
    <w:rsid w:val="000F2EB5"/>
    <w:rsid w:val="000F4624"/>
    <w:rsid w:val="000F4649"/>
    <w:rsid w:val="000F5F59"/>
    <w:rsid w:val="000F6FDB"/>
    <w:rsid w:val="000F71A3"/>
    <w:rsid w:val="000F7A14"/>
    <w:rsid w:val="000F7E0F"/>
    <w:rsid w:val="001029EE"/>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4C6A"/>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803"/>
    <w:rsid w:val="00143E10"/>
    <w:rsid w:val="001443F6"/>
    <w:rsid w:val="00145ED3"/>
    <w:rsid w:val="001468D8"/>
    <w:rsid w:val="00147334"/>
    <w:rsid w:val="00150005"/>
    <w:rsid w:val="00150148"/>
    <w:rsid w:val="0015020A"/>
    <w:rsid w:val="001502D6"/>
    <w:rsid w:val="0015137E"/>
    <w:rsid w:val="001521FB"/>
    <w:rsid w:val="001527AE"/>
    <w:rsid w:val="00153300"/>
    <w:rsid w:val="00153EFD"/>
    <w:rsid w:val="001541D2"/>
    <w:rsid w:val="001547A6"/>
    <w:rsid w:val="0015523B"/>
    <w:rsid w:val="0015570E"/>
    <w:rsid w:val="0015575C"/>
    <w:rsid w:val="00155949"/>
    <w:rsid w:val="0015656B"/>
    <w:rsid w:val="0015756A"/>
    <w:rsid w:val="00157C20"/>
    <w:rsid w:val="00160371"/>
    <w:rsid w:val="001603C1"/>
    <w:rsid w:val="00160F2F"/>
    <w:rsid w:val="00161B95"/>
    <w:rsid w:val="00161E77"/>
    <w:rsid w:val="001626C3"/>
    <w:rsid w:val="00162BA0"/>
    <w:rsid w:val="0016305B"/>
    <w:rsid w:val="00163282"/>
    <w:rsid w:val="00163974"/>
    <w:rsid w:val="00163D14"/>
    <w:rsid w:val="0016407B"/>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171E"/>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BF9"/>
    <w:rsid w:val="00196C22"/>
    <w:rsid w:val="00196E70"/>
    <w:rsid w:val="001A0A61"/>
    <w:rsid w:val="001A0CAF"/>
    <w:rsid w:val="001A1178"/>
    <w:rsid w:val="001A16D8"/>
    <w:rsid w:val="001A2EFF"/>
    <w:rsid w:val="001A35C2"/>
    <w:rsid w:val="001A3886"/>
    <w:rsid w:val="001A3FCB"/>
    <w:rsid w:val="001A533A"/>
    <w:rsid w:val="001A53E4"/>
    <w:rsid w:val="001A5F4E"/>
    <w:rsid w:val="001A6487"/>
    <w:rsid w:val="001A6F03"/>
    <w:rsid w:val="001A79AF"/>
    <w:rsid w:val="001B0B8C"/>
    <w:rsid w:val="001B1736"/>
    <w:rsid w:val="001B1875"/>
    <w:rsid w:val="001B23F8"/>
    <w:rsid w:val="001B27FE"/>
    <w:rsid w:val="001B5B76"/>
    <w:rsid w:val="001B6932"/>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2923"/>
    <w:rsid w:val="001E3666"/>
    <w:rsid w:val="001E4F1E"/>
    <w:rsid w:val="001E5FD4"/>
    <w:rsid w:val="001E6FE8"/>
    <w:rsid w:val="001E7BCA"/>
    <w:rsid w:val="001E7E6B"/>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98A"/>
    <w:rsid w:val="00233E23"/>
    <w:rsid w:val="002341EC"/>
    <w:rsid w:val="002348FA"/>
    <w:rsid w:val="00234BBB"/>
    <w:rsid w:val="002365D5"/>
    <w:rsid w:val="00236672"/>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685"/>
    <w:rsid w:val="002578E9"/>
    <w:rsid w:val="0025794F"/>
    <w:rsid w:val="00257994"/>
    <w:rsid w:val="00257A9C"/>
    <w:rsid w:val="00257C7B"/>
    <w:rsid w:val="002604F4"/>
    <w:rsid w:val="0026116E"/>
    <w:rsid w:val="00261802"/>
    <w:rsid w:val="0026196F"/>
    <w:rsid w:val="0026215B"/>
    <w:rsid w:val="00262465"/>
    <w:rsid w:val="002624A1"/>
    <w:rsid w:val="00262503"/>
    <w:rsid w:val="00264328"/>
    <w:rsid w:val="00266225"/>
    <w:rsid w:val="00267001"/>
    <w:rsid w:val="0027197C"/>
    <w:rsid w:val="00274DFC"/>
    <w:rsid w:val="00275124"/>
    <w:rsid w:val="00275A76"/>
    <w:rsid w:val="00275C56"/>
    <w:rsid w:val="00276DAD"/>
    <w:rsid w:val="002772B4"/>
    <w:rsid w:val="00277580"/>
    <w:rsid w:val="00277653"/>
    <w:rsid w:val="0027773C"/>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5521"/>
    <w:rsid w:val="002A64EC"/>
    <w:rsid w:val="002A6600"/>
    <w:rsid w:val="002A74B2"/>
    <w:rsid w:val="002A77FF"/>
    <w:rsid w:val="002B04CA"/>
    <w:rsid w:val="002B104E"/>
    <w:rsid w:val="002B15A5"/>
    <w:rsid w:val="002B4F5B"/>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42A"/>
    <w:rsid w:val="002C7C25"/>
    <w:rsid w:val="002D0661"/>
    <w:rsid w:val="002D0AA0"/>
    <w:rsid w:val="002D0C33"/>
    <w:rsid w:val="002D1DF8"/>
    <w:rsid w:val="002D1F42"/>
    <w:rsid w:val="002D2918"/>
    <w:rsid w:val="002D3509"/>
    <w:rsid w:val="002D433F"/>
    <w:rsid w:val="002D5081"/>
    <w:rsid w:val="002D605E"/>
    <w:rsid w:val="002D606D"/>
    <w:rsid w:val="002D6398"/>
    <w:rsid w:val="002E017F"/>
    <w:rsid w:val="002E0186"/>
    <w:rsid w:val="002E037E"/>
    <w:rsid w:val="002E0918"/>
    <w:rsid w:val="002E28D9"/>
    <w:rsid w:val="002E332D"/>
    <w:rsid w:val="002E3372"/>
    <w:rsid w:val="002E33FA"/>
    <w:rsid w:val="002E3689"/>
    <w:rsid w:val="002E4273"/>
    <w:rsid w:val="002E557A"/>
    <w:rsid w:val="002E6B0E"/>
    <w:rsid w:val="002E7FF1"/>
    <w:rsid w:val="002F02F5"/>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3F73"/>
    <w:rsid w:val="0032403F"/>
    <w:rsid w:val="00324ED2"/>
    <w:rsid w:val="0032546C"/>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4689C"/>
    <w:rsid w:val="00350042"/>
    <w:rsid w:val="003501C3"/>
    <w:rsid w:val="0035021B"/>
    <w:rsid w:val="0035162E"/>
    <w:rsid w:val="00351E72"/>
    <w:rsid w:val="003522FA"/>
    <w:rsid w:val="00352BCB"/>
    <w:rsid w:val="00353117"/>
    <w:rsid w:val="0035645C"/>
    <w:rsid w:val="00356BC2"/>
    <w:rsid w:val="00356CDA"/>
    <w:rsid w:val="00356F38"/>
    <w:rsid w:val="003572B0"/>
    <w:rsid w:val="00357B6F"/>
    <w:rsid w:val="00360F43"/>
    <w:rsid w:val="00361273"/>
    <w:rsid w:val="003615F1"/>
    <w:rsid w:val="00361ACF"/>
    <w:rsid w:val="00362AFD"/>
    <w:rsid w:val="003635F0"/>
    <w:rsid w:val="00363632"/>
    <w:rsid w:val="003646B9"/>
    <w:rsid w:val="003649E4"/>
    <w:rsid w:val="0036634B"/>
    <w:rsid w:val="00367160"/>
    <w:rsid w:val="003673BD"/>
    <w:rsid w:val="00372C11"/>
    <w:rsid w:val="00373213"/>
    <w:rsid w:val="003734D0"/>
    <w:rsid w:val="003734EB"/>
    <w:rsid w:val="00373734"/>
    <w:rsid w:val="0037407E"/>
    <w:rsid w:val="00374115"/>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5FF7"/>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6E28"/>
    <w:rsid w:val="00397106"/>
    <w:rsid w:val="0039736E"/>
    <w:rsid w:val="003A00D1"/>
    <w:rsid w:val="003A0AE4"/>
    <w:rsid w:val="003A18B1"/>
    <w:rsid w:val="003A19E2"/>
    <w:rsid w:val="003A262C"/>
    <w:rsid w:val="003A35B7"/>
    <w:rsid w:val="003A3837"/>
    <w:rsid w:val="003A4323"/>
    <w:rsid w:val="003A5737"/>
    <w:rsid w:val="003A5CD9"/>
    <w:rsid w:val="003A6F38"/>
    <w:rsid w:val="003A75BB"/>
    <w:rsid w:val="003B0519"/>
    <w:rsid w:val="003B08CC"/>
    <w:rsid w:val="003B09FD"/>
    <w:rsid w:val="003B3CEE"/>
    <w:rsid w:val="003B3E17"/>
    <w:rsid w:val="003B5772"/>
    <w:rsid w:val="003B789F"/>
    <w:rsid w:val="003B7CBD"/>
    <w:rsid w:val="003C172E"/>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24B"/>
    <w:rsid w:val="003E545B"/>
    <w:rsid w:val="003E5953"/>
    <w:rsid w:val="003E786B"/>
    <w:rsid w:val="003E78E9"/>
    <w:rsid w:val="003F130C"/>
    <w:rsid w:val="003F1A58"/>
    <w:rsid w:val="003F2C66"/>
    <w:rsid w:val="003F33CD"/>
    <w:rsid w:val="003F5543"/>
    <w:rsid w:val="003F6278"/>
    <w:rsid w:val="00400B48"/>
    <w:rsid w:val="00400EF7"/>
    <w:rsid w:val="004011B8"/>
    <w:rsid w:val="00401A8D"/>
    <w:rsid w:val="00402913"/>
    <w:rsid w:val="0040318D"/>
    <w:rsid w:val="00403280"/>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6C41"/>
    <w:rsid w:val="00427E12"/>
    <w:rsid w:val="00430293"/>
    <w:rsid w:val="004304BD"/>
    <w:rsid w:val="00430805"/>
    <w:rsid w:val="00430F24"/>
    <w:rsid w:val="004316F6"/>
    <w:rsid w:val="00432C1D"/>
    <w:rsid w:val="00432E72"/>
    <w:rsid w:val="00432EBE"/>
    <w:rsid w:val="004334E0"/>
    <w:rsid w:val="00433B12"/>
    <w:rsid w:val="00433B23"/>
    <w:rsid w:val="00434761"/>
    <w:rsid w:val="00434BD8"/>
    <w:rsid w:val="00436193"/>
    <w:rsid w:val="004366D1"/>
    <w:rsid w:val="004406DC"/>
    <w:rsid w:val="00440F46"/>
    <w:rsid w:val="00441284"/>
    <w:rsid w:val="004418C6"/>
    <w:rsid w:val="00441C22"/>
    <w:rsid w:val="00442544"/>
    <w:rsid w:val="0044340B"/>
    <w:rsid w:val="00444054"/>
    <w:rsid w:val="0044437C"/>
    <w:rsid w:val="004454E9"/>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2ABC"/>
    <w:rsid w:val="00473184"/>
    <w:rsid w:val="00475046"/>
    <w:rsid w:val="004762E6"/>
    <w:rsid w:val="004767E7"/>
    <w:rsid w:val="00476D15"/>
    <w:rsid w:val="00476EAC"/>
    <w:rsid w:val="0047718E"/>
    <w:rsid w:val="0048247C"/>
    <w:rsid w:val="00482E54"/>
    <w:rsid w:val="00483C3F"/>
    <w:rsid w:val="00483E64"/>
    <w:rsid w:val="0048421A"/>
    <w:rsid w:val="004848C6"/>
    <w:rsid w:val="00485432"/>
    <w:rsid w:val="00485C28"/>
    <w:rsid w:val="00485E86"/>
    <w:rsid w:val="00485F86"/>
    <w:rsid w:val="00486EAA"/>
    <w:rsid w:val="00487DFC"/>
    <w:rsid w:val="00490422"/>
    <w:rsid w:val="00490A33"/>
    <w:rsid w:val="00491086"/>
    <w:rsid w:val="00491C83"/>
    <w:rsid w:val="00492474"/>
    <w:rsid w:val="00492952"/>
    <w:rsid w:val="00492987"/>
    <w:rsid w:val="004941EA"/>
    <w:rsid w:val="0049481C"/>
    <w:rsid w:val="00495CA3"/>
    <w:rsid w:val="00496C1B"/>
    <w:rsid w:val="00496C5B"/>
    <w:rsid w:val="00497CFA"/>
    <w:rsid w:val="004A00ED"/>
    <w:rsid w:val="004A03E1"/>
    <w:rsid w:val="004A05EB"/>
    <w:rsid w:val="004A0B84"/>
    <w:rsid w:val="004A1B95"/>
    <w:rsid w:val="004A2105"/>
    <w:rsid w:val="004A30DE"/>
    <w:rsid w:val="004A319C"/>
    <w:rsid w:val="004A40A4"/>
    <w:rsid w:val="004A4514"/>
    <w:rsid w:val="004A4E06"/>
    <w:rsid w:val="004A4E5D"/>
    <w:rsid w:val="004A4F54"/>
    <w:rsid w:val="004A54A2"/>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6E6F"/>
    <w:rsid w:val="004D7EF5"/>
    <w:rsid w:val="004E0882"/>
    <w:rsid w:val="004E1059"/>
    <w:rsid w:val="004E1ACA"/>
    <w:rsid w:val="004E1FBB"/>
    <w:rsid w:val="004E2FBD"/>
    <w:rsid w:val="004E3FB7"/>
    <w:rsid w:val="004E4021"/>
    <w:rsid w:val="004E47DD"/>
    <w:rsid w:val="004E4FC6"/>
    <w:rsid w:val="004E526F"/>
    <w:rsid w:val="004E6399"/>
    <w:rsid w:val="004E6B10"/>
    <w:rsid w:val="004F06BB"/>
    <w:rsid w:val="004F0C84"/>
    <w:rsid w:val="004F180A"/>
    <w:rsid w:val="004F1D9E"/>
    <w:rsid w:val="004F25A6"/>
    <w:rsid w:val="004F2660"/>
    <w:rsid w:val="004F340D"/>
    <w:rsid w:val="004F3714"/>
    <w:rsid w:val="004F477E"/>
    <w:rsid w:val="004F4D7B"/>
    <w:rsid w:val="004F64B8"/>
    <w:rsid w:val="004F65C3"/>
    <w:rsid w:val="004F7474"/>
    <w:rsid w:val="004F754B"/>
    <w:rsid w:val="004F779E"/>
    <w:rsid w:val="004F7DDE"/>
    <w:rsid w:val="00500379"/>
    <w:rsid w:val="00500B8D"/>
    <w:rsid w:val="00501257"/>
    <w:rsid w:val="00502AAF"/>
    <w:rsid w:val="0050345C"/>
    <w:rsid w:val="00504A60"/>
    <w:rsid w:val="00504AEF"/>
    <w:rsid w:val="00504E94"/>
    <w:rsid w:val="00504F09"/>
    <w:rsid w:val="00505A6C"/>
    <w:rsid w:val="005060DE"/>
    <w:rsid w:val="0050648E"/>
    <w:rsid w:val="0050708A"/>
    <w:rsid w:val="00510309"/>
    <w:rsid w:val="00510BA2"/>
    <w:rsid w:val="005125A5"/>
    <w:rsid w:val="005127D3"/>
    <w:rsid w:val="00512B0B"/>
    <w:rsid w:val="00512E3A"/>
    <w:rsid w:val="00513842"/>
    <w:rsid w:val="00513A12"/>
    <w:rsid w:val="005144E8"/>
    <w:rsid w:val="005146B7"/>
    <w:rsid w:val="00514B46"/>
    <w:rsid w:val="00514BBC"/>
    <w:rsid w:val="005151EE"/>
    <w:rsid w:val="0051538F"/>
    <w:rsid w:val="005162D9"/>
    <w:rsid w:val="005171E3"/>
    <w:rsid w:val="00520068"/>
    <w:rsid w:val="00520114"/>
    <w:rsid w:val="0052018D"/>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5EC"/>
    <w:rsid w:val="00534A5B"/>
    <w:rsid w:val="00540F9F"/>
    <w:rsid w:val="00541226"/>
    <w:rsid w:val="00541733"/>
    <w:rsid w:val="00541B40"/>
    <w:rsid w:val="00542D00"/>
    <w:rsid w:val="00543B39"/>
    <w:rsid w:val="00543B3B"/>
    <w:rsid w:val="00544FAB"/>
    <w:rsid w:val="00545DD4"/>
    <w:rsid w:val="00545E78"/>
    <w:rsid w:val="00546DEE"/>
    <w:rsid w:val="0054754D"/>
    <w:rsid w:val="005476EF"/>
    <w:rsid w:val="00547AB7"/>
    <w:rsid w:val="00550F7B"/>
    <w:rsid w:val="00551DAE"/>
    <w:rsid w:val="00552969"/>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4D2F"/>
    <w:rsid w:val="00565648"/>
    <w:rsid w:val="005657AD"/>
    <w:rsid w:val="00566B20"/>
    <w:rsid w:val="00570730"/>
    <w:rsid w:val="005710EA"/>
    <w:rsid w:val="00571DCA"/>
    <w:rsid w:val="005723A5"/>
    <w:rsid w:val="005726F3"/>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4AC"/>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4CDD"/>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53D"/>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4FB"/>
    <w:rsid w:val="005E1F07"/>
    <w:rsid w:val="005E2970"/>
    <w:rsid w:val="005E31B9"/>
    <w:rsid w:val="005E350E"/>
    <w:rsid w:val="005E3B5C"/>
    <w:rsid w:val="005E45E0"/>
    <w:rsid w:val="005E58FB"/>
    <w:rsid w:val="005E59CC"/>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6645"/>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5C8"/>
    <w:rsid w:val="00610AD9"/>
    <w:rsid w:val="00611C1C"/>
    <w:rsid w:val="006141F6"/>
    <w:rsid w:val="00614297"/>
    <w:rsid w:val="00614953"/>
    <w:rsid w:val="00614B4A"/>
    <w:rsid w:val="006151E1"/>
    <w:rsid w:val="00615930"/>
    <w:rsid w:val="00615D28"/>
    <w:rsid w:val="00617630"/>
    <w:rsid w:val="00617F54"/>
    <w:rsid w:val="00620F06"/>
    <w:rsid w:val="00621D52"/>
    <w:rsid w:val="00622EEA"/>
    <w:rsid w:val="006233D9"/>
    <w:rsid w:val="006237B0"/>
    <w:rsid w:val="00624088"/>
    <w:rsid w:val="00624640"/>
    <w:rsid w:val="00624C52"/>
    <w:rsid w:val="00624CE9"/>
    <w:rsid w:val="00625CBA"/>
    <w:rsid w:val="00626990"/>
    <w:rsid w:val="00626BD9"/>
    <w:rsid w:val="00627751"/>
    <w:rsid w:val="00630678"/>
    <w:rsid w:val="00630803"/>
    <w:rsid w:val="006313CD"/>
    <w:rsid w:val="0063156D"/>
    <w:rsid w:val="006319DF"/>
    <w:rsid w:val="00631F0A"/>
    <w:rsid w:val="00632785"/>
    <w:rsid w:val="00632E44"/>
    <w:rsid w:val="0063350F"/>
    <w:rsid w:val="00633E04"/>
    <w:rsid w:val="00634170"/>
    <w:rsid w:val="00634E60"/>
    <w:rsid w:val="00635736"/>
    <w:rsid w:val="00635BC3"/>
    <w:rsid w:val="006374FD"/>
    <w:rsid w:val="0063782B"/>
    <w:rsid w:val="0064167A"/>
    <w:rsid w:val="00642056"/>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2BE3"/>
    <w:rsid w:val="00653794"/>
    <w:rsid w:val="00653C4D"/>
    <w:rsid w:val="00654F28"/>
    <w:rsid w:val="006551F0"/>
    <w:rsid w:val="0065570E"/>
    <w:rsid w:val="00655C9A"/>
    <w:rsid w:val="00655E71"/>
    <w:rsid w:val="00656080"/>
    <w:rsid w:val="00656733"/>
    <w:rsid w:val="00656911"/>
    <w:rsid w:val="00656A3D"/>
    <w:rsid w:val="00656D34"/>
    <w:rsid w:val="0066193F"/>
    <w:rsid w:val="00661CC2"/>
    <w:rsid w:val="0066262E"/>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3BC"/>
    <w:rsid w:val="00676917"/>
    <w:rsid w:val="00677545"/>
    <w:rsid w:val="00677EB2"/>
    <w:rsid w:val="006805AF"/>
    <w:rsid w:val="006809BC"/>
    <w:rsid w:val="006813B1"/>
    <w:rsid w:val="006817EA"/>
    <w:rsid w:val="00683593"/>
    <w:rsid w:val="00683AB0"/>
    <w:rsid w:val="00684B58"/>
    <w:rsid w:val="00684F6A"/>
    <w:rsid w:val="0068604E"/>
    <w:rsid w:val="006861CE"/>
    <w:rsid w:val="006866AD"/>
    <w:rsid w:val="00686F51"/>
    <w:rsid w:val="00687979"/>
    <w:rsid w:val="00687F48"/>
    <w:rsid w:val="006909C3"/>
    <w:rsid w:val="006909EA"/>
    <w:rsid w:val="0069177A"/>
    <w:rsid w:val="00692924"/>
    <w:rsid w:val="0069337F"/>
    <w:rsid w:val="0069408B"/>
    <w:rsid w:val="0069461E"/>
    <w:rsid w:val="00694729"/>
    <w:rsid w:val="00694F9E"/>
    <w:rsid w:val="00695858"/>
    <w:rsid w:val="00695CF2"/>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990"/>
    <w:rsid w:val="006B3E7F"/>
    <w:rsid w:val="006B4B4C"/>
    <w:rsid w:val="006B697C"/>
    <w:rsid w:val="006B6CCB"/>
    <w:rsid w:val="006B7106"/>
    <w:rsid w:val="006C0DE3"/>
    <w:rsid w:val="006C171A"/>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479D"/>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558"/>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704"/>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229"/>
    <w:rsid w:val="00725465"/>
    <w:rsid w:val="0072552B"/>
    <w:rsid w:val="007257DC"/>
    <w:rsid w:val="00725ACB"/>
    <w:rsid w:val="00725DA6"/>
    <w:rsid w:val="007267AE"/>
    <w:rsid w:val="0072720E"/>
    <w:rsid w:val="0073003D"/>
    <w:rsid w:val="00730285"/>
    <w:rsid w:val="007307FB"/>
    <w:rsid w:val="007310AA"/>
    <w:rsid w:val="0073191D"/>
    <w:rsid w:val="00733BDC"/>
    <w:rsid w:val="00734846"/>
    <w:rsid w:val="007354B3"/>
    <w:rsid w:val="007367B8"/>
    <w:rsid w:val="0073692D"/>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2E7E"/>
    <w:rsid w:val="00773ACB"/>
    <w:rsid w:val="00773AD2"/>
    <w:rsid w:val="0077408D"/>
    <w:rsid w:val="00774CFC"/>
    <w:rsid w:val="00774D92"/>
    <w:rsid w:val="0077634C"/>
    <w:rsid w:val="00777565"/>
    <w:rsid w:val="0077757B"/>
    <w:rsid w:val="00777AF1"/>
    <w:rsid w:val="00780E86"/>
    <w:rsid w:val="00781C75"/>
    <w:rsid w:val="00782C16"/>
    <w:rsid w:val="00782C8F"/>
    <w:rsid w:val="00783800"/>
    <w:rsid w:val="00783C25"/>
    <w:rsid w:val="007842D5"/>
    <w:rsid w:val="00785182"/>
    <w:rsid w:val="0078693F"/>
    <w:rsid w:val="00786C9D"/>
    <w:rsid w:val="007874D4"/>
    <w:rsid w:val="0078771F"/>
    <w:rsid w:val="00790CCE"/>
    <w:rsid w:val="00792457"/>
    <w:rsid w:val="0079345B"/>
    <w:rsid w:val="00793B1B"/>
    <w:rsid w:val="007949E4"/>
    <w:rsid w:val="00794E66"/>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D0D"/>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24D"/>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7A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5A3"/>
    <w:rsid w:val="008158DE"/>
    <w:rsid w:val="008160A7"/>
    <w:rsid w:val="00816429"/>
    <w:rsid w:val="00816521"/>
    <w:rsid w:val="008177B6"/>
    <w:rsid w:val="00817C6E"/>
    <w:rsid w:val="00821AAC"/>
    <w:rsid w:val="00822DDD"/>
    <w:rsid w:val="00822E03"/>
    <w:rsid w:val="00823820"/>
    <w:rsid w:val="00824901"/>
    <w:rsid w:val="00825BCB"/>
    <w:rsid w:val="00826759"/>
    <w:rsid w:val="0082687F"/>
    <w:rsid w:val="00826BBD"/>
    <w:rsid w:val="00827080"/>
    <w:rsid w:val="0082788E"/>
    <w:rsid w:val="0083029C"/>
    <w:rsid w:val="00831733"/>
    <w:rsid w:val="008317BB"/>
    <w:rsid w:val="008349E8"/>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8C2"/>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46F"/>
    <w:rsid w:val="00865A82"/>
    <w:rsid w:val="00866C9E"/>
    <w:rsid w:val="00867125"/>
    <w:rsid w:val="008703C6"/>
    <w:rsid w:val="00871320"/>
    <w:rsid w:val="00871379"/>
    <w:rsid w:val="00871EE3"/>
    <w:rsid w:val="008747B0"/>
    <w:rsid w:val="008754B7"/>
    <w:rsid w:val="0087554E"/>
    <w:rsid w:val="008755A1"/>
    <w:rsid w:val="0087589A"/>
    <w:rsid w:val="00875993"/>
    <w:rsid w:val="00880158"/>
    <w:rsid w:val="00880396"/>
    <w:rsid w:val="008818AB"/>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068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8E2"/>
    <w:rsid w:val="008D19B2"/>
    <w:rsid w:val="008D2633"/>
    <w:rsid w:val="008D57E2"/>
    <w:rsid w:val="008D5DF9"/>
    <w:rsid w:val="008D6363"/>
    <w:rsid w:val="008D6AEA"/>
    <w:rsid w:val="008D7AC8"/>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0F9"/>
    <w:rsid w:val="008F3481"/>
    <w:rsid w:val="008F36AD"/>
    <w:rsid w:val="008F4533"/>
    <w:rsid w:val="008F6265"/>
    <w:rsid w:val="008F6289"/>
    <w:rsid w:val="008F67C9"/>
    <w:rsid w:val="008F6AD2"/>
    <w:rsid w:val="008F7CAD"/>
    <w:rsid w:val="009002E9"/>
    <w:rsid w:val="00901A20"/>
    <w:rsid w:val="0090226B"/>
    <w:rsid w:val="009027E8"/>
    <w:rsid w:val="00902DD7"/>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C05"/>
    <w:rsid w:val="00916D6C"/>
    <w:rsid w:val="00922A6F"/>
    <w:rsid w:val="00923108"/>
    <w:rsid w:val="00923B85"/>
    <w:rsid w:val="009250AD"/>
    <w:rsid w:val="00925451"/>
    <w:rsid w:val="00925946"/>
    <w:rsid w:val="009259F7"/>
    <w:rsid w:val="009264AC"/>
    <w:rsid w:val="00926A05"/>
    <w:rsid w:val="00927468"/>
    <w:rsid w:val="009274F7"/>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39B8"/>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09F"/>
    <w:rsid w:val="0099316D"/>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7B7"/>
    <w:rsid w:val="009E4D8C"/>
    <w:rsid w:val="009E5045"/>
    <w:rsid w:val="009E54BB"/>
    <w:rsid w:val="009E640A"/>
    <w:rsid w:val="009E6ACA"/>
    <w:rsid w:val="009E78DE"/>
    <w:rsid w:val="009F0578"/>
    <w:rsid w:val="009F0D54"/>
    <w:rsid w:val="009F1035"/>
    <w:rsid w:val="009F111B"/>
    <w:rsid w:val="009F16F7"/>
    <w:rsid w:val="009F1DE4"/>
    <w:rsid w:val="009F21ED"/>
    <w:rsid w:val="009F28E5"/>
    <w:rsid w:val="009F3B34"/>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A14"/>
    <w:rsid w:val="00A03E2E"/>
    <w:rsid w:val="00A042C8"/>
    <w:rsid w:val="00A043EF"/>
    <w:rsid w:val="00A05009"/>
    <w:rsid w:val="00A056E0"/>
    <w:rsid w:val="00A1052C"/>
    <w:rsid w:val="00A10955"/>
    <w:rsid w:val="00A11599"/>
    <w:rsid w:val="00A11618"/>
    <w:rsid w:val="00A138D2"/>
    <w:rsid w:val="00A1421C"/>
    <w:rsid w:val="00A14621"/>
    <w:rsid w:val="00A1563C"/>
    <w:rsid w:val="00A15A4E"/>
    <w:rsid w:val="00A15D7A"/>
    <w:rsid w:val="00A16025"/>
    <w:rsid w:val="00A16314"/>
    <w:rsid w:val="00A16955"/>
    <w:rsid w:val="00A16B40"/>
    <w:rsid w:val="00A173A3"/>
    <w:rsid w:val="00A176CB"/>
    <w:rsid w:val="00A22A8D"/>
    <w:rsid w:val="00A22E80"/>
    <w:rsid w:val="00A2306E"/>
    <w:rsid w:val="00A2320A"/>
    <w:rsid w:val="00A23CA4"/>
    <w:rsid w:val="00A24740"/>
    <w:rsid w:val="00A26C42"/>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569E"/>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09A3"/>
    <w:rsid w:val="00A715B4"/>
    <w:rsid w:val="00A72032"/>
    <w:rsid w:val="00A7270D"/>
    <w:rsid w:val="00A73B36"/>
    <w:rsid w:val="00A7417C"/>
    <w:rsid w:val="00A754D0"/>
    <w:rsid w:val="00A7553D"/>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48A2"/>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4C05"/>
    <w:rsid w:val="00AA5072"/>
    <w:rsid w:val="00AA51E7"/>
    <w:rsid w:val="00AA5B47"/>
    <w:rsid w:val="00AA66D4"/>
    <w:rsid w:val="00AA7EA2"/>
    <w:rsid w:val="00AB03ED"/>
    <w:rsid w:val="00AB21E6"/>
    <w:rsid w:val="00AB2DB9"/>
    <w:rsid w:val="00AB4017"/>
    <w:rsid w:val="00AB4129"/>
    <w:rsid w:val="00AB4462"/>
    <w:rsid w:val="00AB465B"/>
    <w:rsid w:val="00AB50EA"/>
    <w:rsid w:val="00AB5572"/>
    <w:rsid w:val="00AB572E"/>
    <w:rsid w:val="00AB7460"/>
    <w:rsid w:val="00AB74E8"/>
    <w:rsid w:val="00AB77CA"/>
    <w:rsid w:val="00AC0661"/>
    <w:rsid w:val="00AC0DD1"/>
    <w:rsid w:val="00AC0FC8"/>
    <w:rsid w:val="00AC2066"/>
    <w:rsid w:val="00AC269E"/>
    <w:rsid w:val="00AC33A5"/>
    <w:rsid w:val="00AC47F3"/>
    <w:rsid w:val="00AC56E1"/>
    <w:rsid w:val="00AC5EDC"/>
    <w:rsid w:val="00AC66C7"/>
    <w:rsid w:val="00AC6CDE"/>
    <w:rsid w:val="00AC6DA3"/>
    <w:rsid w:val="00AD074B"/>
    <w:rsid w:val="00AD07D0"/>
    <w:rsid w:val="00AD14EA"/>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1EA"/>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1B1A"/>
    <w:rsid w:val="00B02781"/>
    <w:rsid w:val="00B061E3"/>
    <w:rsid w:val="00B061E6"/>
    <w:rsid w:val="00B06B24"/>
    <w:rsid w:val="00B06D89"/>
    <w:rsid w:val="00B07F86"/>
    <w:rsid w:val="00B15323"/>
    <w:rsid w:val="00B15680"/>
    <w:rsid w:val="00B15B9B"/>
    <w:rsid w:val="00B15E2D"/>
    <w:rsid w:val="00B15E75"/>
    <w:rsid w:val="00B16C0E"/>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38AA"/>
    <w:rsid w:val="00B342F0"/>
    <w:rsid w:val="00B3442B"/>
    <w:rsid w:val="00B3497C"/>
    <w:rsid w:val="00B349F1"/>
    <w:rsid w:val="00B34FA5"/>
    <w:rsid w:val="00B352E1"/>
    <w:rsid w:val="00B358B2"/>
    <w:rsid w:val="00B35C11"/>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92D"/>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5E59"/>
    <w:rsid w:val="00B862F9"/>
    <w:rsid w:val="00B86D97"/>
    <w:rsid w:val="00B870B6"/>
    <w:rsid w:val="00B87D92"/>
    <w:rsid w:val="00B90604"/>
    <w:rsid w:val="00B922AE"/>
    <w:rsid w:val="00B925C8"/>
    <w:rsid w:val="00B94904"/>
    <w:rsid w:val="00B95096"/>
    <w:rsid w:val="00B95274"/>
    <w:rsid w:val="00B96172"/>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3D15"/>
    <w:rsid w:val="00BC413D"/>
    <w:rsid w:val="00BC42F1"/>
    <w:rsid w:val="00BC46CA"/>
    <w:rsid w:val="00BC63E4"/>
    <w:rsid w:val="00BC69C8"/>
    <w:rsid w:val="00BC6E37"/>
    <w:rsid w:val="00BC74BA"/>
    <w:rsid w:val="00BD03F6"/>
    <w:rsid w:val="00BD0E50"/>
    <w:rsid w:val="00BD12B0"/>
    <w:rsid w:val="00BD1C1F"/>
    <w:rsid w:val="00BD2921"/>
    <w:rsid w:val="00BD3651"/>
    <w:rsid w:val="00BD5DD9"/>
    <w:rsid w:val="00BD6E55"/>
    <w:rsid w:val="00BD794C"/>
    <w:rsid w:val="00BE10A5"/>
    <w:rsid w:val="00BE1AE3"/>
    <w:rsid w:val="00BE3468"/>
    <w:rsid w:val="00BE3535"/>
    <w:rsid w:val="00BE3B58"/>
    <w:rsid w:val="00BE4762"/>
    <w:rsid w:val="00BE5400"/>
    <w:rsid w:val="00BE54A1"/>
    <w:rsid w:val="00BF08FA"/>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636F"/>
    <w:rsid w:val="00BF79FB"/>
    <w:rsid w:val="00BF7D8E"/>
    <w:rsid w:val="00C0050B"/>
    <w:rsid w:val="00C01162"/>
    <w:rsid w:val="00C019E5"/>
    <w:rsid w:val="00C01EFE"/>
    <w:rsid w:val="00C029A5"/>
    <w:rsid w:val="00C029FB"/>
    <w:rsid w:val="00C036B7"/>
    <w:rsid w:val="00C03E8F"/>
    <w:rsid w:val="00C04C4C"/>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1939"/>
    <w:rsid w:val="00C2209C"/>
    <w:rsid w:val="00C236AB"/>
    <w:rsid w:val="00C253D5"/>
    <w:rsid w:val="00C26ACE"/>
    <w:rsid w:val="00C26F6F"/>
    <w:rsid w:val="00C2743D"/>
    <w:rsid w:val="00C30118"/>
    <w:rsid w:val="00C30411"/>
    <w:rsid w:val="00C307DF"/>
    <w:rsid w:val="00C30C72"/>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73A"/>
    <w:rsid w:val="00C52C1A"/>
    <w:rsid w:val="00C52C7C"/>
    <w:rsid w:val="00C53167"/>
    <w:rsid w:val="00C55046"/>
    <w:rsid w:val="00C5530F"/>
    <w:rsid w:val="00C6137F"/>
    <w:rsid w:val="00C61549"/>
    <w:rsid w:val="00C619DE"/>
    <w:rsid w:val="00C625C1"/>
    <w:rsid w:val="00C64DD8"/>
    <w:rsid w:val="00C654F5"/>
    <w:rsid w:val="00C65BF8"/>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3D2"/>
    <w:rsid w:val="00C8556F"/>
    <w:rsid w:val="00C857EA"/>
    <w:rsid w:val="00C859B5"/>
    <w:rsid w:val="00C85D27"/>
    <w:rsid w:val="00C8792F"/>
    <w:rsid w:val="00C87D9E"/>
    <w:rsid w:val="00C90B69"/>
    <w:rsid w:val="00C91265"/>
    <w:rsid w:val="00C9199E"/>
    <w:rsid w:val="00C91B50"/>
    <w:rsid w:val="00C9338A"/>
    <w:rsid w:val="00C93590"/>
    <w:rsid w:val="00C93D37"/>
    <w:rsid w:val="00C94066"/>
    <w:rsid w:val="00C94262"/>
    <w:rsid w:val="00C94984"/>
    <w:rsid w:val="00C9634A"/>
    <w:rsid w:val="00C96464"/>
    <w:rsid w:val="00C96749"/>
    <w:rsid w:val="00C96776"/>
    <w:rsid w:val="00C96ABD"/>
    <w:rsid w:val="00C96C3D"/>
    <w:rsid w:val="00C979DA"/>
    <w:rsid w:val="00CA09BF"/>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355"/>
    <w:rsid w:val="00CC7EB5"/>
    <w:rsid w:val="00CD0193"/>
    <w:rsid w:val="00CD031E"/>
    <w:rsid w:val="00CD05E1"/>
    <w:rsid w:val="00CD0ADC"/>
    <w:rsid w:val="00CD2262"/>
    <w:rsid w:val="00CD3159"/>
    <w:rsid w:val="00CD3EA3"/>
    <w:rsid w:val="00CD43FB"/>
    <w:rsid w:val="00CD4986"/>
    <w:rsid w:val="00CD5294"/>
    <w:rsid w:val="00CD62BF"/>
    <w:rsid w:val="00CD6B86"/>
    <w:rsid w:val="00CD6FBE"/>
    <w:rsid w:val="00CE012F"/>
    <w:rsid w:val="00CE0E45"/>
    <w:rsid w:val="00CE18E3"/>
    <w:rsid w:val="00CE3665"/>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92"/>
    <w:rsid w:val="00D047CC"/>
    <w:rsid w:val="00D04D28"/>
    <w:rsid w:val="00D04D48"/>
    <w:rsid w:val="00D052BD"/>
    <w:rsid w:val="00D07184"/>
    <w:rsid w:val="00D077DC"/>
    <w:rsid w:val="00D0789F"/>
    <w:rsid w:val="00D07A32"/>
    <w:rsid w:val="00D1035E"/>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55A6"/>
    <w:rsid w:val="00D46AC6"/>
    <w:rsid w:val="00D5012B"/>
    <w:rsid w:val="00D50615"/>
    <w:rsid w:val="00D51358"/>
    <w:rsid w:val="00D5152D"/>
    <w:rsid w:val="00D51D48"/>
    <w:rsid w:val="00D545D2"/>
    <w:rsid w:val="00D55EC2"/>
    <w:rsid w:val="00D56113"/>
    <w:rsid w:val="00D57245"/>
    <w:rsid w:val="00D576F8"/>
    <w:rsid w:val="00D57BAA"/>
    <w:rsid w:val="00D57E3E"/>
    <w:rsid w:val="00D603C1"/>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5713"/>
    <w:rsid w:val="00D7684F"/>
    <w:rsid w:val="00D80C4E"/>
    <w:rsid w:val="00D81F16"/>
    <w:rsid w:val="00D840C1"/>
    <w:rsid w:val="00D8492A"/>
    <w:rsid w:val="00D84E7E"/>
    <w:rsid w:val="00D85C7F"/>
    <w:rsid w:val="00D872F9"/>
    <w:rsid w:val="00D90297"/>
    <w:rsid w:val="00D9072C"/>
    <w:rsid w:val="00D90AD2"/>
    <w:rsid w:val="00D90E0E"/>
    <w:rsid w:val="00D916F9"/>
    <w:rsid w:val="00D921FE"/>
    <w:rsid w:val="00D93988"/>
    <w:rsid w:val="00D93D8F"/>
    <w:rsid w:val="00D94246"/>
    <w:rsid w:val="00D959D5"/>
    <w:rsid w:val="00D95CF8"/>
    <w:rsid w:val="00D97241"/>
    <w:rsid w:val="00D977CA"/>
    <w:rsid w:val="00DA0359"/>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36"/>
    <w:rsid w:val="00DB418F"/>
    <w:rsid w:val="00DB6024"/>
    <w:rsid w:val="00DB6EC9"/>
    <w:rsid w:val="00DB6EE9"/>
    <w:rsid w:val="00DB7405"/>
    <w:rsid w:val="00DC1183"/>
    <w:rsid w:val="00DC124B"/>
    <w:rsid w:val="00DC1258"/>
    <w:rsid w:val="00DC402E"/>
    <w:rsid w:val="00DC5D1B"/>
    <w:rsid w:val="00DC5D37"/>
    <w:rsid w:val="00DC6874"/>
    <w:rsid w:val="00DC6A61"/>
    <w:rsid w:val="00DC6F60"/>
    <w:rsid w:val="00DC71B4"/>
    <w:rsid w:val="00DC7365"/>
    <w:rsid w:val="00DC7F9E"/>
    <w:rsid w:val="00DD0FCA"/>
    <w:rsid w:val="00DD1EF0"/>
    <w:rsid w:val="00DD211B"/>
    <w:rsid w:val="00DD2247"/>
    <w:rsid w:val="00DD22B5"/>
    <w:rsid w:val="00DD330A"/>
    <w:rsid w:val="00DD3449"/>
    <w:rsid w:val="00DD4635"/>
    <w:rsid w:val="00DD464B"/>
    <w:rsid w:val="00DD4FDA"/>
    <w:rsid w:val="00DD58F2"/>
    <w:rsid w:val="00DD5AC6"/>
    <w:rsid w:val="00DD5ADD"/>
    <w:rsid w:val="00DD5F24"/>
    <w:rsid w:val="00DD6C0B"/>
    <w:rsid w:val="00DD720B"/>
    <w:rsid w:val="00DD7F0B"/>
    <w:rsid w:val="00DE0512"/>
    <w:rsid w:val="00DE0538"/>
    <w:rsid w:val="00DE09E3"/>
    <w:rsid w:val="00DE0A8A"/>
    <w:rsid w:val="00DE0EA1"/>
    <w:rsid w:val="00DE1162"/>
    <w:rsid w:val="00DE3432"/>
    <w:rsid w:val="00DE360E"/>
    <w:rsid w:val="00DE4090"/>
    <w:rsid w:val="00DE421B"/>
    <w:rsid w:val="00DE60DE"/>
    <w:rsid w:val="00DE689C"/>
    <w:rsid w:val="00DE7D95"/>
    <w:rsid w:val="00DF041B"/>
    <w:rsid w:val="00DF0CE0"/>
    <w:rsid w:val="00DF0D5D"/>
    <w:rsid w:val="00DF0E35"/>
    <w:rsid w:val="00DF1120"/>
    <w:rsid w:val="00DF27FC"/>
    <w:rsid w:val="00DF3124"/>
    <w:rsid w:val="00DF36AB"/>
    <w:rsid w:val="00DF38FA"/>
    <w:rsid w:val="00DF43CC"/>
    <w:rsid w:val="00DF44AD"/>
    <w:rsid w:val="00DF4687"/>
    <w:rsid w:val="00DF59A6"/>
    <w:rsid w:val="00DF6AD8"/>
    <w:rsid w:val="00DF7746"/>
    <w:rsid w:val="00E0012A"/>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D51"/>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05"/>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3745A"/>
    <w:rsid w:val="00E40EDA"/>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346"/>
    <w:rsid w:val="00E558F1"/>
    <w:rsid w:val="00E57AC8"/>
    <w:rsid w:val="00E603E0"/>
    <w:rsid w:val="00E60E68"/>
    <w:rsid w:val="00E60F9A"/>
    <w:rsid w:val="00E6122C"/>
    <w:rsid w:val="00E61766"/>
    <w:rsid w:val="00E61A81"/>
    <w:rsid w:val="00E621F3"/>
    <w:rsid w:val="00E63AF8"/>
    <w:rsid w:val="00E63D56"/>
    <w:rsid w:val="00E63E2D"/>
    <w:rsid w:val="00E643E4"/>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48C"/>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5737"/>
    <w:rsid w:val="00E96310"/>
    <w:rsid w:val="00E966CA"/>
    <w:rsid w:val="00E968A6"/>
    <w:rsid w:val="00E9746D"/>
    <w:rsid w:val="00E97920"/>
    <w:rsid w:val="00EA0679"/>
    <w:rsid w:val="00EA0E93"/>
    <w:rsid w:val="00EA10CF"/>
    <w:rsid w:val="00EA12CE"/>
    <w:rsid w:val="00EA136E"/>
    <w:rsid w:val="00EA210F"/>
    <w:rsid w:val="00EA299B"/>
    <w:rsid w:val="00EA3C31"/>
    <w:rsid w:val="00EA4096"/>
    <w:rsid w:val="00EA40B3"/>
    <w:rsid w:val="00EA49E0"/>
    <w:rsid w:val="00EA4A02"/>
    <w:rsid w:val="00EA4CFC"/>
    <w:rsid w:val="00EA5D60"/>
    <w:rsid w:val="00EA61FC"/>
    <w:rsid w:val="00EA79A5"/>
    <w:rsid w:val="00EA7AF5"/>
    <w:rsid w:val="00EA7DCB"/>
    <w:rsid w:val="00EB0700"/>
    <w:rsid w:val="00EB0B2E"/>
    <w:rsid w:val="00EB207F"/>
    <w:rsid w:val="00EB20AC"/>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2766"/>
    <w:rsid w:val="00ED3693"/>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1F3"/>
    <w:rsid w:val="00EE78B1"/>
    <w:rsid w:val="00EE7AB3"/>
    <w:rsid w:val="00EF05E6"/>
    <w:rsid w:val="00EF0E8F"/>
    <w:rsid w:val="00EF1305"/>
    <w:rsid w:val="00EF41CC"/>
    <w:rsid w:val="00EF60B5"/>
    <w:rsid w:val="00EF6B6E"/>
    <w:rsid w:val="00EF6D34"/>
    <w:rsid w:val="00EF7141"/>
    <w:rsid w:val="00EF75B6"/>
    <w:rsid w:val="00EF7CCD"/>
    <w:rsid w:val="00EF7F09"/>
    <w:rsid w:val="00F00010"/>
    <w:rsid w:val="00F00FF0"/>
    <w:rsid w:val="00F017F7"/>
    <w:rsid w:val="00F01B98"/>
    <w:rsid w:val="00F0213B"/>
    <w:rsid w:val="00F02882"/>
    <w:rsid w:val="00F02AF2"/>
    <w:rsid w:val="00F034C0"/>
    <w:rsid w:val="00F038B7"/>
    <w:rsid w:val="00F03CEA"/>
    <w:rsid w:val="00F04388"/>
    <w:rsid w:val="00F05112"/>
    <w:rsid w:val="00F069D1"/>
    <w:rsid w:val="00F069F1"/>
    <w:rsid w:val="00F07AAC"/>
    <w:rsid w:val="00F07D61"/>
    <w:rsid w:val="00F07D7E"/>
    <w:rsid w:val="00F07FE9"/>
    <w:rsid w:val="00F105A3"/>
    <w:rsid w:val="00F1087D"/>
    <w:rsid w:val="00F11165"/>
    <w:rsid w:val="00F11E8C"/>
    <w:rsid w:val="00F13CA0"/>
    <w:rsid w:val="00F156E6"/>
    <w:rsid w:val="00F163AC"/>
    <w:rsid w:val="00F17479"/>
    <w:rsid w:val="00F175F0"/>
    <w:rsid w:val="00F21DAD"/>
    <w:rsid w:val="00F22DE1"/>
    <w:rsid w:val="00F2357A"/>
    <w:rsid w:val="00F238ED"/>
    <w:rsid w:val="00F24191"/>
    <w:rsid w:val="00F24346"/>
    <w:rsid w:val="00F2468A"/>
    <w:rsid w:val="00F25295"/>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06F0"/>
    <w:rsid w:val="00F415EC"/>
    <w:rsid w:val="00F41955"/>
    <w:rsid w:val="00F41ED1"/>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7024"/>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281F"/>
    <w:rsid w:val="00F734B0"/>
    <w:rsid w:val="00F74192"/>
    <w:rsid w:val="00F75996"/>
    <w:rsid w:val="00F75C7F"/>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1D"/>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3FE"/>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406"/>
    <w:rsid w:val="00FF29B8"/>
    <w:rsid w:val="00FF2A3F"/>
    <w:rsid w:val="00FF30ED"/>
    <w:rsid w:val="00FF4830"/>
    <w:rsid w:val="00FF50C7"/>
    <w:rsid w:val="00FF5671"/>
    <w:rsid w:val="00FF5A21"/>
    <w:rsid w:val="00FF5D48"/>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ATLASPDC-4-157186</_dlc_DocId>
    <_dlc_DocIdUrl xmlns="f1161f5b-24a3-4c2d-bc81-44cb9325e8ee">
      <Url>https://info.undp.org/docs/pdc/_layouts/DocIdRedir.aspx?ID=ATLASPDC-4-157186</Url>
      <Description>ATLASPDC-4-157186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C158C535-0B16-43E7-A251-F06BCADC59EC}">
  <ds:schemaRefs>
    <ds:schemaRef ds:uri="http://schemas.microsoft.com/office/infopath/2007/PartnerControls"/>
    <ds:schemaRef ds:uri="http://purl.org/dc/dcmitype/"/>
    <ds:schemaRef ds:uri="http://purl.org/dc/elements/1.1/"/>
    <ds:schemaRef ds:uri="http://schemas.openxmlformats.org/package/2006/metadata/core-properties"/>
    <ds:schemaRef ds:uri="30e5afaf-6cf8-4056-8ba6-e1679727d4ac"/>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344963-DAD1-45B8-B5BF-32B4CA7A44FE}"/>
</file>

<file path=customXml/itemProps4.xml><?xml version="1.0" encoding="utf-8"?>
<ds:datastoreItem xmlns:ds="http://schemas.openxmlformats.org/officeDocument/2006/customXml" ds:itemID="{1CB678B1-598B-4D5C-94BB-0C0CBE4C4A8A}">
  <ds:schemaRefs>
    <ds:schemaRef ds:uri="http://schemas.openxmlformats.org/officeDocument/2006/bibliography"/>
  </ds:schemaRefs>
</ds:datastoreItem>
</file>

<file path=customXml/itemProps5.xml><?xml version="1.0" encoding="utf-8"?>
<ds:datastoreItem xmlns:ds="http://schemas.openxmlformats.org/officeDocument/2006/customXml" ds:itemID="{D554F01E-1AD5-4AB4-B397-DBD70905E7E5}"/>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17119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Abdul Riza</cp:lastModifiedBy>
  <cp:revision>2</cp:revision>
  <cp:lastPrinted>2014-12-09T19:35:00Z</cp:lastPrinted>
  <dcterms:created xsi:type="dcterms:W3CDTF">2022-03-16T17:54:00Z</dcterms:created>
  <dcterms:modified xsi:type="dcterms:W3CDTF">2022-03-16T17:54:00Z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00f0b119-7683-4a89-84c3-fd683113b2e0</vt:lpwstr>
  </property>
  <property fmtid="{D5CDD505-2E9C-101B-9397-08002B2CF9AE}" pid="9" name="UNDPPOPPFunctionalArea">
    <vt:lpwstr>Programme and Project</vt:lpwstr>
  </property>
  <property fmtid="{D5CDD505-2E9C-101B-9397-08002B2CF9AE}" pid="10" name="gc6531b704974d528487414686b72f6f">
    <vt:lpwstr>VUT|8d4f78b0-ea3e-45e0-b8d1-38123594b87e</vt:lpwstr>
  </property>
  <property fmtid="{D5CDD505-2E9C-101B-9397-08002B2CF9AE}" pid="11" name="UN LanguagesTaxHTField0">
    <vt:lpwstr>English|7f98b732-4b5b-4b70-ba90-a0eff09b5d2d</vt:lpwstr>
  </property>
  <property fmtid="{D5CDD505-2E9C-101B-9397-08002B2CF9AE}" pid="12" name="TaxCatchAll">
    <vt:lpwstr>1189;#Social and Environmental Standards (SES)|7a9dffd9-0b1f-4966-9938-9886c04c9893;#1158;#VUT|8d4f78b0-ea3e-45e0-b8d1-38123594b87e;#1;#English|7f98b732-4b5b-4b70-ba90-a0eff09b5d2d;#763;#Draft|121d40a5-e62e-4d42-82e4-d6d12003de0a</vt:lpwstr>
  </property>
  <property fmtid="{D5CDD505-2E9C-101B-9397-08002B2CF9AE}" pid="13" name="PDC Document Category">
    <vt:lpwstr>Project</vt:lpwstr>
  </property>
  <property fmtid="{D5CDD505-2E9C-101B-9397-08002B2CF9AE}" pid="14" name="UndpProjectNo">
    <vt:lpwstr>00130166</vt:lpwstr>
  </property>
  <property fmtid="{D5CDD505-2E9C-101B-9397-08002B2CF9AE}" pid="15" name="UN Languages">
    <vt:lpwstr>1;#English|7f98b732-4b5b-4b70-ba90-a0eff09b5d2d</vt:lpwstr>
  </property>
  <property fmtid="{D5CDD505-2E9C-101B-9397-08002B2CF9AE}" pid="16" name="o4086b1782a74105bb5269035bccc8e9">
    <vt:lpwstr>Draft|121d40a5-e62e-4d42-82e4-d6d12003de0a</vt:lpwstr>
  </property>
  <property fmtid="{D5CDD505-2E9C-101B-9397-08002B2CF9AE}" pid="17" name="Operating Unit0">
    <vt:lpwstr>1158;#VUT|8d4f78b0-ea3e-45e0-b8d1-38123594b87e</vt:lpwstr>
  </property>
  <property fmtid="{D5CDD505-2E9C-101B-9397-08002B2CF9AE}" pid="18" name="Document Coverage Period End Date">
    <vt:filetime>2021-12-31T06:00:00Z</vt:filetime>
  </property>
  <property fmtid="{D5CDD505-2E9C-101B-9397-08002B2CF9AE}" pid="19" name="idff2b682fce4d0680503cd9036a3260">
    <vt:lpwstr>Social and Environmental Standards (SES)|7a9dffd9-0b1f-4966-9938-9886c04c9893</vt:lpwstr>
  </property>
  <property fmtid="{D5CDD505-2E9C-101B-9397-08002B2CF9AE}" pid="20" name="Atlas Document Status">
    <vt:lpwstr>763;#Draft|121d40a5-e62e-4d42-82e4-d6d12003de0a</vt:lpwstr>
  </property>
  <property fmtid="{D5CDD505-2E9C-101B-9397-08002B2CF9AE}" pid="21" name="UNDPPublishedDate">
    <vt:filetime>2022-03-19T21:00:00Z</vt:filetime>
  </property>
  <property fmtid="{D5CDD505-2E9C-101B-9397-08002B2CF9AE}" pid="22" name="Atlas Document Type">
    <vt:lpwstr>1189;#Social and Environmental Standards (SES)|7a9dffd9-0b1f-4966-9938-9886c04c9893</vt:lpwstr>
  </property>
  <property fmtid="{D5CDD505-2E9C-101B-9397-08002B2CF9AE}" pid="23" name="UndpClassificationLevel">
    <vt:lpwstr>Public</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