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3B9C" w14:textId="49960519" w:rsidR="00084B8E" w:rsidRPr="0077080E" w:rsidRDefault="00084B8E" w:rsidP="00084B8E">
      <w:pPr>
        <w:pStyle w:val="Heading2"/>
        <w:rPr>
          <w:smallCaps/>
          <w:lang w:val="en-US"/>
        </w:rPr>
      </w:pPr>
      <w:bookmarkStart w:id="0" w:name="_Toc55989931"/>
      <w:bookmarkStart w:id="1" w:name="_Toc59202706"/>
      <w:bookmarkStart w:id="2" w:name="_Toc59143154"/>
      <w:r>
        <w:rPr>
          <w:iCs w:val="0"/>
          <w:szCs w:val="26"/>
          <w:lang w:val="en-US"/>
        </w:rPr>
        <w:t>Indicative Outline</w:t>
      </w:r>
      <w:r w:rsidRPr="00E76B54">
        <w:rPr>
          <w:iCs w:val="0"/>
          <w:szCs w:val="26"/>
        </w:rPr>
        <w:t xml:space="preserve"> </w:t>
      </w:r>
      <w:r>
        <w:rPr>
          <w:iCs w:val="0"/>
          <w:szCs w:val="26"/>
          <w:lang w:val="en-US"/>
        </w:rPr>
        <w:t xml:space="preserve">of </w:t>
      </w:r>
      <w:r w:rsidRPr="00E76B54">
        <w:rPr>
          <w:iCs w:val="0"/>
          <w:szCs w:val="26"/>
        </w:rPr>
        <w:t>Indigenous Peoples Plan</w:t>
      </w:r>
      <w:bookmarkEnd w:id="0"/>
      <w:bookmarkEnd w:id="1"/>
      <w:bookmarkEnd w:id="2"/>
    </w:p>
    <w:p w14:paraId="2316D186" w14:textId="77777777" w:rsidR="00084B8E" w:rsidRPr="00E334A1" w:rsidRDefault="00084B8E" w:rsidP="00084B8E">
      <w:pPr>
        <w:spacing w:line="240" w:lineRule="auto"/>
        <w:rPr>
          <w:rFonts w:cs="Calibri"/>
          <w:szCs w:val="20"/>
        </w:rPr>
      </w:pPr>
      <w:r w:rsidRPr="00E334A1">
        <w:rPr>
          <w:rFonts w:cs="Calibri"/>
          <w:szCs w:val="20"/>
        </w:rPr>
        <w:t>If the proposed project may affect the rights, lands, territories or resources of indigenous peoples, an “Indigenous Peoples Plan” (</w:t>
      </w:r>
      <w:r w:rsidRPr="004C4EEF">
        <w:rPr>
          <w:rFonts w:cs="Calibri"/>
          <w:szCs w:val="20"/>
        </w:rPr>
        <w:t>IPP</w:t>
      </w:r>
      <w:r w:rsidRPr="00E334A1">
        <w:rPr>
          <w:rFonts w:cs="Calibri"/>
          <w:szCs w:val="20"/>
        </w:rPr>
        <w:t xml:space="preserve">) needs to be elaborated and included in the project documentation. The </w:t>
      </w:r>
      <w:r w:rsidRPr="004C4EEF">
        <w:rPr>
          <w:rFonts w:cs="Calibri"/>
          <w:bCs/>
          <w:iCs/>
          <w:szCs w:val="20"/>
        </w:rPr>
        <w:t>IPP</w:t>
      </w:r>
      <w:r w:rsidRPr="00E334A1">
        <w:rPr>
          <w:rFonts w:cs="Calibri"/>
          <w:bCs/>
          <w:iCs/>
          <w:szCs w:val="20"/>
        </w:rPr>
        <w:t xml:space="preserve"> </w:t>
      </w:r>
      <w:r w:rsidRPr="00E334A1">
        <w:rPr>
          <w:rFonts w:cs="Calibri"/>
          <w:szCs w:val="20"/>
        </w:rPr>
        <w:t>is to be elaborated and implemented in a manner consistent with the UNDP Social and Environmental Standards and have a level of detail proportional to the complexity of the nature and scale of the proposed project and its potential impacts on indigenous peoples and their lands, resources and territories.  Where the specific project activities, subprojects and/or locations are not yet defined and will be prepared during project implementation, an Indigenous Peoples Planning Framework (IPPF) is to be utilized (see Annex 2).</w:t>
      </w:r>
    </w:p>
    <w:p w14:paraId="3D70D347" w14:textId="77777777" w:rsidR="00084B8E" w:rsidRPr="00E334A1" w:rsidRDefault="00084B8E" w:rsidP="00084B8E">
      <w:pPr>
        <w:spacing w:line="240" w:lineRule="auto"/>
        <w:rPr>
          <w:rFonts w:cs="Calibri"/>
          <w:szCs w:val="20"/>
        </w:rPr>
      </w:pPr>
      <w:r w:rsidRPr="00E334A1">
        <w:rPr>
          <w:rFonts w:cs="Calibri"/>
          <w:szCs w:val="20"/>
        </w:rPr>
        <w:t xml:space="preserve">With the effective and meaningful participation of the affected peoples, the </w:t>
      </w:r>
      <w:r w:rsidRPr="004C4EEF">
        <w:rPr>
          <w:rFonts w:cs="Calibri"/>
          <w:bCs/>
          <w:iCs/>
          <w:szCs w:val="20"/>
        </w:rPr>
        <w:t>IPP</w:t>
      </w:r>
      <w:r w:rsidRPr="00E334A1">
        <w:rPr>
          <w:rFonts w:cs="Calibri"/>
          <w:szCs w:val="20"/>
        </w:rPr>
        <w:t xml:space="preserve"> shall be elaborated and contain provisions addressing, at a minimum, the substantive aspects of the following outline:</w:t>
      </w:r>
    </w:p>
    <w:p w14:paraId="2C661D37"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Executive Summary: Concisely describes the critical facts, significant findings, and recommended actions</w:t>
      </w:r>
    </w:p>
    <w:p w14:paraId="647B9953"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Description of the Project: General description of the project, the project area, and components/activities that may lead to impacts on indigenous peoples</w:t>
      </w:r>
    </w:p>
    <w:p w14:paraId="74B5F6E4"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Description of Indigenous Peoples: A description of affected indigenous people(s) and their locations, including:</w:t>
      </w:r>
    </w:p>
    <w:p w14:paraId="03CD7EB2"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description of the community or communities constituting the affected peoples (e.g. names, ethnicities, dialects, estimated numbers, etc.</w:t>
      </w:r>
      <w:proofErr w:type="gramStart"/>
      <w:r w:rsidRPr="00E334A1">
        <w:rPr>
          <w:rFonts w:cs="Calibri"/>
          <w:szCs w:val="20"/>
        </w:rPr>
        <w:t>);</w:t>
      </w:r>
      <w:proofErr w:type="gramEnd"/>
    </w:p>
    <w:p w14:paraId="7D821B7F"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 xml:space="preserve">description of the lands, territories and resources to be affected and the affected </w:t>
      </w:r>
      <w:proofErr w:type="gramStart"/>
      <w:r w:rsidRPr="00E334A1">
        <w:rPr>
          <w:rFonts w:cs="Calibri"/>
          <w:szCs w:val="20"/>
        </w:rPr>
        <w:t>peoples</w:t>
      </w:r>
      <w:proofErr w:type="gramEnd"/>
      <w:r w:rsidRPr="00E334A1">
        <w:rPr>
          <w:rFonts w:cs="Calibri"/>
          <w:szCs w:val="20"/>
        </w:rPr>
        <w:t xml:space="preserve"> connections/ relationship with those lands, territories and resources; and</w:t>
      </w:r>
    </w:p>
    <w:p w14:paraId="0365D71E"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an identification of any vulnerable groups within the affected peoples (e.g. uncontacted and voluntary isolated peoples, women and girls, persons with disabilities, elderly, others).</w:t>
      </w:r>
    </w:p>
    <w:p w14:paraId="74FA56AA"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 xml:space="preserve">Summary of Substantive Rights and Legal Framework: A description of the substantive rights of indigenous peoples and the applicable legal framework, including: </w:t>
      </w:r>
    </w:p>
    <w:p w14:paraId="42DB9D83"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An analysis of applicable domestic and international laws affirming and protecting the rights of indigenous peoples (include general assessment of government implementation of the same</w:t>
      </w:r>
      <w:proofErr w:type="gramStart"/>
      <w:r w:rsidRPr="00E334A1">
        <w:rPr>
          <w:rFonts w:cs="Calibri"/>
          <w:szCs w:val="20"/>
        </w:rPr>
        <w:t>);</w:t>
      </w:r>
      <w:proofErr w:type="gramEnd"/>
    </w:p>
    <w:p w14:paraId="7E3677D6"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Analysis as to whether the project involves activities that are contingent on establishing legally recognized rights to lands, territories or resources that indigenous peoples have traditionally owned, occupied or otherwise used or acquired. Where such contingency exists (see Standard 6 Guidance Note, sections 5.1., 5.2), include:</w:t>
      </w:r>
    </w:p>
    <w:p w14:paraId="0AA0575D" w14:textId="77777777" w:rsidR="00084B8E" w:rsidRPr="00E334A1" w:rsidRDefault="00084B8E" w:rsidP="00084B8E">
      <w:pPr>
        <w:numPr>
          <w:ilvl w:val="2"/>
          <w:numId w:val="1"/>
        </w:numPr>
        <w:tabs>
          <w:tab w:val="left" w:pos="1800"/>
        </w:tabs>
        <w:spacing w:line="240" w:lineRule="auto"/>
        <w:ind w:hanging="360"/>
        <w:rPr>
          <w:rFonts w:cs="Calibri"/>
          <w:szCs w:val="20"/>
        </w:rPr>
      </w:pPr>
      <w:r w:rsidRPr="00E334A1">
        <w:rPr>
          <w:rFonts w:cs="Calibri"/>
          <w:szCs w:val="20"/>
        </w:rPr>
        <w:t xml:space="preserve">identification of the steps and associated timetable for achieving legal recognition of such ownership, occupation, or usage with the support of the relevant authority, including the manner in which delimitation, demarcation, and titling shall respect the customs, traditions, norms, values, land tenure systems and effective and meaningful participation of the affected peoples, with legal recognition granted to titles with the full, free prior and informed consent of the affected peoples; and </w:t>
      </w:r>
    </w:p>
    <w:p w14:paraId="44443FC2" w14:textId="77777777" w:rsidR="00084B8E" w:rsidRPr="00E334A1" w:rsidRDefault="00084B8E" w:rsidP="00084B8E">
      <w:pPr>
        <w:numPr>
          <w:ilvl w:val="2"/>
          <w:numId w:val="1"/>
        </w:numPr>
        <w:tabs>
          <w:tab w:val="left" w:pos="1800"/>
        </w:tabs>
        <w:spacing w:line="240" w:lineRule="auto"/>
        <w:ind w:hanging="360"/>
        <w:rPr>
          <w:rFonts w:cs="Calibri"/>
          <w:szCs w:val="20"/>
        </w:rPr>
      </w:pPr>
      <w:r w:rsidRPr="00E334A1">
        <w:rPr>
          <w:rFonts w:cs="Calibri"/>
          <w:szCs w:val="20"/>
        </w:rPr>
        <w:t>list of the activities that are prohibited until the delimitation, demarcation and titling is completed.</w:t>
      </w:r>
    </w:p>
    <w:p w14:paraId="094EDF6E"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Analysis whether the project involves activities that are contingent on the recognition of the juridical personality of the affected Indigenous Peoples. Where such contingency exists (see Standard 6 Guidance Note, section 5.2):</w:t>
      </w:r>
    </w:p>
    <w:p w14:paraId="31DE2C4B" w14:textId="77777777" w:rsidR="00084B8E" w:rsidRPr="00E334A1" w:rsidRDefault="00084B8E" w:rsidP="00084B8E">
      <w:pPr>
        <w:numPr>
          <w:ilvl w:val="2"/>
          <w:numId w:val="1"/>
        </w:numPr>
        <w:tabs>
          <w:tab w:val="left" w:pos="1800"/>
        </w:tabs>
        <w:spacing w:line="240" w:lineRule="auto"/>
        <w:ind w:hanging="360"/>
        <w:rPr>
          <w:rFonts w:cs="Calibri"/>
          <w:szCs w:val="20"/>
        </w:rPr>
      </w:pPr>
      <w:r w:rsidRPr="00E334A1">
        <w:rPr>
          <w:rFonts w:cs="Calibri"/>
          <w:szCs w:val="20"/>
        </w:rPr>
        <w:t>identification of the steps and associated timetables for achieving such recognition with the support of the relevant authority, with the full and effective participation and consent of affected indigenous peoples; and</w:t>
      </w:r>
    </w:p>
    <w:p w14:paraId="33560EF7" w14:textId="77777777" w:rsidR="00084B8E" w:rsidRPr="00E334A1" w:rsidRDefault="00084B8E" w:rsidP="00084B8E">
      <w:pPr>
        <w:numPr>
          <w:ilvl w:val="2"/>
          <w:numId w:val="1"/>
        </w:numPr>
        <w:tabs>
          <w:tab w:val="left" w:pos="1800"/>
        </w:tabs>
        <w:spacing w:line="240" w:lineRule="auto"/>
        <w:ind w:hanging="360"/>
        <w:rPr>
          <w:rFonts w:cs="Calibri"/>
          <w:szCs w:val="20"/>
        </w:rPr>
      </w:pPr>
      <w:r w:rsidRPr="00E334A1">
        <w:rPr>
          <w:rFonts w:cs="Calibri"/>
          <w:szCs w:val="20"/>
        </w:rPr>
        <w:t>list of the activities that are prohibited until the recognition is achieved.</w:t>
      </w:r>
    </w:p>
    <w:p w14:paraId="0788EBC8"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lastRenderedPageBreak/>
        <w:t>Summary of Social and Environmental Assessment and Mitigation Measures</w:t>
      </w:r>
    </w:p>
    <w:p w14:paraId="2ACA072A"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 summary of the findings and recommendations of the required prior social and environmental impact studies (e.g. targeted assessment, ESIA, SESA, as applicable) – specifically those related to indigenous peoples, their rights, lands, territories and resources. This should include the manner in which the affected indigenous peoples participated in such study and their views on the participation mechanisms, the findings and recommendations.</w:t>
      </w:r>
    </w:p>
    <w:p w14:paraId="23818FE1"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Where potential risks and adverse impacts to indigenous peoples, their lands, territories and resources are identified, the details and associated timelines for the planned measures to avoid, minimize, mitigate, or compensate for these adverse effects. Include where relevant measures to promote and protect the rights and interests of the indigenous peoples including compliance with the affected peoples’ internal norms and customs.</w:t>
      </w:r>
    </w:p>
    <w:p w14:paraId="3C79785D"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Participation, Consultation, and FPIC Processes</w:t>
      </w:r>
    </w:p>
    <w:p w14:paraId="1B0B6885"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 summary of results of the culturally appropriate consultation and, where required, FPIC processes undertaken with the affected peoples’ which led to the indigenous peoples' support for the project.</w:t>
      </w:r>
    </w:p>
    <w:p w14:paraId="1FB57CE7" w14:textId="77777777" w:rsidR="00084B8E" w:rsidRPr="00E334A1" w:rsidRDefault="00084B8E" w:rsidP="00084B8E">
      <w:pPr>
        <w:numPr>
          <w:ilvl w:val="1"/>
          <w:numId w:val="1"/>
        </w:numPr>
        <w:tabs>
          <w:tab w:val="left" w:pos="990"/>
        </w:tabs>
        <w:spacing w:line="240" w:lineRule="auto"/>
        <w:ind w:left="990"/>
        <w:rPr>
          <w:rFonts w:cs="Calibri"/>
          <w:szCs w:val="20"/>
        </w:rPr>
      </w:pPr>
      <w:r w:rsidRPr="00E334A1">
        <w:rPr>
          <w:rFonts w:cs="Calibri"/>
          <w:szCs w:val="20"/>
        </w:rPr>
        <w:t>A description of the mechanisms to conduct iterative consultation and consent processes throughout implementation of the project. Identify particular project activities and circumstances that shall require meaningful consultation and FPIC (consistent with section 4 of the Standard 6 Guidance Note).</w:t>
      </w:r>
    </w:p>
    <w:p w14:paraId="10856171"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Appropriate Benefits: An identification of the measures to be taken to ensure that indigenous peoples receive equitable social and economic benefits that are culturally appropriate, including a description of the consultation and consent processes that lead to the determined benefit sharing arrangements.</w:t>
      </w:r>
    </w:p>
    <w:p w14:paraId="67F7F661"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 xml:space="preserve">Capacity support: Description of measures to support social, legal, technical capabilities of indigenous peoples’ organizations in the project area to enable them to better represent the affected indigenous peoples more effectively. Where appropriate and requested, description of steps to support technical and legal capabilities of relevant government institutions to strengthen compliance with the country’s duties and obligations under international law with respect to the rights of indigenous peoples. </w:t>
      </w:r>
    </w:p>
    <w:p w14:paraId="2EB3C846"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 xml:space="preserve">Grievance Redress: A description of the procedures available to address grievances brought by the affected indigenous peoples arising from project implementation, including the remedies available, how the grievance mechanisms take into account indigenous peoples’ customary laws and dispute resolution processes, as well as the effective capacity of indigenous peoples under national laws to denounce violations and secure remedies for the same in domestic courts and administrative processes. </w:t>
      </w:r>
    </w:p>
    <w:p w14:paraId="4216E186"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Institutional Arrangements: Describe schedule and institutional arrangement responsibilities and mechanisms for carrying out the measures contained in the</w:t>
      </w:r>
      <w:r w:rsidRPr="00E334A1">
        <w:rPr>
          <w:rFonts w:cs="Calibri"/>
          <w:bCs/>
          <w:iCs/>
          <w:szCs w:val="20"/>
        </w:rPr>
        <w:t xml:space="preserve"> </w:t>
      </w:r>
      <w:r w:rsidRPr="004C4EEF">
        <w:rPr>
          <w:rFonts w:cs="Calibri"/>
          <w:bCs/>
          <w:iCs/>
          <w:szCs w:val="20"/>
        </w:rPr>
        <w:t>IPP</w:t>
      </w:r>
      <w:r w:rsidRPr="00E334A1">
        <w:rPr>
          <w:rFonts w:cs="Calibri"/>
          <w:szCs w:val="20"/>
        </w:rPr>
        <w:t>, including participatory mechanisms of affected indigenous peoples. Describe role of independent, impartial experts to validate, audit, and/or conduct oversight of the project.</w:t>
      </w:r>
    </w:p>
    <w:p w14:paraId="02D69F16"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Monitoring, Reporting, Evaluation: Describe the monitoring framework for the project and key indicators for measuring progress and compliance of requirements and commitments. Include m</w:t>
      </w:r>
      <w:r w:rsidRPr="00087BBD">
        <w:rPr>
          <w:rFonts w:cs="Calibri"/>
          <w:szCs w:val="20"/>
        </w:rPr>
        <w:t>echanisms and benchmarks appropriate to the project for transparent, participatory joint monitoring, evaluating, and reporting, including a description of how the affected indigenous peoples are involved.</w:t>
      </w:r>
      <w:r w:rsidRPr="00E334A1">
        <w:rPr>
          <w:rFonts w:cs="Calibri"/>
          <w:szCs w:val="20"/>
        </w:rPr>
        <w:t xml:space="preserve"> Indicate process for participatory review of IPP implementation and any necessary modifications or corrective actions (including where necessary consent processes).</w:t>
      </w:r>
    </w:p>
    <w:p w14:paraId="7EA1B474" w14:textId="77777777" w:rsidR="00084B8E" w:rsidRPr="00E334A1" w:rsidRDefault="00084B8E" w:rsidP="00084B8E">
      <w:pPr>
        <w:numPr>
          <w:ilvl w:val="0"/>
          <w:numId w:val="1"/>
        </w:numPr>
        <w:spacing w:line="240" w:lineRule="auto"/>
        <w:ind w:left="540"/>
        <w:rPr>
          <w:rFonts w:cs="Calibri"/>
          <w:szCs w:val="20"/>
        </w:rPr>
      </w:pPr>
      <w:r w:rsidRPr="00E334A1">
        <w:rPr>
          <w:rFonts w:cs="Calibri"/>
          <w:szCs w:val="20"/>
        </w:rPr>
        <w:t>Budget and Financing: Include an appropriately costed plan, with itemized budget sufficient to satisfactorily undertake the activities described.</w:t>
      </w:r>
    </w:p>
    <w:p w14:paraId="5736356B" w14:textId="1C94BF74" w:rsidR="00B10E91" w:rsidRDefault="00084B8E" w:rsidP="00084B8E">
      <w:r w:rsidRPr="00E334A1">
        <w:rPr>
          <w:rFonts w:cs="Calibri"/>
          <w:b/>
          <w:szCs w:val="20"/>
        </w:rPr>
        <w:t>Note:</w:t>
      </w:r>
      <w:r w:rsidRPr="00E334A1">
        <w:rPr>
          <w:rFonts w:cs="Calibri"/>
          <w:szCs w:val="20"/>
        </w:rPr>
        <w:t xml:space="preserve"> The </w:t>
      </w:r>
      <w:r w:rsidRPr="004C4EEF">
        <w:rPr>
          <w:rFonts w:cs="Calibri"/>
          <w:bCs/>
          <w:iCs/>
          <w:szCs w:val="20"/>
        </w:rPr>
        <w:t>IPP</w:t>
      </w:r>
      <w:r w:rsidRPr="00E334A1">
        <w:rPr>
          <w:rFonts w:cs="Calibri"/>
          <w:b/>
          <w:i/>
          <w:szCs w:val="20"/>
        </w:rPr>
        <w:t xml:space="preserve"> </w:t>
      </w:r>
      <w:r w:rsidRPr="00E334A1">
        <w:rPr>
          <w:rFonts w:cs="Calibri"/>
          <w:szCs w:val="20"/>
        </w:rPr>
        <w:t xml:space="preserve">will be implemented as part of project implementation. However, in no case shall project activities that may adversely affect indigenous peoples take place before the corresponding activities in the </w:t>
      </w:r>
      <w:r w:rsidRPr="004C4EEF">
        <w:rPr>
          <w:rFonts w:cs="Calibri"/>
          <w:szCs w:val="20"/>
        </w:rPr>
        <w:t xml:space="preserve">IPP </w:t>
      </w:r>
      <w:r w:rsidRPr="00E334A1">
        <w:rPr>
          <w:rFonts w:cs="Calibri"/>
          <w:szCs w:val="20"/>
        </w:rPr>
        <w:t>are implemented. Such activities should be clearly identified. Where other project documents already develop and address issues listed in the above sections, citation to the relevant document(s) shall suffice.</w:t>
      </w:r>
    </w:p>
    <w:sectPr w:rsidR="00B10E91"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E22E0"/>
    <w:multiLevelType w:val="multilevel"/>
    <w:tmpl w:val="4986EFEC"/>
    <w:styleLink w:val="Style1"/>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E4F6A04"/>
    <w:multiLevelType w:val="multilevel"/>
    <w:tmpl w:val="4986EFEC"/>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8E"/>
    <w:rsid w:val="00084B8E"/>
    <w:rsid w:val="003B3C67"/>
    <w:rsid w:val="0056510F"/>
    <w:rsid w:val="005E0106"/>
    <w:rsid w:val="00631DB8"/>
    <w:rsid w:val="007C084C"/>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E481F"/>
  <w15:chartTrackingRefBased/>
  <w15:docId w15:val="{D777F427-773D-BE40-ABFC-7BFA043D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8E"/>
    <w:pPr>
      <w:spacing w:before="120" w:after="120" w:line="260" w:lineRule="exact"/>
    </w:pPr>
    <w:rPr>
      <w:rFonts w:ascii="Calibri" w:eastAsia="Times New Roman" w:hAnsi="Calibri" w:cs="Times New Roman"/>
      <w:sz w:val="20"/>
      <w:szCs w:val="24"/>
      <w:lang w:eastAsia="ja-JP"/>
    </w:rPr>
  </w:style>
  <w:style w:type="paragraph" w:styleId="Heading2">
    <w:name w:val="heading 2"/>
    <w:basedOn w:val="Normal"/>
    <w:next w:val="Normal"/>
    <w:link w:val="Heading2Char"/>
    <w:uiPriority w:val="9"/>
    <w:qFormat/>
    <w:rsid w:val="00084B8E"/>
    <w:pPr>
      <w:keepNext/>
      <w:tabs>
        <w:tab w:val="left" w:pos="540"/>
      </w:tabs>
      <w:spacing w:before="240" w:after="60"/>
      <w:outlineLvl w:val="1"/>
    </w:pPr>
    <w:rPr>
      <w:rFonts w:eastAsia="MS Gothic"/>
      <w:b/>
      <w:bCs/>
      <w:iCs/>
      <w:color w:val="548DD4"/>
      <w:sz w:val="26"/>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B8E"/>
    <w:rPr>
      <w:rFonts w:ascii="Calibri" w:eastAsia="MS Gothic" w:hAnsi="Calibri" w:cs="Times New Roman"/>
      <w:b/>
      <w:bCs/>
      <w:iCs/>
      <w:color w:val="548DD4"/>
      <w:sz w:val="26"/>
      <w:szCs w:val="28"/>
      <w:lang w:val="x-none" w:eastAsia="ja-JP"/>
    </w:rPr>
  </w:style>
  <w:style w:type="numbering" w:customStyle="1" w:styleId="Style1">
    <w:name w:val="Style1"/>
    <w:uiPriority w:val="99"/>
    <w:rsid w:val="00084B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956D9106-CB73-4B2B-B670-73CEEF682C03}"/>
</file>

<file path=customXml/itemProps2.xml><?xml version="1.0" encoding="utf-8"?>
<ds:datastoreItem xmlns:ds="http://schemas.openxmlformats.org/officeDocument/2006/customXml" ds:itemID="{CCD8FAC9-0DC3-4E42-A836-67674CBD4743}"/>
</file>

<file path=customXml/itemProps3.xml><?xml version="1.0" encoding="utf-8"?>
<ds:datastoreItem xmlns:ds="http://schemas.openxmlformats.org/officeDocument/2006/customXml" ds:itemID="{A6EABA51-C5A1-4CFC-B20F-294C99F861D9}"/>
</file>

<file path=customXml/itemProps4.xml><?xml version="1.0" encoding="utf-8"?>
<ds:datastoreItem xmlns:ds="http://schemas.openxmlformats.org/officeDocument/2006/customXml" ds:itemID="{F9D55288-897C-41BD-ABA4-DEA0F9356BF1}"/>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Outline of Indigenous Peoples Plan_DEC2020</dc:title>
  <dc:subject/>
  <dc:creator>Delcio Salu</dc:creator>
  <cp:keywords/>
  <dc:description/>
  <cp:lastModifiedBy>Delcio Salu</cp:lastModifiedBy>
  <cp:revision>1</cp:revision>
  <dcterms:created xsi:type="dcterms:W3CDTF">2020-12-21T19:46:00Z</dcterms:created>
  <dcterms:modified xsi:type="dcterms:W3CDTF">2020-12-21T19:46:00Z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