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D26F" w14:textId="4717F757" w:rsidR="003C6AC0" w:rsidRDefault="003C6AC0" w:rsidP="003C6AC0">
      <w:pPr>
        <w:pStyle w:val="Heading2"/>
      </w:pPr>
      <w:bookmarkStart w:id="0" w:name="_Toc76632448"/>
      <w:r>
        <w:t>Resettlement/Livelihood Action Framework – Template</w:t>
      </w:r>
      <w:bookmarkEnd w:id="0"/>
    </w:p>
    <w:p w14:paraId="5762B202" w14:textId="77777777" w:rsidR="003C6AC0" w:rsidRPr="00C86F27" w:rsidRDefault="003C6AC0" w:rsidP="003C6AC0">
      <w:pPr>
        <w:spacing w:line="240" w:lineRule="auto"/>
        <w:rPr>
          <w:szCs w:val="20"/>
        </w:rPr>
      </w:pPr>
      <w:r w:rsidRPr="00C86F27">
        <w:rPr>
          <w:szCs w:val="20"/>
        </w:rPr>
        <w:t xml:space="preserve">The purpose of the resettlement/livelihood action framework is to clarify key principles, organizational arrangements, and design criteria to be applied to project components (and subprojects where relevant) to be prepared during project implementation. Once the individual project components or subprojects are defined and the necessary information becomes available, such a framework will be expanded into a specific action plan (i.e. Resettlement Action Plan/Livelihood Action Plan) proportionate to potential risks and impacts. </w:t>
      </w:r>
    </w:p>
    <w:p w14:paraId="0053CDB9" w14:textId="77777777" w:rsidR="003C6AC0" w:rsidRPr="00C86F27" w:rsidRDefault="003C6AC0" w:rsidP="003C6AC0">
      <w:pPr>
        <w:spacing w:line="240" w:lineRule="auto"/>
        <w:rPr>
          <w:i/>
          <w:iCs/>
          <w:szCs w:val="20"/>
        </w:rPr>
      </w:pPr>
      <w:r w:rsidRPr="00C86F27">
        <w:rPr>
          <w:i/>
          <w:iCs/>
          <w:szCs w:val="20"/>
        </w:rPr>
        <w:t>Project activities that will cause physical and/or economic displacement will not commence until such specific plans have been finalized and approved by the UNDP.</w:t>
      </w:r>
    </w:p>
    <w:p w14:paraId="2A07E143" w14:textId="77777777" w:rsidR="003C6AC0" w:rsidRPr="00C86F27" w:rsidRDefault="003C6AC0" w:rsidP="003C6AC0">
      <w:pPr>
        <w:spacing w:line="240" w:lineRule="auto"/>
        <w:rPr>
          <w:szCs w:val="20"/>
        </w:rPr>
      </w:pPr>
      <w:r w:rsidRPr="00C86F27">
        <w:rPr>
          <w:szCs w:val="20"/>
        </w:rPr>
        <w:t>The resettlement/livelihood action framework covers the following elements:</w:t>
      </w:r>
    </w:p>
    <w:p w14:paraId="0B59A3E2" w14:textId="77777777" w:rsidR="003C6AC0" w:rsidRPr="00C86F27" w:rsidRDefault="003C6AC0" w:rsidP="003C6AC0">
      <w:pPr>
        <w:pStyle w:val="ListParagraph"/>
        <w:numPr>
          <w:ilvl w:val="0"/>
          <w:numId w:val="2"/>
        </w:numPr>
        <w:spacing w:after="0" w:line="240" w:lineRule="auto"/>
        <w:ind w:left="360"/>
        <w:contextualSpacing w:val="0"/>
        <w:rPr>
          <w:szCs w:val="20"/>
        </w:rPr>
      </w:pPr>
      <w:r w:rsidRPr="00C86F27">
        <w:rPr>
          <w:szCs w:val="20"/>
        </w:rPr>
        <w:t>Introduction</w:t>
      </w:r>
    </w:p>
    <w:p w14:paraId="08F0BD1E"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Purpose of the framework</w:t>
      </w:r>
    </w:p>
    <w:p w14:paraId="1693DB3A"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 xml:space="preserve">An explanation of why a resettlement/livelihood action framework rather than a more specific action plan is being prepared </w:t>
      </w:r>
    </w:p>
    <w:p w14:paraId="414E03CE"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A description of the process for preparing and approving specific action plans</w:t>
      </w:r>
    </w:p>
    <w:p w14:paraId="68F4D777" w14:textId="77777777" w:rsidR="003C6AC0" w:rsidRPr="00C86F27" w:rsidRDefault="003C6AC0" w:rsidP="003C6AC0">
      <w:pPr>
        <w:pStyle w:val="ListParagraph"/>
        <w:numPr>
          <w:ilvl w:val="0"/>
          <w:numId w:val="2"/>
        </w:numPr>
        <w:spacing w:after="0" w:line="240" w:lineRule="auto"/>
        <w:ind w:left="360"/>
        <w:contextualSpacing w:val="0"/>
        <w:rPr>
          <w:szCs w:val="20"/>
        </w:rPr>
      </w:pPr>
      <w:r w:rsidRPr="00C86F27">
        <w:rPr>
          <w:szCs w:val="20"/>
        </w:rPr>
        <w:t xml:space="preserve">Project Description </w:t>
      </w:r>
    </w:p>
    <w:p w14:paraId="13FAE413"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A brief description of the project and components for which land acquisition and/or access restrictions are required</w:t>
      </w:r>
    </w:p>
    <w:p w14:paraId="1B0C5956" w14:textId="77777777" w:rsidR="003C6AC0" w:rsidRPr="00C86F27" w:rsidRDefault="003C6AC0" w:rsidP="003C6AC0">
      <w:pPr>
        <w:pStyle w:val="ListParagraph"/>
        <w:numPr>
          <w:ilvl w:val="0"/>
          <w:numId w:val="2"/>
        </w:numPr>
        <w:spacing w:after="0" w:line="240" w:lineRule="auto"/>
        <w:ind w:left="360"/>
        <w:contextualSpacing w:val="0"/>
        <w:rPr>
          <w:szCs w:val="20"/>
        </w:rPr>
      </w:pPr>
      <w:r w:rsidRPr="00C86F27">
        <w:rPr>
          <w:szCs w:val="20"/>
        </w:rPr>
        <w:t>Potential Impacts and Affected Persons</w:t>
      </w:r>
    </w:p>
    <w:p w14:paraId="43CC0711"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Estimated displacement impacts/losses associated with all project components/phases</w:t>
      </w:r>
    </w:p>
    <w:p w14:paraId="0537F451"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 xml:space="preserve">Estimated numbers and categories of displaced persons, to the extent feasible </w:t>
      </w:r>
    </w:p>
    <w:p w14:paraId="4EA4726F" w14:textId="77777777" w:rsidR="003C6AC0" w:rsidRPr="00C86F27" w:rsidRDefault="003C6AC0" w:rsidP="003C6AC0">
      <w:pPr>
        <w:pStyle w:val="ListParagraph"/>
        <w:numPr>
          <w:ilvl w:val="0"/>
          <w:numId w:val="2"/>
        </w:numPr>
        <w:spacing w:after="0" w:line="240" w:lineRule="auto"/>
        <w:ind w:left="360"/>
        <w:contextualSpacing w:val="0"/>
        <w:rPr>
          <w:szCs w:val="20"/>
        </w:rPr>
      </w:pPr>
      <w:r w:rsidRPr="00C86F27">
        <w:rPr>
          <w:szCs w:val="20"/>
        </w:rPr>
        <w:t>Legal Framework</w:t>
      </w:r>
    </w:p>
    <w:p w14:paraId="15C6F035"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A legal framework reviewing the fit between national laws and regulations and UNDP SES requirements and measures proposed to bridge any gaps between them</w:t>
      </w:r>
    </w:p>
    <w:p w14:paraId="0BF9D99A" w14:textId="77777777" w:rsidR="003C6AC0" w:rsidRPr="00C86F27" w:rsidRDefault="003C6AC0" w:rsidP="003C6AC0">
      <w:pPr>
        <w:pStyle w:val="ListParagraph"/>
        <w:numPr>
          <w:ilvl w:val="0"/>
          <w:numId w:val="2"/>
        </w:numPr>
        <w:spacing w:after="0" w:line="240" w:lineRule="auto"/>
        <w:ind w:left="360"/>
        <w:contextualSpacing w:val="0"/>
        <w:rPr>
          <w:szCs w:val="20"/>
        </w:rPr>
      </w:pPr>
      <w:r w:rsidRPr="00C86F27">
        <w:rPr>
          <w:szCs w:val="20"/>
        </w:rPr>
        <w:t>Key Compensation and Assistance Principles</w:t>
      </w:r>
    </w:p>
    <w:p w14:paraId="0B1DB334"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Initial methods of valuing affected assets</w:t>
      </w:r>
    </w:p>
    <w:p w14:paraId="0D708598"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Eligibility criteria for defining various categories of displaced persons and entitlements</w:t>
      </w:r>
    </w:p>
    <w:p w14:paraId="30C1D86F" w14:textId="77777777" w:rsidR="003C6AC0" w:rsidRPr="00C86F27" w:rsidRDefault="003C6AC0" w:rsidP="003C6AC0">
      <w:pPr>
        <w:pStyle w:val="ListParagraph"/>
        <w:numPr>
          <w:ilvl w:val="0"/>
          <w:numId w:val="2"/>
        </w:numPr>
        <w:spacing w:after="0" w:line="240" w:lineRule="auto"/>
        <w:ind w:left="360"/>
        <w:contextualSpacing w:val="0"/>
        <w:rPr>
          <w:szCs w:val="20"/>
        </w:rPr>
      </w:pPr>
      <w:r w:rsidRPr="00C86F27">
        <w:rPr>
          <w:szCs w:val="20"/>
        </w:rPr>
        <w:t>Organizational Arrangements</w:t>
      </w:r>
    </w:p>
    <w:p w14:paraId="1798E75A"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Procedures for delivery of compensation and other assistance, including the responsibilities of the key project partners (e.g. government, project developer, implementing partner, other actors)</w:t>
      </w:r>
    </w:p>
    <w:p w14:paraId="5FF0370B" w14:textId="77777777" w:rsidR="003C6AC0" w:rsidRPr="00C86F27" w:rsidRDefault="003C6AC0" w:rsidP="003C6AC0">
      <w:pPr>
        <w:pStyle w:val="ListParagraph"/>
        <w:numPr>
          <w:ilvl w:val="0"/>
          <w:numId w:val="2"/>
        </w:numPr>
        <w:spacing w:after="0" w:line="240" w:lineRule="auto"/>
        <w:ind w:left="360"/>
        <w:contextualSpacing w:val="0"/>
        <w:rPr>
          <w:szCs w:val="20"/>
        </w:rPr>
      </w:pPr>
      <w:r w:rsidRPr="00C86F27">
        <w:rPr>
          <w:szCs w:val="20"/>
        </w:rPr>
        <w:t>Time frame</w:t>
      </w:r>
    </w:p>
    <w:p w14:paraId="1D7C888D"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 xml:space="preserve">Estimated time frame for preparation of </w:t>
      </w:r>
      <w:r>
        <w:rPr>
          <w:szCs w:val="20"/>
        </w:rPr>
        <w:t>action</w:t>
      </w:r>
      <w:r w:rsidRPr="00C86F27">
        <w:rPr>
          <w:szCs w:val="20"/>
        </w:rPr>
        <w:t xml:space="preserve"> plans for various project components </w:t>
      </w:r>
    </w:p>
    <w:p w14:paraId="4D8F3DBF" w14:textId="77777777" w:rsidR="003C6AC0" w:rsidRPr="00C86F27" w:rsidRDefault="003C6AC0" w:rsidP="003C6AC0">
      <w:pPr>
        <w:pStyle w:val="ListParagraph"/>
        <w:numPr>
          <w:ilvl w:val="0"/>
          <w:numId w:val="2"/>
        </w:numPr>
        <w:spacing w:after="0" w:line="240" w:lineRule="auto"/>
        <w:ind w:left="360"/>
        <w:contextualSpacing w:val="0"/>
        <w:rPr>
          <w:szCs w:val="20"/>
        </w:rPr>
      </w:pPr>
      <w:r w:rsidRPr="00C86F27">
        <w:rPr>
          <w:szCs w:val="20"/>
        </w:rPr>
        <w:t>Participation and Consultation</w:t>
      </w:r>
    </w:p>
    <w:p w14:paraId="0B40AEE4"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Description of engagement activities undertaken as part of developing the framework</w:t>
      </w:r>
    </w:p>
    <w:p w14:paraId="4B8226E3"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 xml:space="preserve">Description of mechanisms for consultations with, and participation of, displaced persons in planning, implementation, and monitoring </w:t>
      </w:r>
    </w:p>
    <w:p w14:paraId="5B1AA5EF" w14:textId="77777777" w:rsidR="003C6AC0" w:rsidRPr="00C86F27" w:rsidRDefault="003C6AC0" w:rsidP="003C6AC0">
      <w:pPr>
        <w:pStyle w:val="ListParagraph"/>
        <w:numPr>
          <w:ilvl w:val="0"/>
          <w:numId w:val="2"/>
        </w:numPr>
        <w:spacing w:after="0" w:line="240" w:lineRule="auto"/>
        <w:ind w:left="360"/>
        <w:contextualSpacing w:val="0"/>
        <w:rPr>
          <w:szCs w:val="20"/>
        </w:rPr>
      </w:pPr>
      <w:r w:rsidRPr="00C86F27">
        <w:rPr>
          <w:szCs w:val="20"/>
        </w:rPr>
        <w:t>Grievance Redress</w:t>
      </w:r>
    </w:p>
    <w:p w14:paraId="285CA901"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 xml:space="preserve">Initial description of planned grievance redress mechanism(s) </w:t>
      </w:r>
    </w:p>
    <w:p w14:paraId="05CC436A" w14:textId="77777777" w:rsidR="003C6AC0" w:rsidRPr="00C86F27" w:rsidRDefault="003C6AC0" w:rsidP="003C6AC0">
      <w:pPr>
        <w:pStyle w:val="ListParagraph"/>
        <w:numPr>
          <w:ilvl w:val="0"/>
          <w:numId w:val="2"/>
        </w:numPr>
        <w:spacing w:after="0" w:line="240" w:lineRule="auto"/>
        <w:ind w:left="360"/>
        <w:contextualSpacing w:val="0"/>
        <w:rPr>
          <w:szCs w:val="20"/>
        </w:rPr>
      </w:pPr>
      <w:r w:rsidRPr="00C86F27">
        <w:rPr>
          <w:szCs w:val="20"/>
        </w:rPr>
        <w:t>Costs and Budget</w:t>
      </w:r>
    </w:p>
    <w:p w14:paraId="0842E7E4"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A description of the arrangements for funding resettlement and livelihood restoration (source of funds for project components)</w:t>
      </w:r>
    </w:p>
    <w:p w14:paraId="09C6DA04"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Estimated budget</w:t>
      </w:r>
    </w:p>
    <w:p w14:paraId="2CA68A2B" w14:textId="77777777" w:rsidR="003C6AC0" w:rsidRPr="00C86F27" w:rsidRDefault="003C6AC0" w:rsidP="003C6AC0">
      <w:pPr>
        <w:pStyle w:val="ListParagraph"/>
        <w:numPr>
          <w:ilvl w:val="0"/>
          <w:numId w:val="2"/>
        </w:numPr>
        <w:spacing w:after="0" w:line="240" w:lineRule="auto"/>
        <w:ind w:left="360"/>
        <w:contextualSpacing w:val="0"/>
        <w:rPr>
          <w:szCs w:val="20"/>
        </w:rPr>
      </w:pPr>
      <w:r w:rsidRPr="00C86F27">
        <w:rPr>
          <w:szCs w:val="20"/>
        </w:rPr>
        <w:t>Monitoring</w:t>
      </w:r>
    </w:p>
    <w:p w14:paraId="0C0F6EBD" w14:textId="77777777" w:rsidR="003C6AC0" w:rsidRPr="00C86F27" w:rsidRDefault="003C6AC0" w:rsidP="003C6AC0">
      <w:pPr>
        <w:pStyle w:val="ListParagraph"/>
        <w:numPr>
          <w:ilvl w:val="1"/>
          <w:numId w:val="2"/>
        </w:numPr>
        <w:spacing w:before="0" w:after="0" w:line="240" w:lineRule="auto"/>
        <w:contextualSpacing w:val="0"/>
        <w:rPr>
          <w:szCs w:val="20"/>
        </w:rPr>
      </w:pPr>
      <w:r w:rsidRPr="00C86F27">
        <w:rPr>
          <w:szCs w:val="20"/>
        </w:rPr>
        <w:t>Arrangements for monitoring and general reporting principles</w:t>
      </w:r>
    </w:p>
    <w:p w14:paraId="282B4617" w14:textId="010872AA" w:rsidR="00B10E91" w:rsidRPr="00361DF3" w:rsidRDefault="003C6AC0" w:rsidP="00A46438">
      <w:pPr>
        <w:spacing w:before="0" w:after="0" w:line="240" w:lineRule="auto"/>
        <w:rPr>
          <w:rFonts w:cs="Times New Roman"/>
          <w:szCs w:val="20"/>
        </w:rPr>
      </w:pPr>
    </w:p>
    <w:sectPr w:rsidR="00B10E91" w:rsidRPr="00361DF3" w:rsidSect="00E33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Frutiger 45 Ligh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E6C"/>
    <w:multiLevelType w:val="hybridMultilevel"/>
    <w:tmpl w:val="42762A26"/>
    <w:lvl w:ilvl="0" w:tplc="0409000F">
      <w:start w:val="1"/>
      <w:numFmt w:val="decimal"/>
      <w:lvlText w:val="%1."/>
      <w:lvlJc w:val="left"/>
      <w:pPr>
        <w:ind w:left="720" w:hanging="360"/>
      </w:pPr>
      <w:rPr>
        <w:rFonts w:hint="default"/>
      </w:rPr>
    </w:lvl>
    <w:lvl w:ilvl="1" w:tplc="232A7BF4">
      <w:start w:val="1"/>
      <w:numFmt w:val="bullet"/>
      <w:lvlText w:val="•"/>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90C74"/>
    <w:multiLevelType w:val="hybridMultilevel"/>
    <w:tmpl w:val="A60CC448"/>
    <w:lvl w:ilvl="0" w:tplc="9AAAE9C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F3"/>
    <w:rsid w:val="00361DF3"/>
    <w:rsid w:val="003B3C67"/>
    <w:rsid w:val="003C6AC0"/>
    <w:rsid w:val="00517A30"/>
    <w:rsid w:val="0056510F"/>
    <w:rsid w:val="005E0106"/>
    <w:rsid w:val="00631DB8"/>
    <w:rsid w:val="007C084C"/>
    <w:rsid w:val="00A46438"/>
    <w:rsid w:val="00BA6DEE"/>
    <w:rsid w:val="00E33A24"/>
    <w:rsid w:val="00F6755D"/>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2C9625"/>
  <w15:chartTrackingRefBased/>
  <w15:docId w15:val="{772E0CC8-2D14-6142-B11C-50C70869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F3"/>
    <w:pPr>
      <w:spacing w:before="120" w:after="120" w:line="260" w:lineRule="exact"/>
    </w:pPr>
    <w:rPr>
      <w:rFonts w:ascii="Calibri" w:eastAsiaTheme="minorEastAsia" w:hAnsi="Calibri" w:cstheme="minorBidi"/>
      <w:sz w:val="20"/>
      <w:szCs w:val="24"/>
      <w:lang w:eastAsia="ja-JP"/>
    </w:rPr>
  </w:style>
  <w:style w:type="paragraph" w:styleId="Heading2">
    <w:name w:val="heading 2"/>
    <w:basedOn w:val="Normal"/>
    <w:next w:val="Normal"/>
    <w:link w:val="Heading2Char"/>
    <w:uiPriority w:val="9"/>
    <w:unhideWhenUsed/>
    <w:qFormat/>
    <w:rsid w:val="00361DF3"/>
    <w:pPr>
      <w:keepNext/>
      <w:tabs>
        <w:tab w:val="left" w:pos="540"/>
      </w:tabs>
      <w:spacing w:before="200"/>
      <w:outlineLvl w:val="1"/>
    </w:pPr>
    <w:rPr>
      <w:rFonts w:eastAsia="MS Gothic" w:cs="Times New Roman"/>
      <w:b/>
      <w:bCs/>
      <w:iCs/>
      <w:color w:val="548DD4"/>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DF3"/>
    <w:rPr>
      <w:rFonts w:ascii="Calibri" w:eastAsia="MS Gothic" w:hAnsi="Calibri" w:cs="Times New Roman"/>
      <w:b/>
      <w:bCs/>
      <w:iCs/>
      <w:color w:val="548DD4"/>
      <w:sz w:val="26"/>
      <w:szCs w:val="28"/>
      <w:lang w:eastAsia="ja-JP"/>
    </w:rPr>
  </w:style>
  <w:style w:type="paragraph" w:styleId="ListParagraph">
    <w:name w:val="List Paragraph"/>
    <w:aliases w:val="List Paragraph1,Bullets,List Paragraph (numbered (a)),WB Para,Heading,Párrafo de lista1,List Paragraph-ExecSummary,Medium Grid 1 Accent 2,Paragraphe de liste1,List Paragraph11,Numbered List Paragraph,ADB paragraph numbering"/>
    <w:basedOn w:val="Normal"/>
    <w:link w:val="ListParagraphChar"/>
    <w:uiPriority w:val="34"/>
    <w:qFormat/>
    <w:rsid w:val="00361DF3"/>
    <w:pPr>
      <w:ind w:left="720"/>
      <w:contextualSpacing/>
    </w:pPr>
  </w:style>
  <w:style w:type="character" w:customStyle="1" w:styleId="ListParagraphChar">
    <w:name w:val="List Paragraph Char"/>
    <w:aliases w:val="List Paragraph1 Char,Bullets Char,List Paragraph (numbered (a)) Char,WB Para Char,Heading Char,Párrafo de lista1 Char,List Paragraph-ExecSummary Char,Medium Grid 1 Accent 2 Char,Paragraphe de liste1 Char,List Paragraph11 Char"/>
    <w:link w:val="ListParagraph"/>
    <w:uiPriority w:val="34"/>
    <w:rsid w:val="00361DF3"/>
    <w:rPr>
      <w:rFonts w:ascii="Calibri" w:eastAsiaTheme="minorEastAsia" w:hAnsi="Calibri" w:cstheme="minorBidi"/>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58783F6B-E4E2-4F73-95FD-5ABD5562F157}"/>
</file>

<file path=customXml/itemProps2.xml><?xml version="1.0" encoding="utf-8"?>
<ds:datastoreItem xmlns:ds="http://schemas.openxmlformats.org/officeDocument/2006/customXml" ds:itemID="{6F2B2AFC-7346-4C47-902A-55351A223645}"/>
</file>

<file path=customXml/itemProps3.xml><?xml version="1.0" encoding="utf-8"?>
<ds:datastoreItem xmlns:ds="http://schemas.openxmlformats.org/officeDocument/2006/customXml" ds:itemID="{1FBDEE97-45C1-487A-9713-79256CC3574A}"/>
</file>

<file path=customXml/itemProps4.xml><?xml version="1.0" encoding="utf-8"?>
<ds:datastoreItem xmlns:ds="http://schemas.openxmlformats.org/officeDocument/2006/customXml" ds:itemID="{9C221C41-60B6-4798-BBB6-89D2C516F4DB}"/>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Resettlement_Livelihood Action Framework – Template</dc:title>
  <dc:subject/>
  <dc:creator>Delcio Salu</dc:creator>
  <cp:keywords/>
  <dc:description/>
  <cp:lastModifiedBy>Delcio Salu</cp:lastModifiedBy>
  <cp:revision>2</cp:revision>
  <dcterms:created xsi:type="dcterms:W3CDTF">2021-07-27T13:58:00Z</dcterms:created>
  <dcterms:modified xsi:type="dcterms:W3CDTF">2021-07-27T13:58:00Z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