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77777777" w:rsidR="005E5F0D" w:rsidRPr="004B3E18" w:rsidRDefault="005E5F0D" w:rsidP="00ED7343"/>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7777777" w:rsidR="005E5F0D" w:rsidRPr="004B3E18" w:rsidRDefault="005E5F0D" w:rsidP="00ED7343"/>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77777777" w:rsidR="005E5F0D" w:rsidRPr="004B3E18" w:rsidRDefault="005E5F0D" w:rsidP="00ED7343"/>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77777777" w:rsidR="005E5F0D" w:rsidRPr="004B3E18" w:rsidRDefault="005E5F0D" w:rsidP="00ED7343"/>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77777777" w:rsidR="005E5F0D" w:rsidRPr="004B3E18" w:rsidRDefault="005E5F0D" w:rsidP="00ED7343"/>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5E92B005" w14:textId="77777777" w:rsidR="005E5F0D" w:rsidRPr="004B3E18" w:rsidRDefault="005E5F0D" w:rsidP="00ED7343">
            <w:pPr>
              <w:pStyle w:val="ColorfulList-Accent11"/>
              <w:keepNext/>
              <w:keepLines/>
              <w:tabs>
                <w:tab w:val="left" w:pos="432"/>
              </w:tabs>
              <w:spacing w:before="60" w:after="60"/>
              <w:ind w:left="0"/>
              <w:outlineLvl w:val="7"/>
              <w:rPr>
                <w:sz w:val="18"/>
                <w:szCs w:val="18"/>
              </w:rPr>
            </w:pP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ED7343">
        <w:trPr>
          <w:trHeight w:val="440"/>
        </w:trPr>
        <w:tc>
          <w:tcPr>
            <w:tcW w:w="13248" w:type="dxa"/>
          </w:tcPr>
          <w:p w14:paraId="4E4D837A" w14:textId="77777777" w:rsidR="005E5F0D" w:rsidRPr="00417C15"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19AD1EF8"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0013E9B2" w14:textId="77777777" w:rsidR="005E5F0D" w:rsidRPr="004B3E18" w:rsidRDefault="005E5F0D" w:rsidP="00ED7343">
            <w:pPr>
              <w:pStyle w:val="ColorfulList-Accent11"/>
              <w:keepNext/>
              <w:keepLines/>
              <w:tabs>
                <w:tab w:val="left" w:pos="432"/>
              </w:tabs>
              <w:spacing w:before="60" w:after="60"/>
              <w:ind w:left="0"/>
              <w:outlineLvl w:val="7"/>
              <w:rPr>
                <w:rFonts w:eastAsia="Times New Roman"/>
                <w:i/>
                <w:color w:val="595959"/>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ED7343">
        <w:tc>
          <w:tcPr>
            <w:tcW w:w="3505" w:type="dxa"/>
            <w:vAlign w:val="center"/>
          </w:tcPr>
          <w:p w14:paraId="0C834970" w14:textId="77777777" w:rsidR="005E5F0D" w:rsidRPr="004B3E18" w:rsidRDefault="005E5F0D" w:rsidP="00ED7343">
            <w:r w:rsidRPr="004B3E18">
              <w:t>Risk 1: ….</w:t>
            </w:r>
          </w:p>
        </w:tc>
        <w:tc>
          <w:tcPr>
            <w:tcW w:w="1080" w:type="dxa"/>
          </w:tcPr>
          <w:p w14:paraId="23A501FD" w14:textId="77777777" w:rsidR="005E5F0D" w:rsidRPr="004B3E18" w:rsidRDefault="005E5F0D" w:rsidP="00ED7343">
            <w:pPr>
              <w:rPr>
                <w:rFonts w:cs="Minion Pro"/>
              </w:rPr>
            </w:pPr>
            <w:r w:rsidRPr="004B3E18">
              <w:rPr>
                <w:rFonts w:cs="Minion Pro"/>
              </w:rPr>
              <w:t xml:space="preserve">I = </w:t>
            </w:r>
          </w:p>
          <w:p w14:paraId="0C4A1883" w14:textId="77777777" w:rsidR="005E5F0D" w:rsidRPr="004B3E18" w:rsidRDefault="005E5F0D" w:rsidP="00ED7343">
            <w:pPr>
              <w:rPr>
                <w:rFonts w:cs="Minion Pro"/>
              </w:rPr>
            </w:pPr>
            <w:r>
              <w:rPr>
                <w:rFonts w:cs="Minion Pro"/>
              </w:rPr>
              <w:t>L</w:t>
            </w:r>
            <w:r w:rsidRPr="004B3E18">
              <w:rPr>
                <w:rFonts w:cs="Minion Pro"/>
              </w:rPr>
              <w:t xml:space="preserve"> =</w:t>
            </w:r>
          </w:p>
        </w:tc>
        <w:tc>
          <w:tcPr>
            <w:tcW w:w="1170" w:type="dxa"/>
          </w:tcPr>
          <w:p w14:paraId="119B05A7" w14:textId="77777777" w:rsidR="005E5F0D" w:rsidRPr="004B3E18" w:rsidRDefault="005E5F0D" w:rsidP="00ED7343">
            <w:pPr>
              <w:rPr>
                <w:b/>
              </w:rPr>
            </w:pPr>
          </w:p>
        </w:tc>
        <w:tc>
          <w:tcPr>
            <w:tcW w:w="2610" w:type="dxa"/>
            <w:gridSpan w:val="2"/>
          </w:tcPr>
          <w:p w14:paraId="033483A8" w14:textId="77777777" w:rsidR="005E5F0D" w:rsidRPr="004B3E18" w:rsidRDefault="005E5F0D" w:rsidP="00ED7343">
            <w:pPr>
              <w:rPr>
                <w:b/>
              </w:rPr>
            </w:pPr>
          </w:p>
        </w:tc>
        <w:tc>
          <w:tcPr>
            <w:tcW w:w="4770" w:type="dxa"/>
            <w:gridSpan w:val="4"/>
          </w:tcPr>
          <w:p w14:paraId="10AB690D" w14:textId="77777777" w:rsidR="005E5F0D" w:rsidRPr="004B3E18" w:rsidRDefault="005E5F0D" w:rsidP="00ED7343">
            <w:pPr>
              <w:rPr>
                <w:b/>
              </w:rPr>
            </w:pPr>
          </w:p>
        </w:tc>
      </w:tr>
      <w:tr w:rsidR="005E5F0D" w:rsidRPr="004B3E18" w14:paraId="1CC1CDC6" w14:textId="77777777" w:rsidTr="00ED7343">
        <w:tc>
          <w:tcPr>
            <w:tcW w:w="3505" w:type="dxa"/>
            <w:vAlign w:val="center"/>
          </w:tcPr>
          <w:p w14:paraId="14989E0D" w14:textId="77777777" w:rsidR="005E5F0D" w:rsidRPr="004B3E18" w:rsidRDefault="005E5F0D" w:rsidP="00ED7343">
            <w:pPr>
              <w:rPr>
                <w:b/>
              </w:rPr>
            </w:pPr>
            <w:r w:rsidRPr="004B3E18">
              <w:t>Risk 2 ….</w:t>
            </w:r>
          </w:p>
        </w:tc>
        <w:tc>
          <w:tcPr>
            <w:tcW w:w="1080" w:type="dxa"/>
          </w:tcPr>
          <w:p w14:paraId="3DF4224D" w14:textId="77777777" w:rsidR="005E5F0D" w:rsidRPr="004B3E18" w:rsidRDefault="005E5F0D" w:rsidP="00ED7343">
            <w:pPr>
              <w:rPr>
                <w:rFonts w:cs="Minion Pro"/>
              </w:rPr>
            </w:pPr>
            <w:r w:rsidRPr="004B3E18">
              <w:rPr>
                <w:rFonts w:cs="Minion Pro"/>
              </w:rPr>
              <w:t xml:space="preserve">I = </w:t>
            </w:r>
          </w:p>
          <w:p w14:paraId="59D4CC0C" w14:textId="77777777" w:rsidR="005E5F0D" w:rsidRPr="004B3E18" w:rsidRDefault="005E5F0D" w:rsidP="00ED7343">
            <w:r>
              <w:rPr>
                <w:rFonts w:cs="Minion Pro"/>
              </w:rPr>
              <w:t>L</w:t>
            </w:r>
            <w:r w:rsidRPr="004B3E18">
              <w:rPr>
                <w:rFonts w:cs="Minion Pro"/>
              </w:rPr>
              <w:t xml:space="preserve"> = </w:t>
            </w:r>
          </w:p>
        </w:tc>
        <w:tc>
          <w:tcPr>
            <w:tcW w:w="1170" w:type="dxa"/>
          </w:tcPr>
          <w:p w14:paraId="53A4CDA9" w14:textId="77777777" w:rsidR="005E5F0D" w:rsidRPr="004B3E18" w:rsidRDefault="005E5F0D" w:rsidP="00ED7343">
            <w:pPr>
              <w:rPr>
                <w:b/>
              </w:rPr>
            </w:pPr>
          </w:p>
        </w:tc>
        <w:tc>
          <w:tcPr>
            <w:tcW w:w="2610" w:type="dxa"/>
            <w:gridSpan w:val="2"/>
          </w:tcPr>
          <w:p w14:paraId="7472BC69" w14:textId="77777777" w:rsidR="005E5F0D" w:rsidRPr="004B3E18" w:rsidRDefault="005E5F0D" w:rsidP="00ED7343">
            <w:pPr>
              <w:rPr>
                <w:b/>
              </w:rPr>
            </w:pPr>
          </w:p>
        </w:tc>
        <w:tc>
          <w:tcPr>
            <w:tcW w:w="4770" w:type="dxa"/>
            <w:gridSpan w:val="4"/>
          </w:tcPr>
          <w:p w14:paraId="70B2F730" w14:textId="77777777" w:rsidR="005E5F0D" w:rsidRPr="004B3E18" w:rsidRDefault="005E5F0D" w:rsidP="00ED7343">
            <w:pPr>
              <w:rPr>
                <w:b/>
              </w:rPr>
            </w:pPr>
          </w:p>
        </w:tc>
      </w:tr>
      <w:tr w:rsidR="005E5F0D" w:rsidRPr="004B3E18" w14:paraId="5F3D6788" w14:textId="77777777" w:rsidTr="00ED7343">
        <w:tc>
          <w:tcPr>
            <w:tcW w:w="3505" w:type="dxa"/>
            <w:vAlign w:val="center"/>
          </w:tcPr>
          <w:p w14:paraId="51FFD69B" w14:textId="77777777" w:rsidR="005E5F0D" w:rsidRPr="004B3E18" w:rsidRDefault="005E5F0D" w:rsidP="00ED7343">
            <w:r w:rsidRPr="004B3E18">
              <w:t>[add additional rows as needed]</w:t>
            </w:r>
          </w:p>
        </w:tc>
        <w:tc>
          <w:tcPr>
            <w:tcW w:w="1080" w:type="dxa"/>
          </w:tcPr>
          <w:p w14:paraId="5ED8E28E" w14:textId="77777777" w:rsidR="005E5F0D" w:rsidRPr="004B3E18" w:rsidRDefault="005E5F0D" w:rsidP="00ED7343">
            <w:pPr>
              <w:rPr>
                <w:rFonts w:cs="Minion Pro"/>
              </w:rPr>
            </w:pPr>
          </w:p>
        </w:tc>
        <w:tc>
          <w:tcPr>
            <w:tcW w:w="1170" w:type="dxa"/>
          </w:tcPr>
          <w:p w14:paraId="41785128" w14:textId="77777777" w:rsidR="005E5F0D" w:rsidRPr="004B3E18" w:rsidRDefault="005E5F0D" w:rsidP="00ED7343">
            <w:pPr>
              <w:rPr>
                <w:b/>
              </w:rPr>
            </w:pPr>
          </w:p>
        </w:tc>
        <w:tc>
          <w:tcPr>
            <w:tcW w:w="2610" w:type="dxa"/>
            <w:gridSpan w:val="2"/>
          </w:tcPr>
          <w:p w14:paraId="3FCE30C4" w14:textId="77777777" w:rsidR="005E5F0D" w:rsidRPr="004B3E18" w:rsidRDefault="005E5F0D" w:rsidP="00ED7343">
            <w:pPr>
              <w:rPr>
                <w:b/>
              </w:rPr>
            </w:pPr>
          </w:p>
        </w:tc>
        <w:tc>
          <w:tcPr>
            <w:tcW w:w="4770" w:type="dxa"/>
            <w:gridSpan w:val="4"/>
          </w:tcPr>
          <w:p w14:paraId="6431A2BF" w14:textId="77777777" w:rsidR="005E5F0D" w:rsidRPr="004B3E18" w:rsidRDefault="005E5F0D" w:rsidP="00ED7343">
            <w:pPr>
              <w:rPr>
                <w:b/>
              </w:rPr>
            </w:pPr>
          </w:p>
        </w:tc>
      </w:tr>
      <w:tr w:rsidR="005E5F0D" w:rsidRPr="004B3E18" w14:paraId="69FC12AE" w14:textId="77777777" w:rsidTr="00ED7343">
        <w:trPr>
          <w:trHeight w:val="593"/>
        </w:trPr>
        <w:tc>
          <w:tcPr>
            <w:tcW w:w="3505" w:type="dxa"/>
            <w:vMerge w:val="restart"/>
          </w:tcPr>
          <w:p w14:paraId="51B9A6B2" w14:textId="77777777" w:rsidR="005E5F0D" w:rsidRPr="004B3E18" w:rsidRDefault="005E5F0D" w:rsidP="00ED7343">
            <w:pPr>
              <w:rPr>
                <w:b/>
                <w:szCs w:val="20"/>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333FAF68" w14:textId="77777777" w:rsidR="005E5F0D" w:rsidRPr="004B3E18" w:rsidRDefault="005E5F0D" w:rsidP="00ED7343">
            <w:pPr>
              <w:rPr>
                <w:b/>
              </w:rPr>
            </w:pPr>
          </w:p>
        </w:tc>
      </w:tr>
      <w:tr w:rsidR="005E5F0D" w:rsidRPr="004B3E18" w14:paraId="5665CA39" w14:textId="77777777" w:rsidTr="003D38CD">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High Risk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ED734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ED734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ED734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ED7343">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1"/>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2"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77777777" w:rsidR="005E5F0D" w:rsidRPr="00B72E50" w:rsidRDefault="005E5F0D" w:rsidP="00ED7343">
            <w:pPr>
              <w:tabs>
                <w:tab w:val="left" w:pos="810"/>
              </w:tabs>
              <w:rPr>
                <w:i/>
              </w:rPr>
            </w:pP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77777777" w:rsidR="005E5F0D" w:rsidRPr="00B72E50" w:rsidRDefault="005E5F0D" w:rsidP="00ED7343">
            <w:pPr>
              <w:tabs>
                <w:tab w:val="left" w:pos="810"/>
              </w:tabs>
              <w:rPr>
                <w:i/>
              </w:rPr>
            </w:pP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77777777" w:rsidR="005E5F0D" w:rsidRPr="00B72E50" w:rsidRDefault="005E5F0D" w:rsidP="00ED7343">
            <w:pPr>
              <w:tabs>
                <w:tab w:val="left" w:pos="810"/>
              </w:tabs>
              <w:rPr>
                <w:i/>
              </w:rPr>
            </w:pP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77777777" w:rsidR="005E5F0D" w:rsidRPr="004B3E18" w:rsidRDefault="005E5F0D" w:rsidP="00ED7343">
            <w:pPr>
              <w:tabs>
                <w:tab w:val="left" w:pos="810"/>
              </w:tabs>
            </w:pP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77777777" w:rsidR="005E5F0D" w:rsidRPr="004B3E18" w:rsidRDefault="005E5F0D" w:rsidP="00ED7343">
            <w:pPr>
              <w:tabs>
                <w:tab w:val="left" w:pos="810"/>
              </w:tabs>
            </w:pP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77777777" w:rsidR="005E5F0D" w:rsidRPr="004B3E18" w:rsidRDefault="005E5F0D" w:rsidP="00ED7343">
            <w:pPr>
              <w:tabs>
                <w:tab w:val="left" w:pos="810"/>
              </w:tabs>
            </w:pP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77777777" w:rsidR="005E5F0D" w:rsidRPr="004B3E18" w:rsidRDefault="005E5F0D" w:rsidP="00ED7343">
            <w:pPr>
              <w:tabs>
                <w:tab w:val="left" w:pos="810"/>
              </w:tabs>
            </w:pP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77777777" w:rsidR="005E5F0D" w:rsidRPr="004B3E18" w:rsidRDefault="005E5F0D" w:rsidP="00ED7343">
            <w:pPr>
              <w:tabs>
                <w:tab w:val="left" w:pos="810"/>
              </w:tabs>
            </w:pP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77777777" w:rsidR="005E5F0D" w:rsidRPr="00E344B9" w:rsidRDefault="005E5F0D" w:rsidP="00ED7343">
            <w:pPr>
              <w:tabs>
                <w:tab w:val="left" w:pos="810"/>
              </w:tabs>
              <w:rPr>
                <w:i/>
              </w:rPr>
            </w:pP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7777777" w:rsidR="005E5F0D" w:rsidRPr="004B3E18" w:rsidRDefault="005E5F0D" w:rsidP="00ED7343">
            <w:pPr>
              <w:tabs>
                <w:tab w:val="left" w:pos="810"/>
              </w:tabs>
            </w:pP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77777777" w:rsidR="005E5F0D" w:rsidRPr="004B3E18" w:rsidRDefault="005E5F0D" w:rsidP="00ED7343">
            <w:pPr>
              <w:tabs>
                <w:tab w:val="left" w:pos="810"/>
              </w:tabs>
            </w:pP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77777777" w:rsidR="005E5F0D" w:rsidRPr="004B3E18" w:rsidRDefault="005E5F0D" w:rsidP="00ED7343">
            <w:pPr>
              <w:tabs>
                <w:tab w:val="left" w:pos="810"/>
              </w:tabs>
            </w:pP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77777777" w:rsidR="005E5F0D" w:rsidRPr="004B3E18" w:rsidRDefault="005E5F0D" w:rsidP="00ED7343">
            <w:pPr>
              <w:tabs>
                <w:tab w:val="left" w:pos="810"/>
              </w:tabs>
            </w:pP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77777777" w:rsidR="005E5F0D" w:rsidRPr="004B3E18" w:rsidRDefault="005E5F0D" w:rsidP="00ED7343">
            <w:pPr>
              <w:tabs>
                <w:tab w:val="left" w:pos="810"/>
              </w:tabs>
            </w:pP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77777777" w:rsidR="005E5F0D" w:rsidRPr="004B3E18" w:rsidRDefault="005E5F0D" w:rsidP="00ED7343">
            <w:pPr>
              <w:tabs>
                <w:tab w:val="left" w:pos="810"/>
              </w:tabs>
            </w:pP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7777777" w:rsidR="005E5F0D" w:rsidRPr="004B3E18" w:rsidRDefault="005E5F0D" w:rsidP="00ED7343">
            <w:pPr>
              <w:rPr>
                <w:rFonts w:eastAsia="Times New Roman"/>
              </w:rPr>
            </w:pP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7777777" w:rsidR="005E5F0D" w:rsidRPr="004B3E18" w:rsidRDefault="005E5F0D" w:rsidP="00ED7343">
            <w:pPr>
              <w:rPr>
                <w:rFonts w:eastAsia="Times New Roman"/>
              </w:rPr>
            </w:pP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77777777" w:rsidR="005E5F0D" w:rsidRPr="004B3E18" w:rsidRDefault="005E5F0D" w:rsidP="00ED7343">
            <w:pPr>
              <w:rPr>
                <w:rFonts w:eastAsia="Times New Roman"/>
              </w:rPr>
            </w:pP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77777777" w:rsidR="005E5F0D" w:rsidRPr="004B3E18" w:rsidRDefault="005E5F0D" w:rsidP="00ED7343">
            <w:pPr>
              <w:rPr>
                <w:rFonts w:eastAsia="Times New Roman"/>
              </w:rPr>
            </w:pP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77777777" w:rsidR="005E5F0D" w:rsidRPr="004B3E18" w:rsidRDefault="005E5F0D" w:rsidP="00ED7343">
            <w:pPr>
              <w:rPr>
                <w:rFonts w:eastAsia="Times New Roman"/>
              </w:rPr>
            </w:pP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77777777" w:rsidR="005E5F0D" w:rsidRPr="004B3E18" w:rsidRDefault="005E5F0D" w:rsidP="00ED7343">
            <w:pPr>
              <w:rPr>
                <w:rFonts w:eastAsia="Times New Roman"/>
              </w:rPr>
            </w:pP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77777777" w:rsidR="005E5F0D" w:rsidRPr="00E11C43" w:rsidRDefault="005E5F0D" w:rsidP="00ED7343">
            <w:pPr>
              <w:rPr>
                <w:rFonts w:eastAsia="Times New Roman"/>
              </w:rPr>
            </w:pP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7777777" w:rsidR="005E5F0D" w:rsidRPr="00E11C43" w:rsidRDefault="005E5F0D" w:rsidP="00ED7343">
            <w:pPr>
              <w:rPr>
                <w:rFonts w:eastAsia="Times New Roman"/>
              </w:rPr>
            </w:pP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77777777" w:rsidR="005E5F0D" w:rsidRPr="00E11C43" w:rsidRDefault="005E5F0D" w:rsidP="00ED7343">
            <w:pPr>
              <w:rPr>
                <w:rFonts w:eastAsia="Times New Roman"/>
              </w:rPr>
            </w:pP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77777777" w:rsidR="005E5F0D" w:rsidRPr="00E11C43" w:rsidRDefault="005E5F0D" w:rsidP="00ED7343">
            <w:pPr>
              <w:rPr>
                <w:rFonts w:eastAsia="Times New Roman"/>
              </w:rPr>
            </w:pP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77777777" w:rsidR="005E5F0D" w:rsidRPr="004B3E18" w:rsidRDefault="005E5F0D" w:rsidP="00ED7343">
            <w:pPr>
              <w:rPr>
                <w:rFonts w:eastAsia="Times New Roman"/>
              </w:rPr>
            </w:pP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77777777" w:rsidR="005E5F0D" w:rsidRPr="00E344B9" w:rsidRDefault="005E5F0D" w:rsidP="00ED7343">
            <w:pPr>
              <w:tabs>
                <w:tab w:val="left" w:pos="585"/>
              </w:tabs>
              <w:spacing w:before="60" w:after="60"/>
              <w:ind w:left="567" w:hanging="567"/>
              <w:rPr>
                <w:rFonts w:eastAsia="Times New Roman"/>
              </w:rPr>
            </w:pP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7777777" w:rsidR="005E5F0D" w:rsidRPr="00E344B9" w:rsidRDefault="005E5F0D" w:rsidP="00ED7343">
            <w:pPr>
              <w:tabs>
                <w:tab w:val="left" w:pos="585"/>
              </w:tabs>
              <w:spacing w:before="60" w:after="60"/>
              <w:ind w:left="567" w:hanging="567"/>
              <w:rPr>
                <w:rFonts w:eastAsia="Times New Roman"/>
              </w:rPr>
            </w:pP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77777777" w:rsidR="005E5F0D" w:rsidRPr="006B3B97" w:rsidRDefault="005E5F0D" w:rsidP="00ED7343">
            <w:pPr>
              <w:tabs>
                <w:tab w:val="left" w:pos="585"/>
              </w:tabs>
              <w:spacing w:before="60" w:after="60"/>
              <w:ind w:left="567" w:hanging="567"/>
              <w:rPr>
                <w:rFonts w:eastAsia="Times New Roman"/>
              </w:rPr>
            </w:pP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ED7343">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ED7343">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ED7343">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8DEF37F" w14:textId="77777777" w:rsidTr="003D38CD">
        <w:tc>
          <w:tcPr>
            <w:tcW w:w="8635" w:type="dxa"/>
            <w:tcBorders>
              <w:bottom w:val="single" w:sz="4" w:space="0" w:color="auto"/>
            </w:tcBorders>
            <w:shd w:val="clear" w:color="auto" w:fill="auto"/>
          </w:tcPr>
          <w:p w14:paraId="7645F29E" w14:textId="77777777" w:rsidR="005E5F0D" w:rsidRPr="004B3E18" w:rsidRDefault="005E5F0D" w:rsidP="00ED7343">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9837306" w14:textId="77777777" w:rsidTr="003D38CD">
        <w:tc>
          <w:tcPr>
            <w:tcW w:w="8635" w:type="dxa"/>
            <w:tcBorders>
              <w:bottom w:val="single" w:sz="4" w:space="0" w:color="auto"/>
            </w:tcBorders>
            <w:shd w:val="clear" w:color="auto" w:fill="auto"/>
          </w:tcPr>
          <w:p w14:paraId="1C305795" w14:textId="77777777" w:rsidR="005E5F0D" w:rsidRPr="004B3E18" w:rsidRDefault="005E5F0D" w:rsidP="00ED7343">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48B0B61" w14:textId="77777777" w:rsidTr="003D38CD">
        <w:tc>
          <w:tcPr>
            <w:tcW w:w="8635" w:type="dxa"/>
            <w:tcBorders>
              <w:bottom w:val="single" w:sz="4" w:space="0" w:color="auto"/>
            </w:tcBorders>
            <w:shd w:val="clear" w:color="auto" w:fill="auto"/>
          </w:tcPr>
          <w:p w14:paraId="72E0A07E" w14:textId="77777777" w:rsidR="005E5F0D" w:rsidRDefault="005E5F0D" w:rsidP="00ED7343">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ED7343">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7DE2AFC" w14:textId="77777777" w:rsidTr="003D38CD">
        <w:tc>
          <w:tcPr>
            <w:tcW w:w="8635" w:type="dxa"/>
            <w:tcBorders>
              <w:bottom w:val="single" w:sz="4" w:space="0" w:color="auto"/>
            </w:tcBorders>
            <w:shd w:val="clear" w:color="auto" w:fill="auto"/>
          </w:tcPr>
          <w:p w14:paraId="45406A05" w14:textId="77777777" w:rsidR="005E5F0D" w:rsidRPr="004B3E18" w:rsidRDefault="005E5F0D" w:rsidP="00ED7343">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79F2E557" w14:textId="77777777" w:rsidTr="003D38CD">
        <w:tc>
          <w:tcPr>
            <w:tcW w:w="8635" w:type="dxa"/>
            <w:tcBorders>
              <w:bottom w:val="single" w:sz="4" w:space="0" w:color="auto"/>
            </w:tcBorders>
            <w:shd w:val="clear" w:color="auto" w:fill="auto"/>
          </w:tcPr>
          <w:p w14:paraId="2123FB7C" w14:textId="77777777" w:rsidR="005E5F0D" w:rsidRPr="004B3E18" w:rsidRDefault="005E5F0D" w:rsidP="00ED7343">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15732D0" w14:textId="77777777" w:rsidTr="003D38CD">
        <w:tc>
          <w:tcPr>
            <w:tcW w:w="8635" w:type="dxa"/>
            <w:tcBorders>
              <w:bottom w:val="single" w:sz="4" w:space="0" w:color="auto"/>
            </w:tcBorders>
            <w:shd w:val="clear" w:color="auto" w:fill="auto"/>
          </w:tcPr>
          <w:p w14:paraId="76554080" w14:textId="77777777" w:rsidR="005E5F0D" w:rsidRDefault="005E5F0D" w:rsidP="00ED7343">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ED7343">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ED7343">
            <w:pPr>
              <w:tabs>
                <w:tab w:val="left" w:pos="585"/>
              </w:tabs>
              <w:spacing w:before="60" w:after="60"/>
              <w:ind w:left="567" w:hanging="567"/>
            </w:pPr>
            <w:r>
              <w:t>7.1</w:t>
            </w:r>
            <w:r>
              <w:tab/>
              <w:t>working conditions that do not meet national labour laws and international commitments?</w:t>
            </w:r>
          </w:p>
        </w:tc>
        <w:tc>
          <w:tcPr>
            <w:tcW w:w="900" w:type="dxa"/>
            <w:tcBorders>
              <w:bottom w:val="single" w:sz="4" w:space="0" w:color="auto"/>
            </w:tcBorders>
            <w:shd w:val="clear" w:color="auto" w:fill="auto"/>
          </w:tcPr>
          <w:p w14:paraId="428773C1"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ED7343">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ED7343">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900" w:type="dxa"/>
            <w:tcBorders>
              <w:bottom w:val="single" w:sz="4" w:space="0" w:color="auto"/>
            </w:tcBorders>
            <w:shd w:val="clear" w:color="auto" w:fill="auto"/>
          </w:tcPr>
          <w:p w14:paraId="71F56BD8"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ED7343">
            <w:pPr>
              <w:tabs>
                <w:tab w:val="left" w:pos="585"/>
              </w:tabs>
              <w:spacing w:before="60" w:after="60"/>
              <w:ind w:left="567" w:hanging="567"/>
            </w:pPr>
            <w:r>
              <w:t>7.4</w:t>
            </w:r>
            <w:r>
              <w:tab/>
              <w:t>use of forced labour?</w:t>
            </w:r>
          </w:p>
        </w:tc>
        <w:tc>
          <w:tcPr>
            <w:tcW w:w="900" w:type="dxa"/>
            <w:tcBorders>
              <w:bottom w:val="single" w:sz="4" w:space="0" w:color="auto"/>
            </w:tcBorders>
            <w:shd w:val="clear" w:color="auto" w:fill="auto"/>
          </w:tcPr>
          <w:p w14:paraId="22BCFD24"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ED7343">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ED7343">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77777777" w:rsidR="005E5F0D" w:rsidRPr="00E344B9" w:rsidRDefault="005E5F0D" w:rsidP="00ED7343">
            <w:pP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ED7343">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77777777" w:rsidR="005E5F0D" w:rsidRPr="004B3E18" w:rsidRDefault="005E5F0D" w:rsidP="00ED7343">
            <w:pPr>
              <w:rPr>
                <w:rFonts w:eastAsia="Times New Roman"/>
              </w:rPr>
            </w:pP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77777777" w:rsidR="005E5F0D" w:rsidRPr="004B3E18" w:rsidRDefault="005E5F0D" w:rsidP="00ED7343">
            <w:pPr>
              <w:rPr>
                <w:rFonts w:eastAsia="Times New Roman"/>
              </w:rPr>
            </w:pP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77777777" w:rsidR="005E5F0D" w:rsidRPr="004B3E18" w:rsidRDefault="005E5F0D" w:rsidP="00ED7343">
            <w:pPr>
              <w:rPr>
                <w:rFonts w:eastAsia="Times New Roman"/>
              </w:rPr>
            </w:pP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ED7343">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ED7343">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3" w:history="1">
              <w:r w:rsidRPr="0058067B">
                <w:rPr>
                  <w:rStyle w:val="Hyperlink"/>
                  <w:rFonts w:eastAsia="Times New Roman"/>
                  <w:i/>
                </w:rPr>
                <w:t>Montreal Protocol</w:t>
              </w:r>
            </w:hyperlink>
            <w:r w:rsidRPr="0058067B">
              <w:rPr>
                <w:rFonts w:eastAsia="Times New Roman"/>
                <w:i/>
              </w:rPr>
              <w:t xml:space="preserve">, </w:t>
            </w:r>
            <w:hyperlink r:id="rId14" w:history="1">
              <w:r w:rsidRPr="0058067B">
                <w:rPr>
                  <w:rStyle w:val="Hyperlink"/>
                  <w:rFonts w:eastAsia="Times New Roman"/>
                  <w:i/>
                </w:rPr>
                <w:t>Minamata Convention</w:t>
              </w:r>
            </w:hyperlink>
            <w:r w:rsidRPr="0058067B">
              <w:rPr>
                <w:rFonts w:eastAsia="Times New Roman"/>
                <w:i/>
              </w:rPr>
              <w:t xml:space="preserve">, </w:t>
            </w:r>
            <w:hyperlink r:id="rId15" w:history="1">
              <w:r w:rsidRPr="0058067B">
                <w:rPr>
                  <w:rStyle w:val="Hyperlink"/>
                  <w:rFonts w:eastAsia="Times New Roman"/>
                  <w:i/>
                </w:rPr>
                <w:t>Basel Convention</w:t>
              </w:r>
            </w:hyperlink>
            <w:r w:rsidRPr="0058067B">
              <w:rPr>
                <w:rFonts w:eastAsia="Times New Roman"/>
                <w:i/>
              </w:rPr>
              <w:t xml:space="preserve">, </w:t>
            </w:r>
            <w:hyperlink r:id="rId16" w:history="1">
              <w:r w:rsidRPr="0058067B">
                <w:rPr>
                  <w:rStyle w:val="Hyperlink"/>
                  <w:rFonts w:eastAsia="Times New Roman"/>
                  <w:i/>
                </w:rPr>
                <w:t>Rotterdam Convention</w:t>
              </w:r>
            </w:hyperlink>
            <w:r w:rsidRPr="0058067B">
              <w:rPr>
                <w:rFonts w:eastAsia="Times New Roman"/>
                <w:i/>
              </w:rPr>
              <w:t xml:space="preserve">, </w:t>
            </w:r>
            <w:hyperlink r:id="rId17"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77777777" w:rsidR="005E5F0D" w:rsidRPr="004B3E18" w:rsidRDefault="005E5F0D" w:rsidP="00ED7343">
            <w:pPr>
              <w:rPr>
                <w:rFonts w:eastAsia="Times New Roman"/>
              </w:rPr>
            </w:pP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ED7343">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77777777" w:rsidR="005E5F0D" w:rsidRPr="004B3E18" w:rsidRDefault="005E5F0D" w:rsidP="00ED7343">
            <w:pPr>
              <w:tabs>
                <w:tab w:val="left" w:pos="585"/>
              </w:tabs>
              <w:spacing w:before="60" w:after="60"/>
              <w:ind w:left="567" w:hanging="567"/>
              <w:rPr>
                <w:rFonts w:eastAsia="Times New Roman"/>
              </w:rPr>
            </w:pPr>
          </w:p>
        </w:tc>
      </w:tr>
    </w:tbl>
    <w:p w14:paraId="7A94CD31" w14:textId="77777777" w:rsidR="005E5F0D" w:rsidRDefault="005E5F0D" w:rsidP="005E5F0D">
      <w:pPr>
        <w:rPr>
          <w:b/>
          <w:szCs w:val="20"/>
        </w:rPr>
      </w:pPr>
    </w:p>
    <w:p w14:paraId="6D9541F6" w14:textId="5E571923" w:rsidR="00B10E91" w:rsidRDefault="00743A46"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49288" w14:textId="77777777" w:rsidR="00743A46" w:rsidRDefault="00743A46" w:rsidP="005E5F0D">
      <w:r>
        <w:separator/>
      </w:r>
    </w:p>
  </w:endnote>
  <w:endnote w:type="continuationSeparator" w:id="0">
    <w:p w14:paraId="2497D1F4" w14:textId="77777777" w:rsidR="00743A46" w:rsidRDefault="00743A46"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0DD7" w14:textId="77777777" w:rsidR="00743A46" w:rsidRDefault="00743A46" w:rsidP="005E5F0D">
      <w:r>
        <w:separator/>
      </w:r>
    </w:p>
  </w:footnote>
  <w:footnote w:type="continuationSeparator" w:id="0">
    <w:p w14:paraId="4FCD5775" w14:textId="77777777" w:rsidR="00743A46" w:rsidRDefault="00743A46"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C1EBA"/>
    <w:rsid w:val="00310069"/>
    <w:rsid w:val="003B3C67"/>
    <w:rsid w:val="003D38CD"/>
    <w:rsid w:val="004926E6"/>
    <w:rsid w:val="0056510F"/>
    <w:rsid w:val="005E0106"/>
    <w:rsid w:val="005E5F0D"/>
    <w:rsid w:val="00631DB8"/>
    <w:rsid w:val="00743A46"/>
    <w:rsid w:val="007C084C"/>
    <w:rsid w:val="00B363D6"/>
    <w:rsid w:val="00BA6DEE"/>
    <w:rsid w:val="00D259B7"/>
    <w:rsid w:val="00DD43F9"/>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zone.unep.org/montreal-protocol-substances-deplete-ozone-layer/325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ndp.org/sites/bpps/SES_Toolkit/Pages/Homepage.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3.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4.xml><?xml version="1.0" encoding="utf-8"?>
<ds:datastoreItem xmlns:ds="http://schemas.openxmlformats.org/officeDocument/2006/customXml" ds:itemID="{E3B89E8F-8EED-4643-8CAE-31A2FC2B44AA}"/>
</file>

<file path=docProps/app.xml><?xml version="1.0" encoding="utf-8"?>
<Properties xmlns="http://schemas.openxmlformats.org/officeDocument/2006/extended-properties" xmlns:vt="http://schemas.openxmlformats.org/officeDocument/2006/docPropsVTypes">
  <Template>Normal.dotm</Template>
  <TotalTime>2</TotalTime>
  <Pages>8</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subject/>
  <dc:creator>Delcio Salu</dc:creator>
  <cp:keywords/>
  <dc:description/>
  <cp:lastModifiedBy>Delcio Salu</cp:lastModifiedBy>
  <cp:revision>3</cp:revision>
  <dcterms:created xsi:type="dcterms:W3CDTF">2020-12-10T20:09:00Z</dcterms:created>
  <dcterms:modified xsi:type="dcterms:W3CDTF">2020-12-10T20:10:00Z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