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7" w:rsidRPr="002E3A1A" w:rsidRDefault="00B030B5" w:rsidP="00146DB7">
      <w:pPr>
        <w:jc w:val="center"/>
        <w:rPr>
          <w:rFonts w:ascii="Myriad Pro" w:hAnsi="Myriad Pro"/>
          <w:sz w:val="20"/>
          <w:lang w:val="en-GB"/>
        </w:rPr>
      </w:pPr>
      <w:r w:rsidRPr="002E3A1A">
        <w:rPr>
          <w:rFonts w:ascii="Myriad Pro" w:hAnsi="Myriad Pro"/>
          <w:sz w:val="20"/>
          <w:lang w:val="en-GB"/>
        </w:rPr>
        <w:t xml:space="preserve">LOD II </w:t>
      </w:r>
      <w:r w:rsidR="00146DB7" w:rsidRPr="002E3A1A">
        <w:rPr>
          <w:rFonts w:ascii="Myriad Pro" w:hAnsi="Myriad Pro"/>
          <w:sz w:val="20"/>
          <w:lang w:val="en-GB"/>
        </w:rPr>
        <w:t>LOGICAL FRAMEWORK</w:t>
      </w:r>
    </w:p>
    <w:tbl>
      <w:tblPr>
        <w:tblW w:w="154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780"/>
        <w:gridCol w:w="4950"/>
        <w:gridCol w:w="3150"/>
        <w:gridCol w:w="2468"/>
      </w:tblGrid>
      <w:tr w:rsidR="000C3999" w:rsidRPr="002E3A1A" w:rsidTr="00C732E1">
        <w:tc>
          <w:tcPr>
            <w:tcW w:w="10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Intervention logic</w:t>
            </w:r>
          </w:p>
        </w:tc>
        <w:tc>
          <w:tcPr>
            <w:tcW w:w="495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Objectively verifiable indicators of achievement</w:t>
            </w:r>
          </w:p>
        </w:tc>
        <w:tc>
          <w:tcPr>
            <w:tcW w:w="315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Sources and means of verification</w:t>
            </w:r>
          </w:p>
        </w:tc>
        <w:tc>
          <w:tcPr>
            <w:tcW w:w="2468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Assumptions</w:t>
            </w:r>
          </w:p>
        </w:tc>
      </w:tr>
      <w:tr w:rsidR="000C3999" w:rsidRPr="002E3A1A" w:rsidTr="00C732E1">
        <w:tc>
          <w:tcPr>
            <w:tcW w:w="10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Overall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objective</w:t>
            </w:r>
          </w:p>
        </w:tc>
        <w:tc>
          <w:tcPr>
            <w:tcW w:w="3780" w:type="dxa"/>
          </w:tcPr>
          <w:p w:rsidR="000C3999" w:rsidRPr="002E3A1A" w:rsidRDefault="000C3999" w:rsidP="005F28B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To contribute to democratic stabilization, conciliation and further development of Bosnia and Herzegovina through support to selected municipalities in establishing improved local authority/civil society relations and facilitating improved financing mechanisms. For improved service delivery</w:t>
            </w:r>
          </w:p>
          <w:p w:rsidR="000C3999" w:rsidRPr="002E3A1A" w:rsidRDefault="000C3999" w:rsidP="005F28BE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Improved quality of civil society initiatives in target municipalities and;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Increased proportion of resources deployed for CSO initiatives.</w:t>
            </w:r>
          </w:p>
          <w:p w:rsidR="000C3999" w:rsidRPr="002E3A1A" w:rsidRDefault="000C3999" w:rsidP="00145E82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</w:tcPr>
          <w:p w:rsidR="000C3999" w:rsidRPr="002E3A1A" w:rsidRDefault="000C3999" w:rsidP="00CB161C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Relevant reports of international agencies on status of democratic process and economic developments in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BiH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(NHDR, Report on the Progress of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BiH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SAp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, etc) and;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Approved NGO project proposals;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budgets;</w:t>
            </w:r>
          </w:p>
          <w:p w:rsidR="000C3999" w:rsidRPr="002E3A1A" w:rsidRDefault="000C3999" w:rsidP="00CB161C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Comparative analysis of base-line research to end of project research/evaluation in a sample of municipalities;</w:t>
            </w:r>
          </w:p>
        </w:tc>
        <w:tc>
          <w:tcPr>
            <w:tcW w:w="2468" w:type="dxa"/>
          </w:tcPr>
          <w:p w:rsidR="000C3999" w:rsidRPr="002E3A1A" w:rsidRDefault="000C3999" w:rsidP="00793298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  <w:tr w:rsidR="000C3999" w:rsidRPr="002E3A1A" w:rsidTr="00C732E1">
        <w:trPr>
          <w:trHeight w:val="532"/>
        </w:trPr>
        <w:tc>
          <w:tcPr>
            <w:tcW w:w="10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Specific 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objectives</w:t>
            </w:r>
          </w:p>
        </w:tc>
        <w:tc>
          <w:tcPr>
            <w:tcW w:w="3780" w:type="dxa"/>
          </w:tcPr>
          <w:p w:rsidR="000C3999" w:rsidRPr="002E3A1A" w:rsidRDefault="000C3999" w:rsidP="00307AD6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1, To facilitate permanent partnerships between CSOs and local authorities by building awareness on a mutual beneficial cooperation and encouraging sustainable dialogue.</w:t>
            </w:r>
          </w:p>
          <w:p w:rsidR="000C3999" w:rsidRPr="002E3A1A" w:rsidRDefault="000C3999" w:rsidP="00307AD6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 w:rsidDel="00E53263">
              <w:rPr>
                <w:rFonts w:ascii="Myriad Pro" w:hAnsi="Myriad Pro"/>
                <w:sz w:val="18"/>
                <w:szCs w:val="18"/>
                <w:lang w:val="en-GB"/>
              </w:rPr>
              <w:t xml:space="preserve"> </w:t>
            </w:r>
          </w:p>
          <w:p w:rsidR="000C3999" w:rsidRPr="002E3A1A" w:rsidRDefault="000C3999" w:rsidP="00307AD6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 To generate unified and transparent mechanisms for disbursing municipal funds foreseen for CSO project-based activities in accordance with local service needs, and identified priorities; and to ensure a sustainable source of funding trough a municipal budget line for financing CSO projects;</w:t>
            </w:r>
          </w:p>
          <w:p w:rsidR="000C3999" w:rsidRPr="002E3A1A" w:rsidRDefault="000C3999" w:rsidP="00307AD6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307AD6">
            <w:pPr>
              <w:keepNext/>
              <w:widowContro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3.  To encourage NGOs/CSOs to specialize/professionalise their activities – to adopt a longer-term planning perspective, to become more responsive to local needs and less dependent on current donor priorities.</w:t>
            </w:r>
          </w:p>
          <w:p w:rsidR="000C3999" w:rsidRPr="002E3A1A" w:rsidRDefault="000C3999" w:rsidP="00055776">
            <w:pPr>
              <w:keepNext/>
              <w:widowControl w:val="0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1.1 Number of documents of cooperation between municipalities and CSOs </w:t>
            </w:r>
          </w:p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1.2 Size of funds mobilized from the municipal budgets for funding CSOs projects increased</w:t>
            </w:r>
          </w:p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1.3 Number of municipalities where advisory boards (CSO, MUN, etc..) are established and local priorities are set; (no LOD cost) </w:t>
            </w:r>
          </w:p>
          <w:p w:rsidR="00DB2AED" w:rsidRPr="002E3A1A" w:rsidRDefault="00DB2AED" w:rsidP="00DB2AE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1.4At least 60 of Memorandums of Understanding and/</w:t>
            </w:r>
            <w:proofErr w:type="gram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or  (</w:t>
            </w:r>
            <w:proofErr w:type="gram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Agreements) signed through this programme.</w:t>
            </w:r>
          </w:p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highlight w:val="yellow"/>
                <w:lang w:val="en-GB"/>
              </w:rPr>
            </w:pPr>
          </w:p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2.1 Number of municipalities that adopted unified and transparent mechanism for disbursement of funds foreseen for CSOs and their activities based on the project approach; (no LOD cost)</w:t>
            </w:r>
          </w:p>
          <w:p w:rsidR="00DB2AED" w:rsidRPr="002E3A1A" w:rsidRDefault="00DB2AED" w:rsidP="00DB2AE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2.2 Number of municipalities that adopted transparent mechanism for monitoring/evaluation of projects activities and results implemented by CSOs;</w:t>
            </w:r>
          </w:p>
          <w:p w:rsidR="00DB2AED" w:rsidRPr="002E3A1A" w:rsidRDefault="00DB2AED" w:rsidP="00DB2AE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3.1 At least 10 CSO applications received.</w:t>
            </w:r>
          </w:p>
          <w:p w:rsidR="00DB2AED" w:rsidRPr="002E3A1A" w:rsidRDefault="00DB2AED" w:rsidP="00DB2AE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3.2 Number of problems in local community successfully addressed by CSO projects.</w:t>
            </w:r>
          </w:p>
          <w:p w:rsidR="00DB2AED" w:rsidRPr="002E3A1A" w:rsidRDefault="00DB2AED" w:rsidP="00DB2AE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3.3 CSO identify their own visions and strategies </w:t>
            </w:r>
          </w:p>
          <w:p w:rsidR="00DB2AED" w:rsidRPr="002E3A1A" w:rsidRDefault="00DB2AED" w:rsidP="00DB2AE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3.4 Assessment of local needs in community</w:t>
            </w:r>
          </w:p>
        </w:tc>
        <w:tc>
          <w:tcPr>
            <w:tcW w:w="3150" w:type="dxa"/>
          </w:tcPr>
          <w:p w:rsidR="000C3999" w:rsidRPr="002E3A1A" w:rsidRDefault="000C3999" w:rsidP="008B054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Relevant municipal reports, UNDP reports and monitoring reports; </w:t>
            </w:r>
          </w:p>
          <w:p w:rsidR="000C3999" w:rsidRPr="002E3A1A" w:rsidRDefault="000C3999" w:rsidP="008B054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Statements of CSOs on their current and future focus;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Minutes of public hearings in selected municipalities </w:t>
            </w:r>
          </w:p>
          <w:p w:rsidR="000C3999" w:rsidRPr="002E3A1A" w:rsidRDefault="000C3999" w:rsidP="008B054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Budget breakdown analysis of selected municipalities for 2009, 2010 and 2011.</w:t>
            </w:r>
          </w:p>
          <w:p w:rsidR="000C3999" w:rsidRPr="002E3A1A" w:rsidRDefault="000C3999" w:rsidP="008B054A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Formal municipal decisions 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Trainings conducted,  documented, and evaluated;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UNDP semi-annual progress reports; 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Project external evaluation report.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Municipal register of received project proposals for 2011, 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publications and municipal information boards;</w:t>
            </w:r>
          </w:p>
          <w:p w:rsidR="000C3999" w:rsidRPr="002E3A1A" w:rsidRDefault="000C3999" w:rsidP="00B9227B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</w:tcPr>
          <w:p w:rsidR="000C3999" w:rsidRPr="002E3A1A" w:rsidRDefault="000C3999" w:rsidP="00793298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Sufficient number of municipalities applied for public call for proposal;</w:t>
            </w:r>
          </w:p>
          <w:p w:rsidR="000C3999" w:rsidRPr="002E3A1A" w:rsidRDefault="000C3999" w:rsidP="00793298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elections do not hinder the previously agreed implementation methodology within public call;</w:t>
            </w:r>
          </w:p>
          <w:p w:rsidR="000C3999" w:rsidRPr="002E3A1A" w:rsidRDefault="000C3999" w:rsidP="006A3E55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Interest of municipalities to engage in partnership with CSOs;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counsellors willing to adopt unified and transparent mechanism for disbursement of funds foreseen for CSOs and their activities as well as allocate resources for these activities;</w:t>
            </w:r>
          </w:p>
          <w:p w:rsidR="000C3999" w:rsidRPr="002E3A1A" w:rsidRDefault="000C3999" w:rsidP="00FA6C3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Municipalities have adequate expertise and skills necessary for the development and delivery of project proposals; </w:t>
            </w:r>
          </w:p>
          <w:p w:rsidR="000C3999" w:rsidRPr="002E3A1A" w:rsidRDefault="000C3999" w:rsidP="00FA6C3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NGOs have adequate capacity necessary for the development and delivery </w:t>
            </w: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of project proposals;</w:t>
            </w:r>
          </w:p>
        </w:tc>
      </w:tr>
      <w:tr w:rsidR="000C3999" w:rsidRPr="002E3A1A" w:rsidTr="00C732E1">
        <w:tc>
          <w:tcPr>
            <w:tcW w:w="10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Expected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results</w:t>
            </w:r>
          </w:p>
        </w:tc>
        <w:tc>
          <w:tcPr>
            <w:tcW w:w="3780" w:type="dxa"/>
          </w:tcPr>
          <w:p w:rsidR="000C3999" w:rsidRPr="002E3A1A" w:rsidRDefault="000C3999" w:rsidP="00307AD6">
            <w:pPr>
              <w:ind w:left="72"/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Results: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Awareness of local authorities raised on how to benefit from the partnership with CSOs and vice versa; identified stakeholders and established management structure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Responsibilities defined for all stakeholders affected by municipal disbursement of funds to CSOs, with details varying to some degree across municipalities, reflecting the diversity of actors.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Communication and partnership among CSOs, and among CSOs and local governments improved;</w:t>
            </w:r>
          </w:p>
          <w:p w:rsidR="000C3999" w:rsidRPr="002E3A1A" w:rsidRDefault="000C3999" w:rsidP="003B0DC3">
            <w:pPr>
              <w:ind w:left="72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6612CD">
            <w:pPr>
              <w:keepNext/>
              <w:widowControl w:val="0"/>
              <w:numPr>
                <w:ilvl w:val="0"/>
                <w:numId w:val="30"/>
              </w:numPr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Municipalities committed to contributing funds in the range of 10%-50% of the project budget for municipal / CSO projects.</w:t>
            </w:r>
          </w:p>
          <w:p w:rsidR="000C3999" w:rsidRPr="002E3A1A" w:rsidRDefault="000C3999" w:rsidP="006612CD">
            <w:pPr>
              <w:keepNext/>
              <w:widowControl w:val="0"/>
              <w:numPr>
                <w:ilvl w:val="0"/>
                <w:numId w:val="30"/>
              </w:numPr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Increased mobilization of local funds from the municipal budgets for strengthening local grass roots organisation and further development of services provided by CSOs;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Minimum of 10 local governments adopt transparent mechanisms for the disbursement of funds foreseen for CSO projects for 2010;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At least one project per municipality is funded;</w:t>
            </w:r>
          </w:p>
          <w:p w:rsidR="000C3999" w:rsidRPr="002E3A1A" w:rsidRDefault="000C3999" w:rsidP="003B0DC3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Creation and adoption of mechanism for monitoring/evaluation of project’s activities and results implemented by CSOs;</w:t>
            </w:r>
          </w:p>
          <w:p w:rsidR="000C3999" w:rsidRPr="002E3A1A" w:rsidRDefault="000C3999" w:rsidP="006612CD">
            <w:pPr>
              <w:numPr>
                <w:ilvl w:val="0"/>
                <w:numId w:val="30"/>
              </w:numPr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Increased awareness of municipalities of the necessity to strengthen capacities with regards to EU </w:t>
            </w: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regulations, preparation of project proposal in line with   adequate project cycle management methodology etc.</w:t>
            </w:r>
          </w:p>
          <w:p w:rsidR="000C3999" w:rsidRPr="002E3A1A" w:rsidRDefault="000C3999" w:rsidP="00182B4F">
            <w:pPr>
              <w:numPr>
                <w:ilvl w:val="0"/>
                <w:numId w:val="30"/>
              </w:numPr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Increased capacities of local stakeholders in PCM, Budget planning, information sharing, intra municipal coordination and promotion of partnerships.</w:t>
            </w:r>
          </w:p>
        </w:tc>
        <w:tc>
          <w:tcPr>
            <w:tcW w:w="4950" w:type="dxa"/>
          </w:tcPr>
          <w:p w:rsidR="000C3999" w:rsidRPr="002E3A1A" w:rsidRDefault="000C3999" w:rsidP="00205A86">
            <w:pPr>
              <w:jc w:val="both"/>
              <w:outlineLvl w:val="0"/>
              <w:rPr>
                <w:rFonts w:ascii="Myriad Pro" w:hAnsi="Myriad Pro"/>
                <w:i/>
                <w:sz w:val="18"/>
                <w:szCs w:val="18"/>
                <w:lang w:val="en-GB"/>
              </w:rPr>
            </w:pP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1.1.1 140 municipalities aware of LOD project and initiative;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1.1.2 3 major CSO networks aware of LOD project and initiative;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1.1.3 Entity associations of cities and municipalities (ACM) published info on LOD 2 as support to campaign.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1.1.4  LOD2 Promoted on at least one occasion organised by ACMs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1.2.1 PAB re-established;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1.2.2 PB board re-established;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1.3.1 5 articles on LOD 2 activities publicised in media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1.3.2 One promotional package  developed in accordance with promotion strategy;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1.3.3 Two press conferences or other  media events organized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1.4.4 10 periodical coordination meetings with other projects conducted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1.5.1 Call for proposal promoted through NGO.ba, CSO networks, ACM, and other available channels; 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1.5.2 One Call for proposal announced in media; </w:t>
            </w:r>
          </w:p>
          <w:p w:rsidR="00C732E1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1.6.1 10 municipalities selected for partnership in LOD 2  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1.6.2 At least 10 municipalities submit application forms and answer to public call);  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1.6.3  Criteria for municipal selection adjusted and in use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2.1.1 1 Criteria for public calls adjusted and approved by PB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2.2.1 1 set of documents for public call to Municipalities adjusted and approved by PB;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2.2.2 1 set of documents for public call to CSOs adjusted and approved by PB;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2.2.3 1  public calls for proposals developed and guidelines for municipal  selection prepared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2.2.4 1  public calls for proposals developed and guidelines for CSO project  selection prepared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3.1.1 1 field assessment conducted;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3.2.1 Analysis of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/CSO agreement  document developed including  recommendations  and provided to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4.1.1 CSA document developed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4.1.2 10 CSAs prepared and signed with partner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4.1.3 At least 10% of total grant funds contributed by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5.1.1 CSAs prepared and signed with partner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 xml:space="preserve">5.2.1 1 research tool prepared in relation  to assessment of protocol between  municipalities s  and CSOs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5.3.1 Number of field visits and contacts established and tool utilised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5.4.1 Results aggregated and report prepared 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6.1.1 Analysis of municipal procedures conducted;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6.1.2 Methodology for fund disbursement prepared and adjusted to local needs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6.1.3 Methodology available to all partner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6.1.4 Number of municipalities initiate procedure of adoption of methodology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7.1.1 Call for proposals for CSO projects prepared and launched; 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7.1.2 Guidelines and application form for project proposals 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7.2.1 10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MoUs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with UNDP signed;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7.2.2 10 MCGAs between UNDP and CSOs signed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7.3.1 10 field technical assistances conducted</w:t>
            </w:r>
          </w:p>
          <w:p w:rsidR="000C3999" w:rsidRPr="002E3A1A" w:rsidRDefault="000C3999" w:rsidP="00C732E1">
            <w:pPr>
              <w:ind w:left="91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7.4.1 10 project approved by PB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8.1.1Base-line information collected from each LOD partner municipality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8.2.1 One Monitoring manual document developed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8.3.1 Monitoring manual delivered to partner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8.3.2 30 joint monitoring visits performed by municipal authorities and UNDP to oversee the implementation of CSO/NGO projects;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8.3.3  30 Monitoring reports prepared;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8.3.4 100 of UNDP monitoring visits performed oversee the implementation of CSO/NGO</w:t>
            </w:r>
            <w:r w:rsidRPr="002E3A1A" w:rsidDel="0032624A">
              <w:rPr>
                <w:rFonts w:ascii="Myriad Pro" w:hAnsi="Myriad Pro"/>
                <w:sz w:val="18"/>
                <w:szCs w:val="18"/>
                <w:lang w:val="en-GB"/>
              </w:rPr>
              <w:t xml:space="preserve"> </w:t>
            </w: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projects;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8.4.1 10 combined monitoring teams established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8.4.2 10 municipal decisions on monitoring teams adopted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9.1.1 One Additional research conducted in relation to municipalities and CSOs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9.2.1 Minimum of 5 good practices drafted and published.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 9.3.1 Number of information sharing meetings conducted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9.4.1 Final report/document on LOD achievements disseminated widely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9.5.1 Final workshop organized with representatives from all partner municipalities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10.1.1 Assessment of training needs conducted for all  partner municipality 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10.2.1 Curriculum for two training modules prepared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10.2.2 Two representatives from each partner municipality attended two training events;</w:t>
            </w:r>
          </w:p>
          <w:p w:rsidR="000C3999" w:rsidRPr="002E3A1A" w:rsidRDefault="000C3999" w:rsidP="00C732E1">
            <w:pPr>
              <w:ind w:left="72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10.3.1 One representative from each partner municipality participated  in  one  study trip 10.4.1 Evaluation and reporting conducted</w:t>
            </w:r>
          </w:p>
        </w:tc>
        <w:tc>
          <w:tcPr>
            <w:tcW w:w="3150" w:type="dxa"/>
          </w:tcPr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Media clipping, screenshots Media coverage and news paper articles (print and electronic);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Faxes, emails, letters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Records on events and actions of ACMs </w:t>
            </w:r>
          </w:p>
          <w:p w:rsidR="000C3999" w:rsidRPr="002E3A1A" w:rsidRDefault="000C3999" w:rsidP="00D2229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PB and PAB minutes, invitations and session records</w:t>
            </w:r>
          </w:p>
          <w:p w:rsidR="000C3999" w:rsidRPr="002E3A1A" w:rsidRDefault="000C3999" w:rsidP="00D2229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Media clipping, screenshots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Promotional material as developed, distribution lists and records 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Press conference records, media coverage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UNDP reports, photos, 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Screen shots 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Newspaper advertisement on public call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Record on submitted applications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UNDP quarterly progress reports;</w:t>
            </w:r>
          </w:p>
          <w:p w:rsidR="000C3999" w:rsidRPr="002E3A1A" w:rsidRDefault="000C3999" w:rsidP="0004325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Project outcome evaluation report;  </w:t>
            </w:r>
          </w:p>
          <w:p w:rsidR="000C3999" w:rsidRPr="002E3A1A" w:rsidRDefault="000C3999" w:rsidP="0004325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PB minutes</w:t>
            </w:r>
          </w:p>
          <w:p w:rsidR="000C3999" w:rsidRPr="002E3A1A" w:rsidRDefault="000C3999" w:rsidP="0004325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register of protocols and agreement for 2011 in selected municipalities;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official gazette of selected municipalities for 2011;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Minutes of public hearings in selected municipalities in 2011;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Budget breakdown of selected municipalities for 2011;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Annual budget expenditure 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report for 2011 of selected municipalities;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UNDP quarterly progress reports;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Project outcome evaluation report;  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0F71E1">
            <w:pPr>
              <w:numPr>
                <w:ilvl w:val="2"/>
                <w:numId w:val="1"/>
              </w:numPr>
              <w:tabs>
                <w:tab w:val="clear" w:pos="2160"/>
                <w:tab w:val="num" w:pos="180"/>
              </w:tabs>
              <w:ind w:left="180" w:hanging="18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Reports, agreements and </w:t>
            </w: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 xml:space="preserve">memorandums of understanding signed, contributions from CS in defining legal documents, citizens' turnout in public debates. 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DB0D1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UNDP quarterly progress reports</w:t>
            </w:r>
          </w:p>
          <w:p w:rsidR="000C3999" w:rsidRPr="002E3A1A" w:rsidRDefault="000C3999" w:rsidP="00DB0D1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Project outcomes evaluation report;</w:t>
            </w:r>
          </w:p>
          <w:p w:rsidR="000C3999" w:rsidRPr="002E3A1A" w:rsidRDefault="000C3999" w:rsidP="00DB0D1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Statistical indicators;</w:t>
            </w:r>
          </w:p>
          <w:p w:rsidR="000C3999" w:rsidRPr="002E3A1A" w:rsidRDefault="000C3999" w:rsidP="00DB0D16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Media coverage and news paper articles (print and electronic);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Municipal official gazette of selected municipalities for 2011;;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Budget breakdown of selected municipalities for 2011;</w:t>
            </w: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Annual budget expenditure report for 2009 of selected municipalities;</w:t>
            </w:r>
          </w:p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</w:tcPr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High interest of municipalities for partnership with CSOs;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Adoption of unified and transparent mechanism for disbursement of funds foreseen for CSOs and their activities;</w:t>
            </w:r>
          </w:p>
          <w:p w:rsidR="000C3999" w:rsidRPr="002E3A1A" w:rsidRDefault="000C3999" w:rsidP="00146DB7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----------------------------------</w:t>
            </w:r>
          </w:p>
          <w:p w:rsidR="000C3999" w:rsidRPr="002E3A1A" w:rsidRDefault="000C3999" w:rsidP="00DB758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Willingness of all stakeholders to actively participate in project activities;</w:t>
            </w:r>
          </w:p>
          <w:p w:rsidR="000C3999" w:rsidRPr="002E3A1A" w:rsidRDefault="000C3999" w:rsidP="00DB758E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Co-financing of minimum 10 to 50% secured by municipalities</w:t>
            </w:r>
          </w:p>
          <w:p w:rsidR="000C3999" w:rsidRPr="002E3A1A" w:rsidRDefault="000C3999" w:rsidP="00DB758E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556D7D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  <w:tr w:rsidR="000C3999" w:rsidRPr="002E3A1A" w:rsidTr="00C732E1">
        <w:tc>
          <w:tcPr>
            <w:tcW w:w="1080" w:type="dxa"/>
          </w:tcPr>
          <w:p w:rsidR="000C3999" w:rsidRPr="002E3A1A" w:rsidRDefault="000C3999" w:rsidP="0004325D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Activities</w:t>
            </w:r>
          </w:p>
        </w:tc>
        <w:tc>
          <w:tcPr>
            <w:tcW w:w="3780" w:type="dxa"/>
          </w:tcPr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1.1. Conduct strong campaign and promote LOD Phase II to all municipalities and CSOs;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1.2. Re-Establish Project Board (PB) with members including </w:t>
            </w:r>
            <w:proofErr w:type="spellStart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MoJ</w:t>
            </w:r>
            <w:proofErr w:type="spellEnd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, EC and UNDP and </w:t>
            </w: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Project Advisory Board (PAB) with members of ACM of both RS and Federation </w:t>
            </w:r>
            <w:proofErr w:type="spellStart"/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BiH</w:t>
            </w:r>
            <w:proofErr w:type="spellEnd"/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and elected representative of CSOs in </w:t>
            </w:r>
            <w:proofErr w:type="spellStart"/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BiH</w:t>
            </w:r>
            <w:proofErr w:type="spellEnd"/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. The PAB will lean on experiences gathered throughout LOD I.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lang w:val="en-GB"/>
              </w:rPr>
              <w:t>1.3 Continue promoting LOD II and CSOs through www.ngo.ba web portal, www.undp.ba and other media; Promotion/visibility will be undertaken in line with EC visibility guidelines. In order to achieve systematic and far reaching promotion the Strategy is to be developed in cooperation with EC.</w:t>
            </w:r>
          </w:p>
          <w:p w:rsidR="000C3999" w:rsidRPr="002E3A1A" w:rsidRDefault="000C3999" w:rsidP="00D47D07">
            <w:pPr>
              <w:contextualSpacing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1.4. Align additional UNDP(i.e. ILDP and MTS)  and/or EU funded (i.e. CIDI, TCSO) programmes and initiatives with LOD for greater impact;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1.5. Launch the Call for proposals and select the municipalities to be included in LOD; 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1.6. Facilitate the  process of selecting the best  municipalities, according to decided criteria;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2.1. Review of the LOD I selection procedures for partnering municipalities; criteria for Call for proposals, objectives and priorities including adjustments, if necessary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2.2. Review and adjust LOD I public call for proposals and guidelines that will contain detailed selection criteria for CSO proposals;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3.1 Review established protocols and agreements of cooperation between CSOs and applicant municipalities, and identify recommendations for improvement of these relations.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4.1. Follow up on municipal contributions 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5.1. Mobilize local funds from the municipal budget to strengthen and further development of services provided by CSOs. Work on </w:t>
            </w: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lastRenderedPageBreak/>
              <w:t>generating transparent mechanisms for CSO funds disbursement.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5.2. Prepare tools based on measurable and objective questions that assess CSO financing mechanism in municipalities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5.3. Conduct research in the field 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5.4. Aggregate results for all target municipalities; and present a unified report that compares success and deficiencies of the different municipalities</w:t>
            </w:r>
          </w:p>
          <w:p w:rsidR="000C3999" w:rsidRPr="002E3A1A" w:rsidRDefault="000C3999" w:rsidP="00D47D07">
            <w:pPr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6.1. Draft step-by-step guidelines on co-financing (resource allocation) from Municipal Budget funds to CSO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7.1. Assist municipalities to issue Call for proposals open to all Bosnian and Herzegovinian CSOs: Each participating municipality should list priority areas. The modalities of this call for proposals will be defined based on previous experiences of UNDP, as described in the LOD methodology;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7.2. Sign </w:t>
            </w:r>
            <w:proofErr w:type="spellStart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MoUs</w:t>
            </w:r>
            <w:proofErr w:type="spellEnd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 with Municipalities, and  MCGAs with CSOs;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7.3. Provide technical assistance in evaluation mechanisms to evaluation commissions;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7.4. Facilitate the process of PB </w:t>
            </w:r>
            <w:proofErr w:type="gramStart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adoption  CSO</w:t>
            </w:r>
            <w:proofErr w:type="gramEnd"/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 projects who were successful in the call for municipalities. 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8.1. Prepare methodology to collect concise base-line information in each LOD municipality, relevant for the purpose of project monitoring and evaluation);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8.2. Adjust mechanisms for monitoring project activities and results. 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8.3. Introduce mechanisms for monitoring project activities and results. LOD I project monitoring mechanisms will be revised and introduced in partner municipalities.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8.4. Facilitate establishment of local monitoring teams that will include UNDP staff members in order to monitor CSO project implementation;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 xml:space="preserve">9.1. Conduct research to collect base-line information in the selected municipalities, in relation to municipal EU readiness and CSO </w:t>
            </w: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lastRenderedPageBreak/>
              <w:t>practice in comparison with EU standards.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9.2. Codify and disseminate good practices and other demonstration efforts to encourage replication throughout country.</w:t>
            </w:r>
          </w:p>
          <w:p w:rsidR="000C3999" w:rsidRPr="002E3A1A" w:rsidRDefault="000C3999" w:rsidP="00D47D0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9.3.Information-sharing (between municipalities) activities such as documentation of good practices and networking opportunities;</w:t>
            </w:r>
            <w:r w:rsidRPr="002E3A1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0C3999" w:rsidRPr="002E3A1A" w:rsidRDefault="000C3999" w:rsidP="00D47D07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2E3A1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9.4 Disseminate findings widely in order to encourage scaling-up and/or replication of LOD-related activities.</w:t>
            </w:r>
          </w:p>
          <w:p w:rsidR="000C3999" w:rsidRPr="002E3A1A" w:rsidRDefault="000C3999" w:rsidP="00D47D07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2E3A1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9.5. Convene a final lessons learnt workshop with participating municipal representatives and share results in order to facilitate networking between project beneficiaries.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10.1 Identify training needs within some pre-existing topical areas. Possible areas include preparing project proposals and identifying resources, and accessing IPA and meeting EU regulations.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10.2.Prepare training modules in selected areas and deliver trainings;</w:t>
            </w:r>
          </w:p>
          <w:p w:rsidR="000C3999" w:rsidRPr="002E3A1A" w:rsidRDefault="000C3999" w:rsidP="00D47D07">
            <w:pPr>
              <w:contextualSpacing/>
              <w:jc w:val="both"/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10.3. Arrange study trips between participating municipalities, in order to foster exchange of ideas and good practices</w:t>
            </w:r>
            <w:proofErr w:type="gramStart"/>
            <w:r w:rsidRPr="002E3A1A">
              <w:rPr>
                <w:rFonts w:ascii="Myriad Pro" w:hAnsi="Myriad Pro" w:cs="Arial"/>
                <w:sz w:val="18"/>
                <w:szCs w:val="18"/>
                <w:lang w:val="en-GB"/>
              </w:rPr>
              <w:t>.</w:t>
            </w:r>
            <w:r w:rsidRPr="002E3A1A">
              <w:rPr>
                <w:rFonts w:ascii="Myriad Pro" w:hAnsi="Myriad Pro" w:cs="Calibri"/>
                <w:color w:val="000000"/>
                <w:sz w:val="18"/>
                <w:szCs w:val="18"/>
                <w:lang w:val="en-GB"/>
              </w:rPr>
              <w:t>.</w:t>
            </w:r>
            <w:proofErr w:type="gramEnd"/>
          </w:p>
          <w:p w:rsidR="000C3999" w:rsidRPr="002E3A1A" w:rsidRDefault="000C3999" w:rsidP="00B9227B">
            <w:pPr>
              <w:jc w:val="both"/>
              <w:outlineLvl w:val="0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</w:tcPr>
          <w:p w:rsidR="000C3999" w:rsidRPr="002E3A1A" w:rsidRDefault="000C3999" w:rsidP="0004325D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lastRenderedPageBreak/>
              <w:t>Means: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Vehicles necessary for field visits;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Assured appropriate IT and communication equipment;</w:t>
            </w:r>
          </w:p>
          <w:p w:rsidR="000C3999" w:rsidRPr="002E3A1A" w:rsidRDefault="000C3999" w:rsidP="00146DB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Professional and qualified staff </w:t>
            </w:r>
          </w:p>
          <w:p w:rsidR="000C3999" w:rsidRPr="002E3A1A" w:rsidRDefault="000C3999" w:rsidP="003D5A4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Roles and responsibilities all partners are clearly defined;</w:t>
            </w:r>
          </w:p>
          <w:p w:rsidR="000C3999" w:rsidRPr="002E3A1A" w:rsidRDefault="000C3999" w:rsidP="003D5A47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Qualified and competent consultants;</w:t>
            </w:r>
          </w:p>
          <w:p w:rsidR="000C3999" w:rsidRPr="002E3A1A" w:rsidRDefault="000C3999" w:rsidP="00146DB7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--------------------------------------------------------------</w:t>
            </w:r>
          </w:p>
          <w:p w:rsidR="000C3999" w:rsidRPr="002E3A1A" w:rsidRDefault="000C3999" w:rsidP="00146DB7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 xml:space="preserve">This programme requires direct agreement with UNDP since this organisation has necessary experience in partnerships with local authorities in </w:t>
            </w:r>
            <w:proofErr w:type="spellStart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BiH</w:t>
            </w:r>
            <w:proofErr w:type="spellEnd"/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.</w:t>
            </w:r>
          </w:p>
        </w:tc>
        <w:tc>
          <w:tcPr>
            <w:tcW w:w="3150" w:type="dxa"/>
          </w:tcPr>
          <w:p w:rsidR="000C3999" w:rsidRPr="002E3A1A" w:rsidRDefault="000C3999" w:rsidP="003D5A47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146DB7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Human resources: 305,790.00  EUR;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Equipment and supplies: 2,500.00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Local /operational costs: 62,280.00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Administrative costs: 98</w:t>
            </w:r>
            <w:r w:rsidR="00C31EDF" w:rsidRPr="002E3A1A">
              <w:rPr>
                <w:rFonts w:ascii="Myriad Pro" w:hAnsi="Myriad Pro"/>
                <w:sz w:val="18"/>
                <w:szCs w:val="18"/>
                <w:lang w:val="en-GB"/>
              </w:rPr>
              <w:t>,</w:t>
            </w: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130.84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Other costs/services:  23,330.00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Sub-grants: 1,057,969.13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TOTAL Budget: 1,550,000.00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Contribution: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- UNDP will finance all preparatory activities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- Requested from EU: 1,5 mil EUR</w:t>
            </w:r>
          </w:p>
          <w:p w:rsidR="00C732E1" w:rsidRPr="002E3A1A" w:rsidRDefault="00C732E1" w:rsidP="00C732E1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  <w:r w:rsidRPr="002E3A1A">
              <w:rPr>
                <w:rFonts w:ascii="Myriad Pro" w:hAnsi="Myriad Pro"/>
                <w:sz w:val="18"/>
                <w:szCs w:val="18"/>
                <w:lang w:val="en-GB"/>
              </w:rPr>
              <w:t>------------------------------------------</w:t>
            </w:r>
          </w:p>
          <w:p w:rsidR="00C732E1" w:rsidRPr="002E3A1A" w:rsidRDefault="00C732E1" w:rsidP="00C732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E3A1A">
              <w:rPr>
                <w:rFonts w:ascii="Myriad Pro" w:hAnsi="Myriad Pro"/>
                <w:b/>
                <w:sz w:val="18"/>
                <w:szCs w:val="18"/>
                <w:lang w:val="en-GB"/>
              </w:rPr>
              <w:t>Cost: 1,550,000  EUR</w:t>
            </w:r>
          </w:p>
          <w:p w:rsidR="000C3999" w:rsidRPr="002E3A1A" w:rsidRDefault="000C3999" w:rsidP="00146DB7">
            <w:pPr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</w:tcPr>
          <w:p w:rsidR="000C3999" w:rsidRPr="002E3A1A" w:rsidRDefault="000C3999" w:rsidP="00146DB7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  <w:p w:rsidR="000C3999" w:rsidRPr="002E3A1A" w:rsidRDefault="000C3999" w:rsidP="00DB758E">
            <w:pPr>
              <w:keepNext/>
              <w:widowControl w:val="0"/>
              <w:jc w:val="both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</w:tbl>
    <w:p w:rsidR="00146DB7" w:rsidRPr="002E3A1A" w:rsidRDefault="00146DB7" w:rsidP="00146DB7">
      <w:pPr>
        <w:rPr>
          <w:rFonts w:ascii="Myriad Pro" w:hAnsi="Myriad Pro"/>
          <w:sz w:val="20"/>
          <w:lang w:val="en-GB"/>
        </w:rPr>
      </w:pPr>
    </w:p>
    <w:p w:rsidR="00146DB7" w:rsidRPr="002E3A1A" w:rsidRDefault="00146DB7" w:rsidP="00146DB7">
      <w:pPr>
        <w:jc w:val="both"/>
        <w:rPr>
          <w:rFonts w:ascii="Myriad Pro" w:hAnsi="Myriad Pro"/>
          <w:sz w:val="20"/>
          <w:lang w:val="en-GB"/>
        </w:rPr>
      </w:pPr>
    </w:p>
    <w:p w:rsidR="00146DB7" w:rsidRPr="002E3A1A" w:rsidRDefault="00146DB7">
      <w:pPr>
        <w:rPr>
          <w:rFonts w:ascii="Myriad Pro" w:hAnsi="Myriad Pro"/>
          <w:sz w:val="20"/>
          <w:lang w:val="en-GB"/>
        </w:rPr>
      </w:pPr>
    </w:p>
    <w:sectPr w:rsidR="00146DB7" w:rsidRPr="002E3A1A" w:rsidSect="00C732E1">
      <w:headerReference w:type="default" r:id="rId8"/>
      <w:footerReference w:type="default" r:id="rId9"/>
      <w:headerReference w:type="first" r:id="rId10"/>
      <w:pgSz w:w="16838" w:h="11906" w:orient="landscape"/>
      <w:pgMar w:top="16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E8" w:rsidRDefault="00B175E8">
      <w:r>
        <w:separator/>
      </w:r>
    </w:p>
  </w:endnote>
  <w:endnote w:type="continuationSeparator" w:id="0">
    <w:p w:rsidR="00B175E8" w:rsidRDefault="00B1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8" w:rsidRPr="00152437" w:rsidRDefault="00B175E8">
    <w:pPr>
      <w:pStyle w:val="Footer"/>
      <w:jc w:val="right"/>
      <w:rPr>
        <w:rFonts w:ascii="Myriad Pro" w:hAnsi="Myriad Pro"/>
        <w:i/>
        <w:sz w:val="20"/>
      </w:rPr>
    </w:pPr>
    <w:proofErr w:type="spellStart"/>
    <w:r w:rsidRPr="00482C7F">
      <w:rPr>
        <w:rFonts w:ascii="Myriad Pro" w:hAnsi="Myriad Pro"/>
        <w:sz w:val="16"/>
        <w:szCs w:val="16"/>
        <w:lang w:val="en-GB"/>
      </w:rPr>
      <w:t>Maršala</w:t>
    </w:r>
    <w:proofErr w:type="spellEnd"/>
    <w:r w:rsidRPr="00482C7F">
      <w:rPr>
        <w:rFonts w:ascii="Myriad Pro" w:hAnsi="Myriad Pro"/>
        <w:sz w:val="16"/>
        <w:szCs w:val="16"/>
        <w:lang w:val="en-GB"/>
      </w:rPr>
      <w:t xml:space="preserve"> </w:t>
    </w:r>
    <w:proofErr w:type="spellStart"/>
    <w:r w:rsidRPr="00482C7F">
      <w:rPr>
        <w:rFonts w:ascii="Myriad Pro" w:hAnsi="Myriad Pro"/>
        <w:sz w:val="16"/>
        <w:szCs w:val="16"/>
        <w:lang w:val="en-GB"/>
      </w:rPr>
      <w:t>Tita</w:t>
    </w:r>
    <w:proofErr w:type="spellEnd"/>
    <w:r w:rsidRPr="00482C7F">
      <w:rPr>
        <w:rFonts w:ascii="Myriad Pro" w:hAnsi="Myriad Pro"/>
        <w:sz w:val="16"/>
        <w:szCs w:val="16"/>
        <w:lang w:val="en-GB"/>
      </w:rPr>
      <w:t xml:space="preserve"> 48, 71000 Sarajevo, Bosnia and Herzegovina Tel: (387-33) 563 800 Fax: 552 330, </w:t>
    </w:r>
    <w:hyperlink r:id="rId1" w:history="1">
      <w:r w:rsidRPr="00482C7F">
        <w:rPr>
          <w:rStyle w:val="Hyperlink"/>
          <w:rFonts w:ascii="Myriad Pro" w:hAnsi="Myriad Pro"/>
          <w:sz w:val="16"/>
          <w:szCs w:val="16"/>
          <w:lang w:val="en-GB"/>
        </w:rPr>
        <w:t>www.undp.ba</w:t>
      </w:r>
    </w:hyperlink>
    <w:r>
      <w:tab/>
    </w:r>
    <w:r>
      <w:tab/>
    </w:r>
    <w:r w:rsidRPr="00152437">
      <w:rPr>
        <w:rFonts w:ascii="Myriad Pro" w:hAnsi="Myriad Pro"/>
        <w:i/>
        <w:sz w:val="20"/>
      </w:rPr>
      <w:t xml:space="preserve">Page </w:t>
    </w:r>
    <w:r w:rsidR="00710E3D" w:rsidRPr="00152437">
      <w:rPr>
        <w:rFonts w:ascii="Myriad Pro" w:hAnsi="Myriad Pro"/>
        <w:b/>
        <w:i/>
        <w:sz w:val="20"/>
      </w:rPr>
      <w:fldChar w:fldCharType="begin"/>
    </w:r>
    <w:r w:rsidRPr="00152437">
      <w:rPr>
        <w:rFonts w:ascii="Myriad Pro" w:hAnsi="Myriad Pro"/>
        <w:b/>
        <w:i/>
        <w:sz w:val="20"/>
      </w:rPr>
      <w:instrText xml:space="preserve"> PAGE </w:instrText>
    </w:r>
    <w:r w:rsidR="00710E3D" w:rsidRPr="00152437">
      <w:rPr>
        <w:rFonts w:ascii="Myriad Pro" w:hAnsi="Myriad Pro"/>
        <w:b/>
        <w:i/>
        <w:sz w:val="20"/>
      </w:rPr>
      <w:fldChar w:fldCharType="separate"/>
    </w:r>
    <w:r w:rsidR="00E03704">
      <w:rPr>
        <w:rFonts w:ascii="Myriad Pro" w:hAnsi="Myriad Pro"/>
        <w:b/>
        <w:i/>
        <w:noProof/>
        <w:sz w:val="20"/>
      </w:rPr>
      <w:t>2</w:t>
    </w:r>
    <w:r w:rsidR="00710E3D" w:rsidRPr="00152437">
      <w:rPr>
        <w:rFonts w:ascii="Myriad Pro" w:hAnsi="Myriad Pro"/>
        <w:b/>
        <w:i/>
        <w:sz w:val="20"/>
      </w:rPr>
      <w:fldChar w:fldCharType="end"/>
    </w:r>
    <w:r w:rsidRPr="00152437">
      <w:rPr>
        <w:rFonts w:ascii="Myriad Pro" w:hAnsi="Myriad Pro"/>
        <w:i/>
        <w:sz w:val="20"/>
      </w:rPr>
      <w:t xml:space="preserve"> of </w:t>
    </w:r>
    <w:r w:rsidR="00710E3D" w:rsidRPr="00152437">
      <w:rPr>
        <w:rFonts w:ascii="Myriad Pro" w:hAnsi="Myriad Pro"/>
        <w:b/>
        <w:i/>
        <w:sz w:val="20"/>
      </w:rPr>
      <w:fldChar w:fldCharType="begin"/>
    </w:r>
    <w:r w:rsidRPr="00152437">
      <w:rPr>
        <w:rFonts w:ascii="Myriad Pro" w:hAnsi="Myriad Pro"/>
        <w:b/>
        <w:i/>
        <w:sz w:val="20"/>
      </w:rPr>
      <w:instrText xml:space="preserve"> NUMPAGES  </w:instrText>
    </w:r>
    <w:r w:rsidR="00710E3D" w:rsidRPr="00152437">
      <w:rPr>
        <w:rFonts w:ascii="Myriad Pro" w:hAnsi="Myriad Pro"/>
        <w:b/>
        <w:i/>
        <w:sz w:val="20"/>
      </w:rPr>
      <w:fldChar w:fldCharType="separate"/>
    </w:r>
    <w:r w:rsidR="00E03704">
      <w:rPr>
        <w:rFonts w:ascii="Myriad Pro" w:hAnsi="Myriad Pro"/>
        <w:b/>
        <w:i/>
        <w:noProof/>
        <w:sz w:val="20"/>
      </w:rPr>
      <w:t>6</w:t>
    </w:r>
    <w:r w:rsidR="00710E3D" w:rsidRPr="00152437">
      <w:rPr>
        <w:rFonts w:ascii="Myriad Pro" w:hAnsi="Myriad Pro"/>
        <w:b/>
        <w:i/>
        <w:sz w:val="20"/>
      </w:rPr>
      <w:fldChar w:fldCharType="end"/>
    </w:r>
  </w:p>
  <w:p w:rsidR="00B175E8" w:rsidRDefault="00B175E8" w:rsidP="00F64DF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E8" w:rsidRDefault="00B175E8">
      <w:r>
        <w:separator/>
      </w:r>
    </w:p>
  </w:footnote>
  <w:footnote w:type="continuationSeparator" w:id="0">
    <w:p w:rsidR="00B175E8" w:rsidRDefault="00B1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8" w:rsidRDefault="00B175E8">
    <w:pPr>
      <w:pStyle w:val="Header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8403590</wp:posOffset>
          </wp:positionH>
          <wp:positionV relativeFrom="paragraph">
            <wp:posOffset>-233045</wp:posOffset>
          </wp:positionV>
          <wp:extent cx="393700" cy="758825"/>
          <wp:effectExtent l="19050" t="0" r="6350" b="0"/>
          <wp:wrapSquare wrapText="bothSides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-155575</wp:posOffset>
          </wp:positionV>
          <wp:extent cx="540385" cy="621030"/>
          <wp:effectExtent l="19050" t="0" r="0" b="0"/>
          <wp:wrapSquare wrapText="bothSides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-78105</wp:posOffset>
          </wp:positionV>
          <wp:extent cx="696595" cy="465455"/>
          <wp:effectExtent l="19050" t="0" r="8255" b="0"/>
          <wp:wrapSquare wrapText="bothSides"/>
          <wp:docPr id="10" name="Picture 4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5E8" w:rsidRPr="00336087" w:rsidRDefault="00B175E8">
    <w:pPr>
      <w:pStyle w:val="Header"/>
      <w:rPr>
        <w:sz w:val="28"/>
      </w:rPr>
    </w:pPr>
  </w:p>
  <w:p w:rsidR="00B175E8" w:rsidRPr="00336087" w:rsidRDefault="00B175E8" w:rsidP="00336087">
    <w:pPr>
      <w:jc w:val="both"/>
      <w:rPr>
        <w:rFonts w:ascii="Myriad Pro" w:hAnsi="Myriad Pro"/>
        <w:color w:val="0070C0"/>
        <w:sz w:val="18"/>
        <w:lang w:val="en-GB"/>
      </w:rPr>
    </w:pPr>
    <w:r>
      <w:rPr>
        <w:rFonts w:ascii="Myriad Pro" w:hAnsi="Myriad Pro"/>
        <w:color w:val="0070C0"/>
        <w:sz w:val="18"/>
        <w:lang w:val="en-GB"/>
      </w:rPr>
      <w:t xml:space="preserve"> </w:t>
    </w:r>
    <w:r w:rsidRPr="00336087">
      <w:rPr>
        <w:rFonts w:ascii="Myriad Pro" w:hAnsi="Myriad Pro"/>
        <w:color w:val="0070C0"/>
        <w:sz w:val="18"/>
        <w:lang w:val="en-GB"/>
      </w:rPr>
      <w:t>European union</w:t>
    </w:r>
  </w:p>
  <w:p w:rsidR="00B175E8" w:rsidRDefault="00B17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8" w:rsidRDefault="00B175E8">
    <w:pPr>
      <w:pStyle w:val="Header"/>
    </w:pPr>
    <w:r>
      <w:rPr>
        <w:noProof/>
        <w:snapToGrid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228600</wp:posOffset>
          </wp:positionV>
          <wp:extent cx="695325" cy="466725"/>
          <wp:effectExtent l="19050" t="0" r="9525" b="0"/>
          <wp:wrapSquare wrapText="bothSides"/>
          <wp:docPr id="9" name="Picture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28575</wp:posOffset>
          </wp:positionV>
          <wp:extent cx="542925" cy="619125"/>
          <wp:effectExtent l="19050" t="0" r="9525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8553450</wp:posOffset>
          </wp:positionH>
          <wp:positionV relativeFrom="paragraph">
            <wp:posOffset>-66675</wp:posOffset>
          </wp:positionV>
          <wp:extent cx="390525" cy="762000"/>
          <wp:effectExtent l="19050" t="0" r="9525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214"/>
    <w:multiLevelType w:val="hybridMultilevel"/>
    <w:tmpl w:val="C5D2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BEB"/>
    <w:multiLevelType w:val="multilevel"/>
    <w:tmpl w:val="D5E4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A35C97"/>
    <w:multiLevelType w:val="hybridMultilevel"/>
    <w:tmpl w:val="7B5AB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117E2"/>
    <w:multiLevelType w:val="hybridMultilevel"/>
    <w:tmpl w:val="CDA49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D1A6E"/>
    <w:multiLevelType w:val="multilevel"/>
    <w:tmpl w:val="46A8EE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5">
    <w:nsid w:val="138B7E28"/>
    <w:multiLevelType w:val="multilevel"/>
    <w:tmpl w:val="53788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8E49E0"/>
    <w:multiLevelType w:val="hybridMultilevel"/>
    <w:tmpl w:val="D1AC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461B2"/>
    <w:multiLevelType w:val="hybridMultilevel"/>
    <w:tmpl w:val="D348E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A55976"/>
    <w:multiLevelType w:val="hybridMultilevel"/>
    <w:tmpl w:val="762E3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FA1E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20569F"/>
    <w:multiLevelType w:val="multilevel"/>
    <w:tmpl w:val="90F6A39C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C417404"/>
    <w:multiLevelType w:val="hybridMultilevel"/>
    <w:tmpl w:val="7228F9AA"/>
    <w:lvl w:ilvl="0" w:tplc="851CF0FE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0F86043"/>
    <w:multiLevelType w:val="multilevel"/>
    <w:tmpl w:val="CCD8E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22C4A"/>
    <w:multiLevelType w:val="hybridMultilevel"/>
    <w:tmpl w:val="B40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1681"/>
    <w:multiLevelType w:val="multilevel"/>
    <w:tmpl w:val="10C233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4">
    <w:nsid w:val="38DD3924"/>
    <w:multiLevelType w:val="hybridMultilevel"/>
    <w:tmpl w:val="75EC8098"/>
    <w:lvl w:ilvl="0" w:tplc="AE72F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FA1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D3BE0"/>
    <w:multiLevelType w:val="multilevel"/>
    <w:tmpl w:val="AEFE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</w:abstractNum>
  <w:abstractNum w:abstractNumId="16">
    <w:nsid w:val="3B7B197F"/>
    <w:multiLevelType w:val="hybridMultilevel"/>
    <w:tmpl w:val="9D12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66687"/>
    <w:multiLevelType w:val="multilevel"/>
    <w:tmpl w:val="39C2187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D20CAD"/>
    <w:multiLevelType w:val="hybridMultilevel"/>
    <w:tmpl w:val="073E2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F28C7"/>
    <w:multiLevelType w:val="multilevel"/>
    <w:tmpl w:val="102CBF2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D30006B"/>
    <w:multiLevelType w:val="multilevel"/>
    <w:tmpl w:val="699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9D3951"/>
    <w:multiLevelType w:val="hybridMultilevel"/>
    <w:tmpl w:val="8FE8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75FA"/>
    <w:multiLevelType w:val="multilevel"/>
    <w:tmpl w:val="929C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C071EE"/>
    <w:multiLevelType w:val="multilevel"/>
    <w:tmpl w:val="0B46E0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25">
    <w:nsid w:val="5E454DE4"/>
    <w:multiLevelType w:val="multilevel"/>
    <w:tmpl w:val="D25A4C1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EE7176E"/>
    <w:multiLevelType w:val="hybridMultilevel"/>
    <w:tmpl w:val="1CC6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86D74"/>
    <w:multiLevelType w:val="multilevel"/>
    <w:tmpl w:val="78F2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98C4826"/>
    <w:multiLevelType w:val="multilevel"/>
    <w:tmpl w:val="7676FE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29">
    <w:nsid w:val="7AB82CDB"/>
    <w:multiLevelType w:val="multilevel"/>
    <w:tmpl w:val="EC704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6"/>
  </w:num>
  <w:num w:numId="9">
    <w:abstractNumId w:val="23"/>
  </w:num>
  <w:num w:numId="10">
    <w:abstractNumId w:val="4"/>
  </w:num>
  <w:num w:numId="11">
    <w:abstractNumId w:val="29"/>
  </w:num>
  <w:num w:numId="12">
    <w:abstractNumId w:val="28"/>
  </w:num>
  <w:num w:numId="13">
    <w:abstractNumId w:val="10"/>
  </w:num>
  <w:num w:numId="14">
    <w:abstractNumId w:val="15"/>
  </w:num>
  <w:num w:numId="15">
    <w:abstractNumId w:val="26"/>
  </w:num>
  <w:num w:numId="16">
    <w:abstractNumId w:val="24"/>
  </w:num>
  <w:num w:numId="17">
    <w:abstractNumId w:val="5"/>
  </w:num>
  <w:num w:numId="18">
    <w:abstractNumId w:val="20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18"/>
  </w:num>
  <w:num w:numId="24">
    <w:abstractNumId w:val="12"/>
  </w:num>
  <w:num w:numId="25">
    <w:abstractNumId w:val="27"/>
  </w:num>
  <w:num w:numId="26">
    <w:abstractNumId w:val="1"/>
  </w:num>
  <w:num w:numId="27">
    <w:abstractNumId w:val="25"/>
  </w:num>
  <w:num w:numId="28">
    <w:abstractNumId w:val="19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46DB7"/>
    <w:rsid w:val="000038F4"/>
    <w:rsid w:val="00024EEC"/>
    <w:rsid w:val="00033494"/>
    <w:rsid w:val="0004325D"/>
    <w:rsid w:val="00046286"/>
    <w:rsid w:val="00055776"/>
    <w:rsid w:val="00063745"/>
    <w:rsid w:val="000C2B26"/>
    <w:rsid w:val="000C3999"/>
    <w:rsid w:val="000D26CE"/>
    <w:rsid w:val="000F71E1"/>
    <w:rsid w:val="001049B5"/>
    <w:rsid w:val="00145E82"/>
    <w:rsid w:val="00146DB7"/>
    <w:rsid w:val="00150C5D"/>
    <w:rsid w:val="00152437"/>
    <w:rsid w:val="00152DEE"/>
    <w:rsid w:val="00182B4F"/>
    <w:rsid w:val="00194785"/>
    <w:rsid w:val="001C2652"/>
    <w:rsid w:val="001C76F1"/>
    <w:rsid w:val="001D27B9"/>
    <w:rsid w:val="001D5246"/>
    <w:rsid w:val="001D5F38"/>
    <w:rsid w:val="001E6EBC"/>
    <w:rsid w:val="001E6F60"/>
    <w:rsid w:val="00205A86"/>
    <w:rsid w:val="00230B97"/>
    <w:rsid w:val="00231F80"/>
    <w:rsid w:val="00232888"/>
    <w:rsid w:val="00260AE6"/>
    <w:rsid w:val="002925E6"/>
    <w:rsid w:val="002B23E3"/>
    <w:rsid w:val="002B25F1"/>
    <w:rsid w:val="002C754F"/>
    <w:rsid w:val="002C7ED4"/>
    <w:rsid w:val="002E3A1A"/>
    <w:rsid w:val="002E5346"/>
    <w:rsid w:val="002F08B6"/>
    <w:rsid w:val="002F101C"/>
    <w:rsid w:val="002F5AE2"/>
    <w:rsid w:val="00301D45"/>
    <w:rsid w:val="00305F61"/>
    <w:rsid w:val="00307AD6"/>
    <w:rsid w:val="00336087"/>
    <w:rsid w:val="003606F5"/>
    <w:rsid w:val="0037398B"/>
    <w:rsid w:val="00382B39"/>
    <w:rsid w:val="00396BDD"/>
    <w:rsid w:val="003A1ADB"/>
    <w:rsid w:val="003B0DC3"/>
    <w:rsid w:val="003B6C68"/>
    <w:rsid w:val="003D5A47"/>
    <w:rsid w:val="003F746D"/>
    <w:rsid w:val="0040623E"/>
    <w:rsid w:val="00430BCD"/>
    <w:rsid w:val="0043652E"/>
    <w:rsid w:val="00451B4D"/>
    <w:rsid w:val="00486CA6"/>
    <w:rsid w:val="00507DD5"/>
    <w:rsid w:val="00556D7D"/>
    <w:rsid w:val="005841D6"/>
    <w:rsid w:val="005C5332"/>
    <w:rsid w:val="005D4007"/>
    <w:rsid w:val="005E2CF9"/>
    <w:rsid w:val="005F2396"/>
    <w:rsid w:val="005F28BE"/>
    <w:rsid w:val="005F492E"/>
    <w:rsid w:val="005F55CD"/>
    <w:rsid w:val="0060399B"/>
    <w:rsid w:val="0060552F"/>
    <w:rsid w:val="00636C3C"/>
    <w:rsid w:val="00644D8A"/>
    <w:rsid w:val="006452BB"/>
    <w:rsid w:val="00657D8B"/>
    <w:rsid w:val="006612CD"/>
    <w:rsid w:val="00673780"/>
    <w:rsid w:val="00677114"/>
    <w:rsid w:val="006A3E55"/>
    <w:rsid w:val="006C05BD"/>
    <w:rsid w:val="00701A3D"/>
    <w:rsid w:val="00710E3D"/>
    <w:rsid w:val="007412A5"/>
    <w:rsid w:val="00783C69"/>
    <w:rsid w:val="00784FCB"/>
    <w:rsid w:val="00793298"/>
    <w:rsid w:val="007A4115"/>
    <w:rsid w:val="007C6AFD"/>
    <w:rsid w:val="007E3AEC"/>
    <w:rsid w:val="007F1F69"/>
    <w:rsid w:val="00827BAB"/>
    <w:rsid w:val="008501F8"/>
    <w:rsid w:val="00860B99"/>
    <w:rsid w:val="008632F0"/>
    <w:rsid w:val="008A39C2"/>
    <w:rsid w:val="008B054A"/>
    <w:rsid w:val="00912AF8"/>
    <w:rsid w:val="00934181"/>
    <w:rsid w:val="009436D8"/>
    <w:rsid w:val="0096504A"/>
    <w:rsid w:val="00987FD4"/>
    <w:rsid w:val="009A3C13"/>
    <w:rsid w:val="009B3BE3"/>
    <w:rsid w:val="009D2EA3"/>
    <w:rsid w:val="009E3078"/>
    <w:rsid w:val="00A00C78"/>
    <w:rsid w:val="00A52011"/>
    <w:rsid w:val="00A712EC"/>
    <w:rsid w:val="00A920F3"/>
    <w:rsid w:val="00AB7A83"/>
    <w:rsid w:val="00AC0F5D"/>
    <w:rsid w:val="00AC3CEB"/>
    <w:rsid w:val="00AC5441"/>
    <w:rsid w:val="00B030B5"/>
    <w:rsid w:val="00B05946"/>
    <w:rsid w:val="00B10D82"/>
    <w:rsid w:val="00B175E8"/>
    <w:rsid w:val="00B274FA"/>
    <w:rsid w:val="00B639BA"/>
    <w:rsid w:val="00B83B06"/>
    <w:rsid w:val="00B8796D"/>
    <w:rsid w:val="00B9227B"/>
    <w:rsid w:val="00B927F3"/>
    <w:rsid w:val="00B96663"/>
    <w:rsid w:val="00BA078D"/>
    <w:rsid w:val="00BA1D49"/>
    <w:rsid w:val="00BB6EEB"/>
    <w:rsid w:val="00BC36FC"/>
    <w:rsid w:val="00C31EDF"/>
    <w:rsid w:val="00C34690"/>
    <w:rsid w:val="00C42FCD"/>
    <w:rsid w:val="00C4623B"/>
    <w:rsid w:val="00C479D6"/>
    <w:rsid w:val="00C732E1"/>
    <w:rsid w:val="00CB161C"/>
    <w:rsid w:val="00CC051A"/>
    <w:rsid w:val="00CE2F58"/>
    <w:rsid w:val="00D22296"/>
    <w:rsid w:val="00D3646B"/>
    <w:rsid w:val="00D43F9E"/>
    <w:rsid w:val="00D47D07"/>
    <w:rsid w:val="00D6472E"/>
    <w:rsid w:val="00D67B51"/>
    <w:rsid w:val="00D91606"/>
    <w:rsid w:val="00DB0D16"/>
    <w:rsid w:val="00DB2AED"/>
    <w:rsid w:val="00DB758E"/>
    <w:rsid w:val="00DF1062"/>
    <w:rsid w:val="00DF1DFF"/>
    <w:rsid w:val="00E03704"/>
    <w:rsid w:val="00E4207D"/>
    <w:rsid w:val="00E46CC0"/>
    <w:rsid w:val="00E51E07"/>
    <w:rsid w:val="00E5392A"/>
    <w:rsid w:val="00E5781E"/>
    <w:rsid w:val="00E61A51"/>
    <w:rsid w:val="00E873C2"/>
    <w:rsid w:val="00E919FA"/>
    <w:rsid w:val="00E95C16"/>
    <w:rsid w:val="00EA2913"/>
    <w:rsid w:val="00EA3A76"/>
    <w:rsid w:val="00EE7192"/>
    <w:rsid w:val="00EF4B9D"/>
    <w:rsid w:val="00EF762A"/>
    <w:rsid w:val="00F54076"/>
    <w:rsid w:val="00F54870"/>
    <w:rsid w:val="00F64DFE"/>
    <w:rsid w:val="00F9731E"/>
    <w:rsid w:val="00FA6C36"/>
    <w:rsid w:val="00FB16A4"/>
    <w:rsid w:val="00FC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DB7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B6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76F1"/>
    <w:rPr>
      <w:color w:val="0000FF"/>
      <w:u w:val="single"/>
    </w:rPr>
  </w:style>
  <w:style w:type="paragraph" w:styleId="FootnoteText">
    <w:name w:val="footnote text"/>
    <w:basedOn w:val="Normal"/>
    <w:semiHidden/>
    <w:rsid w:val="007412A5"/>
    <w:rPr>
      <w:sz w:val="20"/>
    </w:rPr>
  </w:style>
  <w:style w:type="character" w:styleId="FootnoteReference">
    <w:name w:val="footnote reference"/>
    <w:basedOn w:val="DefaultParagraphFont"/>
    <w:semiHidden/>
    <w:rsid w:val="007412A5"/>
    <w:rPr>
      <w:vertAlign w:val="superscript"/>
    </w:rPr>
  </w:style>
  <w:style w:type="character" w:styleId="CommentReference">
    <w:name w:val="annotation reference"/>
    <w:basedOn w:val="DefaultParagraphFont"/>
    <w:rsid w:val="00D364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4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646B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46B"/>
    <w:rPr>
      <w:b/>
      <w:bCs/>
    </w:rPr>
  </w:style>
  <w:style w:type="paragraph" w:styleId="Header">
    <w:name w:val="header"/>
    <w:basedOn w:val="Normal"/>
    <w:link w:val="HeaderChar"/>
    <w:rsid w:val="00F64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DFE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FE"/>
    <w:rPr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ATLASPDC-3-1344</_dlc_DocId>
    <_dlc_DocIdUrl xmlns="f1161f5b-24a3-4c2d-bc81-44cb9325e8ee">
      <Url>https://info.undp.org/docs/pdc/_layouts/DocIdRedir.aspx?ID=ATLASPDC-3-1344</Url>
      <Description>ATLASPDC-3-1344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00058680</Project_x0020_Number>
    <Project_x0020_Manager xmlns="f1161f5b-24a3-4c2d-bc81-44cb9325e8ee" xsi:nil="true"/>
    <TaxCatchAll xmlns="1ed4137b-41b2-488b-8250-6d369ec27664">
      <Value>1224</Value>
      <Value>1110</Value>
      <Value>1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BIH</TermName>
          <TermId xmlns="http://schemas.microsoft.com/office/infopath/2007/PartnerControls">d5746c13-d793-48c3-975d-cb1e743c116c</TermId>
        </TermInfo>
      </Terms>
    </gc6531b704974d528487414686b72f6f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BIH</UndpOUCode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>Programme and Project</UNDPPOPPFunctionalArea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00058680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3745EFD-168B-4C06-9EF1-D2CCEE24CF7C}"/>
</file>

<file path=customXml/itemProps2.xml><?xml version="1.0" encoding="utf-8"?>
<ds:datastoreItem xmlns:ds="http://schemas.openxmlformats.org/officeDocument/2006/customXml" ds:itemID="{2EB41FAD-EBB3-42D5-9A48-CE9B03A91D3E}"/>
</file>

<file path=customXml/itemProps3.xml><?xml version="1.0" encoding="utf-8"?>
<ds:datastoreItem xmlns:ds="http://schemas.openxmlformats.org/officeDocument/2006/customXml" ds:itemID="{43541E8E-E9DF-4629-8C8B-4D83963B35F4}"/>
</file>

<file path=customXml/itemProps4.xml><?xml version="1.0" encoding="utf-8"?>
<ds:datastoreItem xmlns:ds="http://schemas.openxmlformats.org/officeDocument/2006/customXml" ds:itemID="{1517025A-1547-4E0A-9BB8-F1300B989B91}"/>
</file>

<file path=customXml/itemProps5.xml><?xml version="1.0" encoding="utf-8"?>
<ds:datastoreItem xmlns:ds="http://schemas.openxmlformats.org/officeDocument/2006/customXml" ds:itemID="{5795F0C5-0915-4BE1-B474-B5D29E18DE5C}"/>
</file>

<file path=customXml/itemProps6.xml><?xml version="1.0" encoding="utf-8"?>
<ds:datastoreItem xmlns:ds="http://schemas.openxmlformats.org/officeDocument/2006/customXml" ds:itemID="{B3CEA1CA-53CB-47F8-8F9E-B4C6B93BC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13626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 II LOGICAL FRAMEWORK</vt:lpstr>
    </vt:vector>
  </TitlesOfParts>
  <Company>UNDP Bosnia and Herzegovina</Company>
  <LinksUpToDate>false</LinksUpToDate>
  <CharactersWithSpaces>15822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http://www.undp.ba/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 II LOGICAL FRAMEWORK</dc:title>
  <dc:subject/>
  <dc:creator>signjatic</dc:creator>
  <cp:lastModifiedBy>LSERDAREVIC</cp:lastModifiedBy>
  <cp:revision>2</cp:revision>
  <cp:lastPrinted>2010-11-02T13:28:00Z</cp:lastPrinted>
  <dcterms:created xsi:type="dcterms:W3CDTF">2012-08-06T14:04:00Z</dcterms:created>
  <dcterms:modified xsi:type="dcterms:W3CDTF">2012-08-06T14:04:00Z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3f358d70-58a6-4144-9fd2-386dd433dbaf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1224;#BIH|d5746c13-d793-48c3-975d-cb1e743c116c</vt:lpwstr>
  </property>
  <property fmtid="{D5CDD505-2E9C-101B-9397-08002B2CF9AE}" pid="9" name="Atlas_x0020_Document_x0020_Type">
    <vt:lpwstr>228;#Prodoc|5f41516e-5ee3-43b6-82ea-9b89532838d0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>1;#English|7f98b732-4b5b-4b70-ba90-a0eff09b5d2d</vt:lpwstr>
  </property>
  <property fmtid="{D5CDD505-2E9C-101B-9397-08002B2CF9AE}" pid="15" name="Atlas Document Status">
    <vt:lpwstr/>
  </property>
  <property fmtid="{D5CDD505-2E9C-101B-9397-08002B2CF9AE}" pid="16" name="Atlas Document Type">
    <vt:lpwstr>1110;#Prodoc|099f975e-b4d9-4bba-a499-dbcc387c61ad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