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B10E1" w14:textId="2BD89FB0" w:rsidR="00164336" w:rsidRDefault="00164336" w:rsidP="004825AA">
      <w:pPr>
        <w:jc w:val="center"/>
        <w:rPr>
          <w:b/>
          <w:bCs/>
          <w:sz w:val="28"/>
          <w:szCs w:val="28"/>
        </w:rPr>
      </w:pPr>
      <w:r w:rsidRPr="000A285A">
        <w:rPr>
          <w:b/>
          <w:bCs/>
          <w:sz w:val="28"/>
          <w:szCs w:val="28"/>
          <w:shd w:val="clear" w:color="auto" w:fill="4472C4" w:themeFill="accent1"/>
        </w:rPr>
        <w:t>SOCIAL AND ENVIRONMENTAL SCREENING TEMPLATE</w:t>
      </w:r>
    </w:p>
    <w:tbl>
      <w:tblPr>
        <w:tblStyle w:val="TableGrid"/>
        <w:tblW w:w="16110" w:type="dxa"/>
        <w:tblInd w:w="-995" w:type="dxa"/>
        <w:tblLook w:val="04A0" w:firstRow="1" w:lastRow="0" w:firstColumn="1" w:lastColumn="0" w:noHBand="0" w:noVBand="1"/>
      </w:tblPr>
      <w:tblGrid>
        <w:gridCol w:w="4392"/>
        <w:gridCol w:w="1276"/>
        <w:gridCol w:w="1352"/>
        <w:gridCol w:w="207"/>
        <w:gridCol w:w="779"/>
        <w:gridCol w:w="724"/>
        <w:gridCol w:w="1800"/>
        <w:gridCol w:w="5580"/>
      </w:tblGrid>
      <w:tr w:rsidR="00356443" w14:paraId="2B947FE0" w14:textId="77777777" w:rsidTr="00DB6BDE">
        <w:trPr>
          <w:trHeight w:val="381"/>
        </w:trPr>
        <w:tc>
          <w:tcPr>
            <w:tcW w:w="16110" w:type="dxa"/>
            <w:gridSpan w:val="8"/>
            <w:shd w:val="clear" w:color="auto" w:fill="8EAADB" w:themeFill="accent1" w:themeFillTint="99"/>
          </w:tcPr>
          <w:p w14:paraId="05B27DE5" w14:textId="3187C3F0" w:rsidR="00356443" w:rsidRPr="00E37DAD" w:rsidRDefault="00356443" w:rsidP="00164336">
            <w:pPr>
              <w:rPr>
                <w:b/>
                <w:bCs/>
                <w:sz w:val="24"/>
                <w:szCs w:val="24"/>
              </w:rPr>
            </w:pPr>
            <w:r w:rsidRPr="006111C2">
              <w:rPr>
                <w:b/>
                <w:bCs/>
                <w:color w:val="FF0000"/>
                <w:sz w:val="24"/>
                <w:szCs w:val="24"/>
              </w:rPr>
              <w:t>Project Information</w:t>
            </w:r>
          </w:p>
        </w:tc>
      </w:tr>
      <w:tr w:rsidR="00164336" w14:paraId="2F221937" w14:textId="77777777" w:rsidTr="00DB6BDE">
        <w:tc>
          <w:tcPr>
            <w:tcW w:w="4392" w:type="dxa"/>
          </w:tcPr>
          <w:p w14:paraId="7AFA8B5D" w14:textId="1757C82A" w:rsidR="00164336" w:rsidRPr="00E37DAD" w:rsidRDefault="00164336" w:rsidP="00164336">
            <w:pPr>
              <w:rPr>
                <w:b/>
                <w:bCs/>
                <w:sz w:val="24"/>
                <w:szCs w:val="24"/>
              </w:rPr>
            </w:pPr>
            <w:r w:rsidRPr="00E37DAD">
              <w:rPr>
                <w:b/>
                <w:bCs/>
                <w:sz w:val="24"/>
                <w:szCs w:val="24"/>
              </w:rPr>
              <w:t>Project Title</w:t>
            </w:r>
          </w:p>
        </w:tc>
        <w:tc>
          <w:tcPr>
            <w:tcW w:w="11718" w:type="dxa"/>
            <w:gridSpan w:val="7"/>
          </w:tcPr>
          <w:p w14:paraId="78C16A90" w14:textId="31B93864" w:rsidR="00164336" w:rsidRPr="00E35CFA" w:rsidRDefault="00030FCA" w:rsidP="00E35CFA">
            <w:pPr>
              <w:spacing w:after="148" w:line="234" w:lineRule="auto"/>
              <w:ind w:right="209"/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30FCA">
              <w:rPr>
                <w:b/>
                <w:bCs/>
                <w:sz w:val="24"/>
                <w:szCs w:val="24"/>
              </w:rPr>
              <w:t>Support Project to the Elections and the Democratic processes in the Gambia (SPEDG)</w:t>
            </w:r>
            <w:r w:rsidR="003875D7">
              <w:rPr>
                <w:b/>
                <w:bCs/>
                <w:sz w:val="24"/>
                <w:szCs w:val="24"/>
              </w:rPr>
              <w:t xml:space="preserve">- </w:t>
            </w:r>
            <w:r w:rsidR="003875D7" w:rsidRPr="003875D7">
              <w:rPr>
                <w:b/>
                <w:bCs/>
                <w:sz w:val="24"/>
                <w:szCs w:val="24"/>
              </w:rPr>
              <w:t>2020-2022</w:t>
            </w:r>
          </w:p>
        </w:tc>
      </w:tr>
      <w:tr w:rsidR="00164336" w14:paraId="073C7D5F" w14:textId="77777777" w:rsidTr="00DB6BDE">
        <w:tc>
          <w:tcPr>
            <w:tcW w:w="4392" w:type="dxa"/>
          </w:tcPr>
          <w:p w14:paraId="4A2E130B" w14:textId="6994BCD0" w:rsidR="00164336" w:rsidRPr="00E37DAD" w:rsidRDefault="00E35CFA" w:rsidP="00164336">
            <w:pPr>
              <w:rPr>
                <w:b/>
                <w:bCs/>
                <w:sz w:val="24"/>
                <w:szCs w:val="24"/>
              </w:rPr>
            </w:pPr>
            <w:r w:rsidRPr="00E37DAD">
              <w:rPr>
                <w:b/>
                <w:bCs/>
                <w:sz w:val="24"/>
                <w:szCs w:val="24"/>
              </w:rPr>
              <w:t>Project Number</w:t>
            </w:r>
          </w:p>
        </w:tc>
        <w:tc>
          <w:tcPr>
            <w:tcW w:w="11718" w:type="dxa"/>
            <w:gridSpan w:val="7"/>
          </w:tcPr>
          <w:p w14:paraId="649D7272" w14:textId="77777777" w:rsidR="00164336" w:rsidRDefault="00164336" w:rsidP="0016433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56443" w14:paraId="66CB4C79" w14:textId="77777777" w:rsidTr="00DB6BDE">
        <w:tc>
          <w:tcPr>
            <w:tcW w:w="16110" w:type="dxa"/>
            <w:gridSpan w:val="8"/>
            <w:shd w:val="clear" w:color="auto" w:fill="8EAADB" w:themeFill="accent1" w:themeFillTint="99"/>
          </w:tcPr>
          <w:p w14:paraId="648F415C" w14:textId="248FBA44" w:rsidR="00356443" w:rsidRPr="001D1253" w:rsidRDefault="00FE3653" w:rsidP="00164336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6111C2">
              <w:rPr>
                <w:b/>
                <w:bCs/>
                <w:color w:val="FF0000"/>
                <w:sz w:val="24"/>
                <w:szCs w:val="24"/>
              </w:rPr>
              <w:t xml:space="preserve">Part A </w:t>
            </w:r>
            <w:r w:rsidR="001D1253">
              <w:rPr>
                <w:b/>
                <w:bCs/>
                <w:color w:val="FF0000"/>
                <w:sz w:val="24"/>
                <w:szCs w:val="24"/>
              </w:rPr>
              <w:t xml:space="preserve">: </w:t>
            </w:r>
            <w:r w:rsidR="00356443" w:rsidRPr="006111C2">
              <w:rPr>
                <w:b/>
                <w:bCs/>
                <w:color w:val="FF0000"/>
                <w:sz w:val="24"/>
                <w:szCs w:val="24"/>
              </w:rPr>
              <w:t>Question 1:</w:t>
            </w:r>
            <w:r w:rsidR="00356443" w:rsidRPr="00E37DAD">
              <w:rPr>
                <w:b/>
                <w:bCs/>
                <w:sz w:val="24"/>
                <w:szCs w:val="24"/>
              </w:rPr>
              <w:t xml:space="preserve">  How does the project integrate the overarching principles in order to strengthen Social and Environmental Sustainability</w:t>
            </w:r>
          </w:p>
        </w:tc>
      </w:tr>
      <w:tr w:rsidR="00356443" w14:paraId="3C320F74" w14:textId="77777777" w:rsidTr="00DB6BDE">
        <w:tc>
          <w:tcPr>
            <w:tcW w:w="16110" w:type="dxa"/>
            <w:gridSpan w:val="8"/>
          </w:tcPr>
          <w:p w14:paraId="42694733" w14:textId="21193B6E" w:rsidR="00356443" w:rsidRPr="00E37DAD" w:rsidRDefault="00356443" w:rsidP="00713787">
            <w:pPr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37DAD">
              <w:rPr>
                <w:b/>
                <w:bCs/>
                <w:color w:val="2F5496" w:themeColor="accent1" w:themeShade="BF"/>
                <w:sz w:val="20"/>
                <w:szCs w:val="20"/>
              </w:rPr>
              <w:t>How does the Project mainstream the Human Rights Based Approach?</w:t>
            </w:r>
          </w:p>
          <w:p w14:paraId="1DDC92D6" w14:textId="77777777" w:rsidR="004C78F6" w:rsidRDefault="004C78F6" w:rsidP="00713787">
            <w:pPr>
              <w:rPr>
                <w:sz w:val="18"/>
              </w:rPr>
            </w:pPr>
          </w:p>
          <w:p w14:paraId="19D78D8F" w14:textId="29B52208" w:rsidR="000C0308" w:rsidRDefault="004C78F6" w:rsidP="000C0308">
            <w:r w:rsidRPr="00EF754A">
              <w:t>The project supports the</w:t>
            </w:r>
            <w:r>
              <w:rPr>
                <w:sz w:val="18"/>
              </w:rPr>
              <w:t xml:space="preserve"> GOTG to</w:t>
            </w:r>
            <w:r w:rsidRPr="00B319CB">
              <w:t xml:space="preserve"> articulate</w:t>
            </w:r>
            <w:r w:rsidR="003875D7">
              <w:t xml:space="preserve"> and </w:t>
            </w:r>
            <w:r w:rsidR="003875D7" w:rsidRPr="003875D7">
              <w:t>develop</w:t>
            </w:r>
            <w:r w:rsidR="003875D7">
              <w:t xml:space="preserve"> a </w:t>
            </w:r>
            <w:r w:rsidR="003875D7" w:rsidRPr="003875D7">
              <w:t xml:space="preserve"> clear, equitable and effective ‘rules of the game’ for electoral processes with the goal of developing strong, empowered and independent democratic institutions able to deliver key political processes, including</w:t>
            </w:r>
            <w:r w:rsidR="003875D7">
              <w:t xml:space="preserve"> ensuring inclusion and participation in </w:t>
            </w:r>
            <w:r w:rsidR="003875D7" w:rsidRPr="003875D7">
              <w:t xml:space="preserve"> peaceful elections</w:t>
            </w:r>
            <w:r w:rsidR="003875D7">
              <w:t>.</w:t>
            </w:r>
            <w:bookmarkStart w:id="0" w:name="_Hlk12641391"/>
            <w:r w:rsidR="003875D7">
              <w:t xml:space="preserve"> </w:t>
            </w:r>
            <w:r w:rsidR="000C0308">
              <w:t>The project adequately mainstreams the Human Based approach and is consistent with the basic Human Rights Principles of non-discrimination, participation and inclusion and accountability and rule of law, the Project to be implemented</w:t>
            </w:r>
            <w:r w:rsidR="003875D7">
              <w:t xml:space="preserve"> over a period of 3 years 2020-2022</w:t>
            </w:r>
            <w:r w:rsidR="000C0308">
              <w:t>.</w:t>
            </w:r>
          </w:p>
          <w:p w14:paraId="24E74E3F" w14:textId="513CE16C" w:rsidR="003875D7" w:rsidRDefault="003875D7" w:rsidP="000C0308"/>
          <w:p w14:paraId="4DD72116" w14:textId="0DF4B96B" w:rsidR="003875D7" w:rsidRDefault="003875D7" w:rsidP="000C0308">
            <w:pPr>
              <w:pStyle w:val="ListParagraph"/>
              <w:numPr>
                <w:ilvl w:val="0"/>
                <w:numId w:val="5"/>
              </w:numPr>
            </w:pPr>
            <w:r w:rsidRPr="003875D7">
              <w:t>High-level technical support and advice to Government</w:t>
            </w:r>
            <w:r>
              <w:t xml:space="preserve"> on </w:t>
            </w:r>
            <w:r w:rsidRPr="003875D7">
              <w:t>longer-term strategies and shorter-term interventions</w:t>
            </w:r>
            <w:r>
              <w:t xml:space="preserve"> in the areas of </w:t>
            </w:r>
            <w:r w:rsidRPr="003875D7">
              <w:t xml:space="preserve">field of access to justice, electoral support, parliamentary support, human rights, and social cohesion to complement </w:t>
            </w:r>
            <w:r>
              <w:t xml:space="preserve">the realisation of the </w:t>
            </w:r>
            <w:r w:rsidRPr="003875D7">
              <w:t>SDG targets</w:t>
            </w:r>
          </w:p>
          <w:p w14:paraId="1709D9D7" w14:textId="4224B68B" w:rsidR="003875D7" w:rsidRDefault="003875D7" w:rsidP="000C0308">
            <w:pPr>
              <w:pStyle w:val="ListParagraph"/>
              <w:numPr>
                <w:ilvl w:val="0"/>
                <w:numId w:val="5"/>
              </w:numPr>
            </w:pPr>
            <w:r w:rsidRPr="003875D7">
              <w:t>Support to Government and other national stakeholders to</w:t>
            </w:r>
            <w:r w:rsidR="00FD609D">
              <w:t xml:space="preserve">wards the </w:t>
            </w:r>
            <w:r w:rsidRPr="003875D7">
              <w:t>elaborat</w:t>
            </w:r>
            <w:r w:rsidR="00FD609D">
              <w:t xml:space="preserve">ion of </w:t>
            </w:r>
            <w:r>
              <w:t>the electoral reforms processes.</w:t>
            </w:r>
          </w:p>
          <w:p w14:paraId="157BC884" w14:textId="6A771E73" w:rsidR="00A017D8" w:rsidRDefault="00A017D8" w:rsidP="000C0308">
            <w:pPr>
              <w:pStyle w:val="ListParagraph"/>
              <w:numPr>
                <w:ilvl w:val="0"/>
                <w:numId w:val="5"/>
              </w:numPr>
            </w:pPr>
            <w:r>
              <w:t xml:space="preserve">Support towards </w:t>
            </w:r>
            <w:r w:rsidRPr="00A017D8">
              <w:t>strengthening the inclusion of marginalized groups throughout the electoral process in line with SDG 16, target 7, to “ensure responsive, inclusive, participatory and representative decision-making at all levels” and SDG 5 and 10 to end discrimination and promote equality</w:t>
            </w:r>
          </w:p>
          <w:p w14:paraId="1EAAFD42" w14:textId="328B3434" w:rsidR="00232EB3" w:rsidRDefault="004C78F6" w:rsidP="00232EB3">
            <w:pPr>
              <w:pStyle w:val="ListParagraph"/>
              <w:numPr>
                <w:ilvl w:val="0"/>
                <w:numId w:val="5"/>
              </w:numPr>
            </w:pPr>
            <w:r w:rsidRPr="00B319CB">
              <w:t xml:space="preserve">Support capacity building of </w:t>
            </w:r>
            <w:r w:rsidR="003D5E7D">
              <w:t>key democratic</w:t>
            </w:r>
            <w:r w:rsidRPr="00B319CB">
              <w:t xml:space="preserve"> institutions and </w:t>
            </w:r>
            <w:r w:rsidR="00232EB3" w:rsidRPr="00B319CB">
              <w:t xml:space="preserve">actors </w:t>
            </w:r>
            <w:r w:rsidR="00232EB3">
              <w:t>such</w:t>
            </w:r>
            <w:r w:rsidR="003D5E7D">
              <w:t xml:space="preserve"> as </w:t>
            </w:r>
            <w:r w:rsidR="00232EB3">
              <w:t xml:space="preserve">the Independent Electoral Commission, Inter Party Committee, National Assembly, Ministry of </w:t>
            </w:r>
            <w:r w:rsidR="00FD609D">
              <w:t>Justice,</w:t>
            </w:r>
            <w:r w:rsidR="00232EB3">
              <w:t xml:space="preserve"> and the </w:t>
            </w:r>
            <w:r w:rsidR="00232EB3" w:rsidRPr="00232EB3">
              <w:t>National Human Rights Commission- The Gambia.</w:t>
            </w:r>
            <w:r w:rsidR="00232EB3">
              <w:t xml:space="preserve">to ensure </w:t>
            </w:r>
            <w:r w:rsidR="00232EB3" w:rsidRPr="00232EB3">
              <w:t>inclusi</w:t>
            </w:r>
            <w:r w:rsidR="00232EB3">
              <w:t>ve</w:t>
            </w:r>
            <w:r w:rsidR="00232EB3" w:rsidRPr="00232EB3">
              <w:t xml:space="preserve">, </w:t>
            </w:r>
            <w:r w:rsidR="00B20C94" w:rsidRPr="00232EB3">
              <w:t>accountable,</w:t>
            </w:r>
            <w:r w:rsidR="00232EB3">
              <w:t xml:space="preserve"> and </w:t>
            </w:r>
            <w:r w:rsidR="00232EB3" w:rsidRPr="00232EB3">
              <w:t>transparen</w:t>
            </w:r>
            <w:r w:rsidR="00232EB3">
              <w:t xml:space="preserve">t </w:t>
            </w:r>
            <w:r w:rsidR="00FD609D">
              <w:t>elections</w:t>
            </w:r>
            <w:r w:rsidR="00FD609D" w:rsidRPr="00B319CB">
              <w:t>.</w:t>
            </w:r>
          </w:p>
          <w:p w14:paraId="3DFE0601" w14:textId="120653C4" w:rsidR="004C78F6" w:rsidRDefault="004C78F6" w:rsidP="00232EB3">
            <w:pPr>
              <w:pStyle w:val="ListParagraph"/>
              <w:numPr>
                <w:ilvl w:val="0"/>
                <w:numId w:val="5"/>
              </w:numPr>
            </w:pPr>
            <w:r w:rsidRPr="00B319CB">
              <w:t xml:space="preserve">Support public awareness raising, outreach and communication </w:t>
            </w:r>
            <w:r w:rsidR="00232EB3">
              <w:t xml:space="preserve">around crucial electoral activities including </w:t>
            </w:r>
            <w:r w:rsidR="00FD609D" w:rsidRPr="00FD609D">
              <w:t>voter registration</w:t>
            </w:r>
            <w:r w:rsidR="00FD609D">
              <w:t xml:space="preserve"> and voter education.</w:t>
            </w:r>
          </w:p>
          <w:p w14:paraId="4CE83AE0" w14:textId="77777777" w:rsidR="00713787" w:rsidRDefault="00B20C94" w:rsidP="00713787">
            <w:pPr>
              <w:pStyle w:val="ListParagraph"/>
              <w:numPr>
                <w:ilvl w:val="0"/>
                <w:numId w:val="5"/>
              </w:numPr>
            </w:pPr>
            <w:r w:rsidRPr="00B20C94">
              <w:t xml:space="preserve">Coordinate the support of the international community on </w:t>
            </w:r>
            <w:r>
              <w:t>electoral processes</w:t>
            </w:r>
            <w:r w:rsidRPr="00B20C94">
              <w:t>.</w:t>
            </w:r>
            <w:bookmarkEnd w:id="0"/>
          </w:p>
          <w:p w14:paraId="5FCFA905" w14:textId="612E8EA9" w:rsidR="002D5AB7" w:rsidRPr="002D5AB7" w:rsidRDefault="001D1253" w:rsidP="002D5AB7">
            <w:pPr>
              <w:pStyle w:val="ListParagraph"/>
              <w:numPr>
                <w:ilvl w:val="0"/>
                <w:numId w:val="5"/>
              </w:numPr>
            </w:pPr>
            <w:r>
              <w:t xml:space="preserve">In </w:t>
            </w:r>
            <w:r w:rsidRPr="002D5AB7">
              <w:t>cooperation</w:t>
            </w:r>
            <w:r w:rsidR="002D5AB7" w:rsidRPr="002D5AB7">
              <w:t xml:space="preserve"> with the NHRC,</w:t>
            </w:r>
            <w:r w:rsidR="002D5AB7">
              <w:t xml:space="preserve"> d</w:t>
            </w:r>
            <w:r w:rsidR="002D5AB7" w:rsidRPr="002D5AB7">
              <w:t>evelop</w:t>
            </w:r>
            <w:r w:rsidR="002D5AB7">
              <w:t xml:space="preserve"> </w:t>
            </w:r>
            <w:r w:rsidR="002D5AB7" w:rsidRPr="002D5AB7">
              <w:t>training</w:t>
            </w:r>
            <w:r w:rsidR="002D5AB7">
              <w:t xml:space="preserve"> modules</w:t>
            </w:r>
            <w:r w:rsidR="002D5AB7" w:rsidRPr="002D5AB7">
              <w:t xml:space="preserve"> on human right for</w:t>
            </w:r>
            <w:r w:rsidR="002D5AB7">
              <w:t xml:space="preserve"> the</w:t>
            </w:r>
            <w:r w:rsidR="002D5AB7" w:rsidRPr="002D5AB7">
              <w:t xml:space="preserve"> security forces</w:t>
            </w:r>
          </w:p>
          <w:p w14:paraId="744CAA66" w14:textId="2A77B1AE" w:rsidR="00B934D2" w:rsidRPr="00713787" w:rsidRDefault="00B934D2" w:rsidP="00713787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713787" w14:paraId="0483E9FE" w14:textId="77777777" w:rsidTr="00DB6BDE">
        <w:tc>
          <w:tcPr>
            <w:tcW w:w="16110" w:type="dxa"/>
            <w:gridSpan w:val="8"/>
          </w:tcPr>
          <w:p w14:paraId="712047D8" w14:textId="42FCE130" w:rsidR="00713787" w:rsidRPr="00E37DAD" w:rsidRDefault="00713787" w:rsidP="00713787">
            <w:pPr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37DAD">
              <w:rPr>
                <w:b/>
                <w:bCs/>
                <w:color w:val="2F5496" w:themeColor="accent1" w:themeShade="BF"/>
                <w:sz w:val="20"/>
                <w:szCs w:val="20"/>
              </w:rPr>
              <w:t xml:space="preserve">How is the Project likely to improve Gender Equality and </w:t>
            </w:r>
            <w:r w:rsidR="00B34F1D" w:rsidRPr="00E37DAD">
              <w:rPr>
                <w:b/>
                <w:bCs/>
                <w:color w:val="2F5496" w:themeColor="accent1" w:themeShade="BF"/>
                <w:sz w:val="20"/>
                <w:szCs w:val="20"/>
              </w:rPr>
              <w:t>Women’s</w:t>
            </w:r>
            <w:r w:rsidRPr="00E37DAD">
              <w:rPr>
                <w:b/>
                <w:bCs/>
                <w:color w:val="2F5496" w:themeColor="accent1" w:themeShade="BF"/>
                <w:sz w:val="20"/>
                <w:szCs w:val="20"/>
              </w:rPr>
              <w:t xml:space="preserve"> Empowerment</w:t>
            </w:r>
            <w:r w:rsidR="00B34F1D" w:rsidRPr="00E37DAD">
              <w:rPr>
                <w:b/>
                <w:bCs/>
                <w:color w:val="2F5496" w:themeColor="accent1" w:themeShade="BF"/>
                <w:sz w:val="20"/>
                <w:szCs w:val="20"/>
              </w:rPr>
              <w:t>?</w:t>
            </w:r>
          </w:p>
          <w:p w14:paraId="45969F34" w14:textId="50A5B20D" w:rsidR="00713787" w:rsidRDefault="00210C0C" w:rsidP="00713787">
            <w:r>
              <w:t>The Project adheres to the basic human rights principles of participation and inclusion which encourages the participation of Marginalised Groups such as Women</w:t>
            </w:r>
            <w:r w:rsidR="00B20C94">
              <w:t xml:space="preserve">, </w:t>
            </w:r>
            <w:r w:rsidR="00D85F94">
              <w:t>youth,</w:t>
            </w:r>
            <w:r w:rsidR="00B20C94">
              <w:t xml:space="preserve"> and </w:t>
            </w:r>
            <w:r w:rsidR="00B934D2">
              <w:t>P</w:t>
            </w:r>
            <w:r w:rsidR="00B20C94">
              <w:t xml:space="preserve">ersons with </w:t>
            </w:r>
            <w:r w:rsidR="00B934D2">
              <w:t>Disabilities (PWDS)</w:t>
            </w:r>
            <w:r>
              <w:t xml:space="preserve">. </w:t>
            </w:r>
          </w:p>
          <w:p w14:paraId="797E046A" w14:textId="77777777" w:rsidR="00713787" w:rsidRDefault="00713787" w:rsidP="00713787"/>
          <w:p w14:paraId="648BAFF7" w14:textId="1171B180" w:rsidR="00B20C94" w:rsidRPr="00B20C94" w:rsidRDefault="00487BB9" w:rsidP="00B934D2">
            <w:pPr>
              <w:jc w:val="both"/>
            </w:pPr>
            <w:r>
              <w:t xml:space="preserve">A gender perspective is mainstreamed into all the Components and </w:t>
            </w:r>
            <w:r w:rsidR="00EF754A">
              <w:t>A</w:t>
            </w:r>
            <w:r w:rsidR="00457A2A">
              <w:t>ctivities</w:t>
            </w:r>
            <w:r>
              <w:t xml:space="preserve"> to be implemented </w:t>
            </w:r>
            <w:r w:rsidR="00A4187E">
              <w:t xml:space="preserve">under the </w:t>
            </w:r>
            <w:r w:rsidR="00B20C94">
              <w:t>election project</w:t>
            </w:r>
            <w:r w:rsidR="00A4187E">
              <w:t xml:space="preserve">. </w:t>
            </w:r>
            <w:r w:rsidR="00B20C94">
              <w:t xml:space="preserve">During the project formulations stage the views and aspirations of women, youth and </w:t>
            </w:r>
            <w:r w:rsidR="00B934D2">
              <w:t xml:space="preserve">PWDs </w:t>
            </w:r>
            <w:r w:rsidR="00B20C94">
              <w:t xml:space="preserve">relating to inclusion and participation were integrated in the election proposal. More importantly some of the activities contained in the project document eloquently speaks to issues </w:t>
            </w:r>
            <w:r w:rsidR="00B20C94" w:rsidRPr="00B20C94">
              <w:t>Gender Equality and Women’s Empowerment</w:t>
            </w:r>
            <w:r w:rsidR="00B20C94">
              <w:t xml:space="preserve"> and inclusion and participation of youth and </w:t>
            </w:r>
            <w:r w:rsidR="00B934D2">
              <w:t xml:space="preserve">PWDs </w:t>
            </w:r>
            <w:r w:rsidR="00B20C94">
              <w:t xml:space="preserve">in the political and electoral </w:t>
            </w:r>
            <w:r w:rsidR="00B934D2">
              <w:t>processes. Key</w:t>
            </w:r>
            <w:r w:rsidR="00D85F94">
              <w:t xml:space="preserve"> </w:t>
            </w:r>
            <w:r w:rsidR="00B934D2">
              <w:t>amongst</w:t>
            </w:r>
            <w:r w:rsidR="00D85F94">
              <w:t xml:space="preserve"> these activities </w:t>
            </w:r>
            <w:r w:rsidR="00B934D2">
              <w:t>includes</w:t>
            </w:r>
            <w:r w:rsidR="00D85F94">
              <w:t xml:space="preserve"> </w:t>
            </w:r>
            <w:r w:rsidR="00B934D2">
              <w:t>d</w:t>
            </w:r>
            <w:r w:rsidR="00B934D2" w:rsidRPr="00B934D2">
              <w:t>eveloping national campaigns to increase participation of women, youth and PWD</w:t>
            </w:r>
            <w:r w:rsidR="00B934D2">
              <w:t xml:space="preserve">s, </w:t>
            </w:r>
            <w:r w:rsidR="00B934D2" w:rsidRPr="00B934D2">
              <w:t xml:space="preserve">Technical assistance for inclusion of women, </w:t>
            </w:r>
            <w:r w:rsidR="00B934D2" w:rsidRPr="00B934D2">
              <w:lastRenderedPageBreak/>
              <w:t>youth and PWDs in the electoral process coordinated by the Electoral Commission</w:t>
            </w:r>
            <w:r w:rsidR="00B934D2">
              <w:t xml:space="preserve">, </w:t>
            </w:r>
            <w:r w:rsidR="00B934D2" w:rsidRPr="00B934D2">
              <w:t>Support National Assembly inclusi</w:t>
            </w:r>
            <w:r w:rsidR="00B934D2">
              <w:t>ve</w:t>
            </w:r>
            <w:r w:rsidR="00B934D2" w:rsidRPr="00B934D2">
              <w:t xml:space="preserve"> Citizen Consultation Platform</w:t>
            </w:r>
            <w:r w:rsidR="00B934D2">
              <w:t xml:space="preserve"> with </w:t>
            </w:r>
            <w:r w:rsidR="00B934D2" w:rsidRPr="00B934D2">
              <w:t>women, youth and PWDs</w:t>
            </w:r>
            <w:r w:rsidR="00E97E4F">
              <w:t>,</w:t>
            </w:r>
            <w:r w:rsidR="00B934D2">
              <w:t xml:space="preserve"> t</w:t>
            </w:r>
            <w:r w:rsidR="00B934D2" w:rsidRPr="00B934D2">
              <w:t xml:space="preserve">rain IEC permanent and temporary staff </w:t>
            </w:r>
            <w:r w:rsidR="00B934D2">
              <w:t xml:space="preserve"> to be made up of </w:t>
            </w:r>
            <w:r w:rsidR="00B934D2" w:rsidRPr="00B934D2">
              <w:t xml:space="preserve"> women, youth and PWDs </w:t>
            </w:r>
            <w:r w:rsidR="002D5AB7">
              <w:t xml:space="preserve"> and support the design of </w:t>
            </w:r>
            <w:r w:rsidR="00E97E4F" w:rsidRPr="00E97E4F">
              <w:t>outreach strategies to target women, young people, minorities and PWDs and encourage them to participate in the electoral process as voters, candidates, observers and electoral officials</w:t>
            </w:r>
            <w:r w:rsidR="002D5AB7">
              <w:t>.</w:t>
            </w:r>
          </w:p>
          <w:p w14:paraId="3692AB99" w14:textId="77777777" w:rsidR="00E37DAD" w:rsidRDefault="00E37DAD" w:rsidP="00713787"/>
          <w:p w14:paraId="1AECABB4" w14:textId="076E4ABF" w:rsidR="00EF754A" w:rsidRPr="001D1253" w:rsidRDefault="00713787" w:rsidP="00713787">
            <w:pPr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37DAD">
              <w:rPr>
                <w:b/>
                <w:bCs/>
                <w:color w:val="2F5496" w:themeColor="accent1" w:themeShade="BF"/>
                <w:sz w:val="20"/>
                <w:szCs w:val="20"/>
              </w:rPr>
              <w:t xml:space="preserve">Briefly describe </w:t>
            </w:r>
            <w:r w:rsidR="00C11266" w:rsidRPr="00E37DAD">
              <w:rPr>
                <w:b/>
                <w:bCs/>
                <w:color w:val="2F5496" w:themeColor="accent1" w:themeShade="BF"/>
                <w:sz w:val="20"/>
                <w:szCs w:val="20"/>
              </w:rPr>
              <w:t xml:space="preserve">how the Project mainstreams </w:t>
            </w:r>
            <w:r w:rsidR="00B34F1D" w:rsidRPr="00E37DAD">
              <w:rPr>
                <w:b/>
                <w:bCs/>
                <w:color w:val="2F5496" w:themeColor="accent1" w:themeShade="BF"/>
                <w:sz w:val="20"/>
                <w:szCs w:val="20"/>
              </w:rPr>
              <w:t>Environmental Sustainability.</w:t>
            </w:r>
          </w:p>
        </w:tc>
      </w:tr>
      <w:tr w:rsidR="00E33BEF" w14:paraId="57061D5A" w14:textId="77777777" w:rsidTr="00DB6BDE">
        <w:tc>
          <w:tcPr>
            <w:tcW w:w="5668" w:type="dxa"/>
            <w:gridSpan w:val="2"/>
            <w:shd w:val="clear" w:color="auto" w:fill="8EAADB" w:themeFill="accent1" w:themeFillTint="99"/>
          </w:tcPr>
          <w:p w14:paraId="4C0F3EBE" w14:textId="1EA3EC5C" w:rsidR="00E33BEF" w:rsidRPr="001D1253" w:rsidRDefault="00E33BEF" w:rsidP="00713787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1A28B8">
              <w:rPr>
                <w:b/>
                <w:bCs/>
                <w:color w:val="FF0000"/>
                <w:sz w:val="24"/>
                <w:szCs w:val="24"/>
              </w:rPr>
              <w:lastRenderedPageBreak/>
              <w:t>PART B</w:t>
            </w:r>
            <w:r w:rsidR="001D1253">
              <w:rPr>
                <w:b/>
                <w:bCs/>
                <w:color w:val="FF0000"/>
                <w:sz w:val="24"/>
                <w:szCs w:val="24"/>
              </w:rPr>
              <w:t xml:space="preserve">: </w:t>
            </w:r>
            <w:r w:rsidRPr="00E37DAD">
              <w:rPr>
                <w:b/>
                <w:bCs/>
                <w:sz w:val="24"/>
                <w:szCs w:val="24"/>
              </w:rPr>
              <w:t>Identifying and Managing Social and Environmental Risks</w:t>
            </w:r>
          </w:p>
        </w:tc>
        <w:tc>
          <w:tcPr>
            <w:tcW w:w="4862" w:type="dxa"/>
            <w:gridSpan w:val="5"/>
            <w:vMerge w:val="restart"/>
            <w:shd w:val="clear" w:color="auto" w:fill="8EAADB" w:themeFill="accent1" w:themeFillTint="99"/>
          </w:tcPr>
          <w:p w14:paraId="3550CE9F" w14:textId="77777777" w:rsidR="00E33BEF" w:rsidRDefault="00E33BEF" w:rsidP="00713787">
            <w:pPr>
              <w:rPr>
                <w:b/>
                <w:bCs/>
              </w:rPr>
            </w:pPr>
            <w:r w:rsidRPr="001A28B8">
              <w:rPr>
                <w:b/>
                <w:bCs/>
                <w:color w:val="FF0000"/>
              </w:rPr>
              <w:t>Question 3:</w:t>
            </w:r>
            <w:r>
              <w:rPr>
                <w:b/>
                <w:bCs/>
              </w:rPr>
              <w:t xml:space="preserve"> What is the level of significance of the potential social + environmental risks?</w:t>
            </w:r>
          </w:p>
          <w:p w14:paraId="200B585A" w14:textId="77777777" w:rsidR="00E33BEF" w:rsidRDefault="00E33BEF" w:rsidP="00713787">
            <w:pPr>
              <w:rPr>
                <w:b/>
                <w:bCs/>
              </w:rPr>
            </w:pPr>
          </w:p>
          <w:p w14:paraId="7A2ADC03" w14:textId="18E19966" w:rsidR="00E33BEF" w:rsidRDefault="00E33BEF" w:rsidP="00713787">
            <w:pPr>
              <w:rPr>
                <w:b/>
                <w:bCs/>
              </w:rPr>
            </w:pPr>
            <w:r w:rsidRPr="00E33BEF">
              <w:rPr>
                <w:b/>
                <w:bCs/>
                <w:color w:val="FF0000"/>
              </w:rPr>
              <w:t>Note responses to Questions 4 and 5 below before proceeding to Question 6</w:t>
            </w:r>
          </w:p>
        </w:tc>
        <w:tc>
          <w:tcPr>
            <w:tcW w:w="5580" w:type="dxa"/>
            <w:vMerge w:val="restart"/>
            <w:shd w:val="clear" w:color="auto" w:fill="8EAADB" w:themeFill="accent1" w:themeFillTint="99"/>
          </w:tcPr>
          <w:p w14:paraId="7FE6DF01" w14:textId="6A89CB0B" w:rsidR="00E33BEF" w:rsidRDefault="00E33BEF" w:rsidP="00713787">
            <w:pPr>
              <w:rPr>
                <w:b/>
                <w:bCs/>
              </w:rPr>
            </w:pPr>
            <w:r w:rsidRPr="001A28B8">
              <w:rPr>
                <w:b/>
                <w:bCs/>
                <w:color w:val="FF0000"/>
              </w:rPr>
              <w:t>Question 6:</w:t>
            </w:r>
            <w:r>
              <w:rPr>
                <w:b/>
                <w:bCs/>
              </w:rPr>
              <w:t xml:space="preserve"> What social + environmental assessment and management measures have been conducted and/or are required to address potential risks (for Risks with Moderate and High Significance)</w:t>
            </w:r>
          </w:p>
        </w:tc>
      </w:tr>
      <w:tr w:rsidR="00E33BEF" w:rsidRPr="00E37DAD" w14:paraId="64D727A5" w14:textId="77777777" w:rsidTr="00DB6BDE">
        <w:tc>
          <w:tcPr>
            <w:tcW w:w="5668" w:type="dxa"/>
            <w:gridSpan w:val="2"/>
            <w:shd w:val="clear" w:color="auto" w:fill="8EAADB" w:themeFill="accent1" w:themeFillTint="99"/>
          </w:tcPr>
          <w:p w14:paraId="0E79EB6B" w14:textId="26BFF493" w:rsidR="00E33BEF" w:rsidRPr="00E37DAD" w:rsidRDefault="00E33BEF" w:rsidP="00713787">
            <w:pPr>
              <w:rPr>
                <w:b/>
                <w:bCs/>
                <w:sz w:val="24"/>
                <w:szCs w:val="24"/>
              </w:rPr>
            </w:pPr>
            <w:r w:rsidRPr="001A28B8">
              <w:rPr>
                <w:b/>
                <w:bCs/>
                <w:color w:val="FF0000"/>
                <w:sz w:val="24"/>
                <w:szCs w:val="24"/>
              </w:rPr>
              <w:t>Question 2:</w:t>
            </w:r>
            <w:r w:rsidRPr="00E37DAD">
              <w:rPr>
                <w:b/>
                <w:bCs/>
                <w:sz w:val="24"/>
                <w:szCs w:val="24"/>
              </w:rPr>
              <w:t xml:space="preserve"> What are the Potential Social + Environmental Risk</w:t>
            </w:r>
            <w:r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862" w:type="dxa"/>
            <w:gridSpan w:val="5"/>
            <w:vMerge/>
            <w:shd w:val="clear" w:color="auto" w:fill="8EAADB" w:themeFill="accent1" w:themeFillTint="99"/>
          </w:tcPr>
          <w:p w14:paraId="5767F3C7" w14:textId="77777777" w:rsidR="00E33BEF" w:rsidRPr="00E37DAD" w:rsidRDefault="00E33BEF" w:rsidP="007137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0" w:type="dxa"/>
            <w:vMerge/>
            <w:shd w:val="clear" w:color="auto" w:fill="8EAADB" w:themeFill="accent1" w:themeFillTint="99"/>
          </w:tcPr>
          <w:p w14:paraId="10032CB7" w14:textId="50729917" w:rsidR="00E33BEF" w:rsidRPr="00E37DAD" w:rsidRDefault="00E33BEF" w:rsidP="007137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625D5" w14:paraId="661D3A3E" w14:textId="77777777" w:rsidTr="00DB6BDE">
        <w:trPr>
          <w:trHeight w:val="858"/>
        </w:trPr>
        <w:tc>
          <w:tcPr>
            <w:tcW w:w="5668" w:type="dxa"/>
            <w:gridSpan w:val="2"/>
          </w:tcPr>
          <w:p w14:paraId="5B22EA16" w14:textId="77777777" w:rsidR="00A625D5" w:rsidRDefault="00A625D5" w:rsidP="00713787">
            <w:pPr>
              <w:rPr>
                <w:b/>
                <w:bCs/>
              </w:rPr>
            </w:pPr>
          </w:p>
        </w:tc>
        <w:tc>
          <w:tcPr>
            <w:tcW w:w="1352" w:type="dxa"/>
          </w:tcPr>
          <w:p w14:paraId="383C9BA4" w14:textId="77777777" w:rsidR="00A625D5" w:rsidRPr="006111C2" w:rsidRDefault="00A625D5" w:rsidP="00713787">
            <w:pPr>
              <w:rPr>
                <w:b/>
                <w:bCs/>
                <w:i/>
                <w:iCs/>
              </w:rPr>
            </w:pPr>
            <w:r w:rsidRPr="006111C2">
              <w:rPr>
                <w:b/>
                <w:bCs/>
                <w:i/>
                <w:iCs/>
              </w:rPr>
              <w:t>Impact + Probability</w:t>
            </w:r>
          </w:p>
          <w:p w14:paraId="01804544" w14:textId="1160E11D" w:rsidR="00A625D5" w:rsidRDefault="00A625D5" w:rsidP="00713787">
            <w:pPr>
              <w:rPr>
                <w:b/>
                <w:bCs/>
              </w:rPr>
            </w:pPr>
            <w:r w:rsidRPr="006111C2">
              <w:rPr>
                <w:b/>
                <w:bCs/>
                <w:i/>
                <w:iCs/>
              </w:rPr>
              <w:t>(1-5)</w:t>
            </w:r>
          </w:p>
        </w:tc>
        <w:tc>
          <w:tcPr>
            <w:tcW w:w="1710" w:type="dxa"/>
            <w:gridSpan w:val="3"/>
          </w:tcPr>
          <w:p w14:paraId="30EDE153" w14:textId="326E2BCB" w:rsidR="00A625D5" w:rsidRPr="006111C2" w:rsidRDefault="00A625D5" w:rsidP="00713787">
            <w:pPr>
              <w:rPr>
                <w:b/>
                <w:bCs/>
                <w:i/>
                <w:iCs/>
              </w:rPr>
            </w:pPr>
            <w:r w:rsidRPr="006111C2">
              <w:rPr>
                <w:b/>
                <w:bCs/>
                <w:i/>
                <w:iCs/>
              </w:rPr>
              <w:t>Significance (Low, Moderate + High)</w:t>
            </w:r>
          </w:p>
        </w:tc>
        <w:tc>
          <w:tcPr>
            <w:tcW w:w="1800" w:type="dxa"/>
          </w:tcPr>
          <w:p w14:paraId="657B4533" w14:textId="0938BDDE" w:rsidR="00A625D5" w:rsidRPr="006111C2" w:rsidRDefault="00A625D5" w:rsidP="00713787">
            <w:pPr>
              <w:rPr>
                <w:b/>
                <w:bCs/>
                <w:i/>
                <w:iCs/>
              </w:rPr>
            </w:pPr>
            <w:r w:rsidRPr="006111C2">
              <w:rPr>
                <w:b/>
                <w:bCs/>
                <w:i/>
                <w:iCs/>
              </w:rPr>
              <w:t>Comments</w:t>
            </w:r>
          </w:p>
        </w:tc>
        <w:tc>
          <w:tcPr>
            <w:tcW w:w="5580" w:type="dxa"/>
          </w:tcPr>
          <w:p w14:paraId="2CAC3941" w14:textId="3C08FCCC" w:rsidR="00A625D5" w:rsidRPr="00B053E9" w:rsidRDefault="00A625D5" w:rsidP="00713787">
            <w:pPr>
              <w:rPr>
                <w:b/>
                <w:bCs/>
                <w:i/>
                <w:iCs/>
              </w:rPr>
            </w:pPr>
            <w:r w:rsidRPr="00B053E9">
              <w:rPr>
                <w:b/>
                <w:bCs/>
                <w:i/>
                <w:iCs/>
              </w:rPr>
              <w:t xml:space="preserve">Description of assessment and management measures. </w:t>
            </w:r>
          </w:p>
        </w:tc>
      </w:tr>
      <w:tr w:rsidR="00A625D5" w14:paraId="60438A52" w14:textId="77777777" w:rsidTr="00DB6BDE">
        <w:trPr>
          <w:trHeight w:val="858"/>
        </w:trPr>
        <w:tc>
          <w:tcPr>
            <w:tcW w:w="5668" w:type="dxa"/>
            <w:gridSpan w:val="2"/>
          </w:tcPr>
          <w:p w14:paraId="021C23C7" w14:textId="77777777" w:rsidR="00A625D5" w:rsidRDefault="00A625D5" w:rsidP="00713787">
            <w:pPr>
              <w:rPr>
                <w:b/>
                <w:bCs/>
              </w:rPr>
            </w:pPr>
            <w:r>
              <w:rPr>
                <w:b/>
                <w:bCs/>
              </w:rPr>
              <w:t>Risk 1</w:t>
            </w:r>
          </w:p>
          <w:p w14:paraId="12BBE4C9" w14:textId="3E9D3657" w:rsidR="008447C6" w:rsidRPr="00864789" w:rsidRDefault="008447C6" w:rsidP="00713787">
            <w:r>
              <w:t xml:space="preserve">Social — </w:t>
            </w:r>
            <w:r w:rsidR="00864789">
              <w:t xml:space="preserve">Activities of </w:t>
            </w:r>
            <w:r w:rsidR="00864789" w:rsidRPr="00864789">
              <w:t xml:space="preserve">the 2020-2022 electoral cycle and 2020 constitutional </w:t>
            </w:r>
            <w:r w:rsidR="00864789" w:rsidRPr="00864789">
              <w:t xml:space="preserve">referendum </w:t>
            </w:r>
            <w:r w:rsidR="00864789">
              <w:t>were severely disrupted f</w:t>
            </w:r>
            <w:r w:rsidR="00864789" w:rsidRPr="00864789">
              <w:t>ollowing t</w:t>
            </w:r>
            <w:r w:rsidR="00864789">
              <w:t xml:space="preserve">he </w:t>
            </w:r>
            <w:r w:rsidR="00864789" w:rsidRPr="00864789">
              <w:t xml:space="preserve">state of emergency </w:t>
            </w:r>
            <w:r w:rsidR="00864789" w:rsidRPr="00864789">
              <w:t>restraining all</w:t>
            </w:r>
            <w:r w:rsidR="00864789" w:rsidRPr="00864789">
              <w:t xml:space="preserve"> public gatherings as a strategy to curb COVID-19</w:t>
            </w:r>
            <w:r w:rsidR="00864789">
              <w:t xml:space="preserve">. As a result, both the </w:t>
            </w:r>
            <w:r w:rsidR="00864789" w:rsidRPr="00864789">
              <w:t xml:space="preserve">IEC </w:t>
            </w:r>
            <w:r w:rsidR="00864789">
              <w:t xml:space="preserve">and most democratic institutions </w:t>
            </w:r>
            <w:r w:rsidR="00864789" w:rsidRPr="00864789">
              <w:t>went into total shut down and ceased all electoral activities</w:t>
            </w:r>
          </w:p>
        </w:tc>
        <w:tc>
          <w:tcPr>
            <w:tcW w:w="1352" w:type="dxa"/>
          </w:tcPr>
          <w:p w14:paraId="50E57AD0" w14:textId="4331608C" w:rsidR="00AA7F5F" w:rsidRDefault="00FD16BC" w:rsidP="00FD16BC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A7F5F">
              <w:rPr>
                <w:b/>
                <w:bCs/>
              </w:rPr>
              <w:t>I =</w:t>
            </w:r>
            <w:r w:rsidR="007B05B4">
              <w:rPr>
                <w:b/>
                <w:bCs/>
              </w:rPr>
              <w:t xml:space="preserve"> 2</w:t>
            </w:r>
          </w:p>
          <w:p w14:paraId="642193F2" w14:textId="5851C1CF" w:rsidR="00AA7F5F" w:rsidRPr="000B25B7" w:rsidRDefault="00AA7F5F" w:rsidP="00FD16BC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 = </w:t>
            </w:r>
            <w:r w:rsidR="007B05B4">
              <w:rPr>
                <w:b/>
                <w:bCs/>
              </w:rPr>
              <w:t>2</w:t>
            </w:r>
          </w:p>
        </w:tc>
        <w:tc>
          <w:tcPr>
            <w:tcW w:w="1710" w:type="dxa"/>
            <w:gridSpan w:val="3"/>
          </w:tcPr>
          <w:p w14:paraId="773599B1" w14:textId="17392807" w:rsidR="00A625D5" w:rsidRPr="000B25B7" w:rsidRDefault="007B05B4" w:rsidP="00713787">
            <w:pPr>
              <w:rPr>
                <w:b/>
                <w:bCs/>
              </w:rPr>
            </w:pPr>
            <w:r>
              <w:rPr>
                <w:b/>
                <w:bCs/>
              </w:rPr>
              <w:t>Moderate</w:t>
            </w:r>
          </w:p>
        </w:tc>
        <w:tc>
          <w:tcPr>
            <w:tcW w:w="1800" w:type="dxa"/>
          </w:tcPr>
          <w:p w14:paraId="5FD80BB6" w14:textId="05608D83" w:rsidR="00A625D5" w:rsidRPr="000B25B7" w:rsidRDefault="00A625D5" w:rsidP="00713787">
            <w:pPr>
              <w:rPr>
                <w:b/>
                <w:bCs/>
              </w:rPr>
            </w:pPr>
          </w:p>
        </w:tc>
        <w:tc>
          <w:tcPr>
            <w:tcW w:w="5580" w:type="dxa"/>
          </w:tcPr>
          <w:p w14:paraId="4D44B794" w14:textId="7C9D1A34" w:rsidR="00A625D5" w:rsidRPr="00DB6BDE" w:rsidRDefault="00DB6BDE" w:rsidP="00713787">
            <w:r>
              <w:t xml:space="preserve">As </w:t>
            </w:r>
            <w:r w:rsidRPr="00DB6BDE">
              <w:t>part of Business Continuity Plan</w:t>
            </w:r>
            <w:r>
              <w:t xml:space="preserve">, UNDP </w:t>
            </w:r>
            <w:r w:rsidRPr="00DB6BDE">
              <w:t>Increased advocacy</w:t>
            </w:r>
            <w:r>
              <w:t xml:space="preserve"> and activated zoom telecommuting with IEC and democratic institution stakeholders </w:t>
            </w:r>
            <w:r w:rsidRPr="00DB6BDE">
              <w:t>alongside</w:t>
            </w:r>
            <w:r w:rsidRPr="00DB6BDE">
              <w:t xml:space="preserve"> supporting partners to adopt the new mode of working virtually to drive project delivery</w:t>
            </w:r>
            <w:r>
              <w:t>. This ignited interest and support of stakeholder in the electoral process with strict adherence of social distancing measures</w:t>
            </w:r>
          </w:p>
        </w:tc>
      </w:tr>
      <w:tr w:rsidR="00A625D5" w14:paraId="5069094A" w14:textId="77777777" w:rsidTr="00DB6BDE">
        <w:trPr>
          <w:trHeight w:val="858"/>
        </w:trPr>
        <w:tc>
          <w:tcPr>
            <w:tcW w:w="5668" w:type="dxa"/>
            <w:gridSpan w:val="2"/>
          </w:tcPr>
          <w:p w14:paraId="2BA17335" w14:textId="77777777" w:rsidR="00A625D5" w:rsidRDefault="00A625D5" w:rsidP="00713787">
            <w:pPr>
              <w:rPr>
                <w:b/>
                <w:bCs/>
              </w:rPr>
            </w:pPr>
            <w:r>
              <w:rPr>
                <w:b/>
                <w:bCs/>
              </w:rPr>
              <w:t>Risk 3</w:t>
            </w:r>
          </w:p>
          <w:p w14:paraId="3494F340" w14:textId="4B9DF010" w:rsidR="008447C6" w:rsidRDefault="008447C6" w:rsidP="00713787">
            <w:pPr>
              <w:rPr>
                <w:b/>
                <w:bCs/>
              </w:rPr>
            </w:pPr>
            <w:r>
              <w:t>Inadequate national capacities</w:t>
            </w:r>
            <w:r w:rsidR="00864789">
              <w:t xml:space="preserve"> of democratic institution (IEC, IPC, National Assembly, Police, Ministry of Justice and National Human Rights Commission</w:t>
            </w:r>
          </w:p>
        </w:tc>
        <w:tc>
          <w:tcPr>
            <w:tcW w:w="1352" w:type="dxa"/>
          </w:tcPr>
          <w:p w14:paraId="4C0D7757" w14:textId="40DABD83" w:rsidR="00A625D5" w:rsidRDefault="00AA7F5F" w:rsidP="00713787">
            <w:pPr>
              <w:rPr>
                <w:b/>
                <w:bCs/>
              </w:rPr>
            </w:pPr>
            <w:r>
              <w:rPr>
                <w:b/>
                <w:bCs/>
              </w:rPr>
              <w:t>I =</w:t>
            </w:r>
            <w:r w:rsidR="007B05B4">
              <w:rPr>
                <w:b/>
                <w:bCs/>
              </w:rPr>
              <w:t xml:space="preserve"> 2</w:t>
            </w:r>
          </w:p>
          <w:p w14:paraId="7D6EE650" w14:textId="22A51042" w:rsidR="00AA7F5F" w:rsidRDefault="00AA7F5F" w:rsidP="00713787">
            <w:pPr>
              <w:rPr>
                <w:b/>
                <w:bCs/>
              </w:rPr>
            </w:pPr>
            <w:r>
              <w:rPr>
                <w:b/>
                <w:bCs/>
              </w:rPr>
              <w:t>P=</w:t>
            </w:r>
            <w:r w:rsidR="007B05B4">
              <w:rPr>
                <w:b/>
                <w:bCs/>
              </w:rPr>
              <w:t>3</w:t>
            </w:r>
          </w:p>
          <w:p w14:paraId="68A592A3" w14:textId="7ED99D27" w:rsidR="00AA7F5F" w:rsidRPr="00AA7F5F" w:rsidRDefault="00AA7F5F" w:rsidP="00AA7F5F"/>
        </w:tc>
        <w:tc>
          <w:tcPr>
            <w:tcW w:w="1710" w:type="dxa"/>
            <w:gridSpan w:val="3"/>
          </w:tcPr>
          <w:p w14:paraId="4CE0D704" w14:textId="1DF0B7C6" w:rsidR="00A625D5" w:rsidRDefault="007B05B4" w:rsidP="00713787">
            <w:pPr>
              <w:rPr>
                <w:b/>
                <w:bCs/>
              </w:rPr>
            </w:pPr>
            <w:r>
              <w:rPr>
                <w:b/>
                <w:bCs/>
              </w:rPr>
              <w:t>Moderate</w:t>
            </w:r>
          </w:p>
        </w:tc>
        <w:tc>
          <w:tcPr>
            <w:tcW w:w="1800" w:type="dxa"/>
          </w:tcPr>
          <w:p w14:paraId="41D17A48" w14:textId="3D5A50F7" w:rsidR="00A625D5" w:rsidRDefault="00A625D5" w:rsidP="00713787">
            <w:pPr>
              <w:rPr>
                <w:b/>
                <w:bCs/>
              </w:rPr>
            </w:pPr>
          </w:p>
        </w:tc>
        <w:tc>
          <w:tcPr>
            <w:tcW w:w="5580" w:type="dxa"/>
          </w:tcPr>
          <w:p w14:paraId="51449DDD" w14:textId="211B74CF" w:rsidR="00A625D5" w:rsidRDefault="008447C6" w:rsidP="00713787">
            <w:pPr>
              <w:rPr>
                <w:b/>
                <w:bCs/>
              </w:rPr>
            </w:pPr>
            <w:r>
              <w:t xml:space="preserve">Targeted training and close accompaniment of key national stakeholders throughout all stages of the project through the support of project team members and transfer of expertise, including use of </w:t>
            </w:r>
            <w:r w:rsidR="00864789">
              <w:t>UNDP regional expertise.</w:t>
            </w:r>
          </w:p>
        </w:tc>
      </w:tr>
      <w:tr w:rsidR="00AA7F5F" w14:paraId="45F96754" w14:textId="77777777" w:rsidTr="00DB6BDE">
        <w:trPr>
          <w:trHeight w:val="428"/>
        </w:trPr>
        <w:tc>
          <w:tcPr>
            <w:tcW w:w="16110" w:type="dxa"/>
            <w:gridSpan w:val="8"/>
            <w:shd w:val="clear" w:color="auto" w:fill="8EAADB" w:themeFill="accent1" w:themeFillTint="99"/>
          </w:tcPr>
          <w:p w14:paraId="68F62514" w14:textId="2C0BED99" w:rsidR="00AA7F5F" w:rsidRDefault="00AA7F5F" w:rsidP="00713787">
            <w:pPr>
              <w:rPr>
                <w:b/>
                <w:bCs/>
              </w:rPr>
            </w:pPr>
            <w:r w:rsidRPr="00AA7F5F">
              <w:rPr>
                <w:b/>
                <w:bCs/>
                <w:color w:val="FF0000"/>
              </w:rPr>
              <w:t>Question 4:</w:t>
            </w:r>
            <w:r>
              <w:rPr>
                <w:b/>
                <w:bCs/>
              </w:rPr>
              <w:t xml:space="preserve"> Wha</w:t>
            </w:r>
            <w:r w:rsidR="009F2234">
              <w:rPr>
                <w:b/>
                <w:bCs/>
              </w:rPr>
              <w:t>t</w:t>
            </w:r>
            <w:r>
              <w:rPr>
                <w:b/>
                <w:bCs/>
              </w:rPr>
              <w:t xml:space="preserve"> is the Overall Project Risk Categorisation?</w:t>
            </w:r>
          </w:p>
        </w:tc>
      </w:tr>
      <w:tr w:rsidR="00AA7F5F" w:rsidRPr="009F2234" w14:paraId="42A09488" w14:textId="77777777" w:rsidTr="00DB6BDE">
        <w:trPr>
          <w:trHeight w:val="427"/>
        </w:trPr>
        <w:tc>
          <w:tcPr>
            <w:tcW w:w="8006" w:type="dxa"/>
            <w:gridSpan w:val="5"/>
          </w:tcPr>
          <w:p w14:paraId="48EDEA63" w14:textId="351BC03A" w:rsidR="00AA7F5F" w:rsidRPr="009F2234" w:rsidRDefault="00C969B1" w:rsidP="00713787">
            <w:pPr>
              <w:rPr>
                <w:b/>
                <w:bCs/>
                <w:sz w:val="20"/>
                <w:szCs w:val="20"/>
              </w:rPr>
            </w:pPr>
            <w:r w:rsidRPr="009F2234">
              <w:rPr>
                <w:b/>
                <w:bCs/>
                <w:sz w:val="20"/>
                <w:szCs w:val="20"/>
              </w:rPr>
              <w:t xml:space="preserve">Determined by the highest level of significance </w:t>
            </w:r>
            <w:r w:rsidR="00C147B8" w:rsidRPr="009F2234">
              <w:rPr>
                <w:b/>
                <w:bCs/>
                <w:sz w:val="20"/>
                <w:szCs w:val="20"/>
              </w:rPr>
              <w:t xml:space="preserve">of identified risks in Question 3. </w:t>
            </w:r>
          </w:p>
          <w:p w14:paraId="619977DA" w14:textId="2003B2C5" w:rsidR="00C147B8" w:rsidRPr="009F2234" w:rsidRDefault="00C147B8" w:rsidP="007137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4" w:type="dxa"/>
            <w:gridSpan w:val="3"/>
          </w:tcPr>
          <w:p w14:paraId="248CA4F2" w14:textId="3E045EB8" w:rsidR="00AA7F5F" w:rsidRPr="009F2234" w:rsidRDefault="00AA7F5F" w:rsidP="00713787">
            <w:pPr>
              <w:rPr>
                <w:b/>
                <w:bCs/>
                <w:sz w:val="20"/>
                <w:szCs w:val="20"/>
              </w:rPr>
            </w:pPr>
            <w:r w:rsidRPr="009F2234"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C969B1" w14:paraId="67CE9C20" w14:textId="77777777" w:rsidTr="00DB6BDE">
        <w:trPr>
          <w:trHeight w:val="427"/>
        </w:trPr>
        <w:tc>
          <w:tcPr>
            <w:tcW w:w="7227" w:type="dxa"/>
            <w:gridSpan w:val="4"/>
          </w:tcPr>
          <w:p w14:paraId="0EF2E4A8" w14:textId="16A55E7C" w:rsidR="00C969B1" w:rsidRPr="009F2234" w:rsidRDefault="00C147B8" w:rsidP="00C147B8">
            <w:pPr>
              <w:jc w:val="center"/>
              <w:rPr>
                <w:b/>
                <w:bCs/>
                <w:sz w:val="20"/>
                <w:szCs w:val="20"/>
              </w:rPr>
            </w:pPr>
            <w:r w:rsidRPr="009F2234">
              <w:rPr>
                <w:b/>
                <w:bCs/>
                <w:sz w:val="20"/>
                <w:szCs w:val="20"/>
              </w:rPr>
              <w:t>Low Risk</w:t>
            </w:r>
          </w:p>
        </w:tc>
        <w:tc>
          <w:tcPr>
            <w:tcW w:w="779" w:type="dxa"/>
          </w:tcPr>
          <w:p w14:paraId="29866781" w14:textId="77478CD6" w:rsidR="00C969B1" w:rsidRDefault="00C969B1" w:rsidP="00713787">
            <w:pPr>
              <w:rPr>
                <w:b/>
                <w:bCs/>
              </w:rPr>
            </w:pPr>
          </w:p>
        </w:tc>
        <w:tc>
          <w:tcPr>
            <w:tcW w:w="8104" w:type="dxa"/>
            <w:gridSpan w:val="3"/>
          </w:tcPr>
          <w:p w14:paraId="6CD390C3" w14:textId="77777777" w:rsidR="00C969B1" w:rsidRDefault="00C969B1" w:rsidP="00713787">
            <w:pPr>
              <w:rPr>
                <w:b/>
                <w:bCs/>
              </w:rPr>
            </w:pPr>
          </w:p>
          <w:p w14:paraId="243D8972" w14:textId="38534039" w:rsidR="00C147B8" w:rsidRDefault="00C147B8" w:rsidP="00713787">
            <w:pPr>
              <w:rPr>
                <w:b/>
                <w:bCs/>
              </w:rPr>
            </w:pPr>
          </w:p>
        </w:tc>
      </w:tr>
      <w:tr w:rsidR="00C969B1" w14:paraId="26EFB312" w14:textId="77777777" w:rsidTr="00DB6BDE">
        <w:trPr>
          <w:trHeight w:val="427"/>
        </w:trPr>
        <w:tc>
          <w:tcPr>
            <w:tcW w:w="7227" w:type="dxa"/>
            <w:gridSpan w:val="4"/>
          </w:tcPr>
          <w:p w14:paraId="2F2DBA4A" w14:textId="7D02DE87" w:rsidR="00C969B1" w:rsidRPr="009F2234" w:rsidRDefault="00C147B8" w:rsidP="00C147B8">
            <w:pPr>
              <w:jc w:val="center"/>
              <w:rPr>
                <w:b/>
                <w:bCs/>
                <w:sz w:val="20"/>
                <w:szCs w:val="20"/>
              </w:rPr>
            </w:pPr>
            <w:r w:rsidRPr="009F2234">
              <w:rPr>
                <w:b/>
                <w:bCs/>
                <w:sz w:val="20"/>
                <w:szCs w:val="20"/>
              </w:rPr>
              <w:t>Moderate Risk</w:t>
            </w:r>
          </w:p>
        </w:tc>
        <w:tc>
          <w:tcPr>
            <w:tcW w:w="779" w:type="dxa"/>
          </w:tcPr>
          <w:p w14:paraId="519FA7A7" w14:textId="0B8602FF" w:rsidR="00C969B1" w:rsidRPr="007B05B4" w:rsidRDefault="00C969B1" w:rsidP="007B05B4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8104" w:type="dxa"/>
            <w:gridSpan w:val="3"/>
          </w:tcPr>
          <w:p w14:paraId="5052E7CF" w14:textId="22426E98" w:rsidR="00C969B1" w:rsidRDefault="007B05B4" w:rsidP="00713787">
            <w:pPr>
              <w:rPr>
                <w:b/>
                <w:bCs/>
              </w:rPr>
            </w:pPr>
            <w:r>
              <w:rPr>
                <w:b/>
                <w:bCs/>
              </w:rPr>
              <w:t>Risk can be mitigated with management measures</w:t>
            </w:r>
          </w:p>
          <w:p w14:paraId="74EF99E4" w14:textId="0B6582AD" w:rsidR="00C147B8" w:rsidRDefault="00C147B8" w:rsidP="00713787">
            <w:pPr>
              <w:rPr>
                <w:b/>
                <w:bCs/>
              </w:rPr>
            </w:pPr>
          </w:p>
        </w:tc>
      </w:tr>
      <w:tr w:rsidR="00C969B1" w14:paraId="0EF95848" w14:textId="77777777" w:rsidTr="00DB6BDE">
        <w:trPr>
          <w:trHeight w:val="427"/>
        </w:trPr>
        <w:tc>
          <w:tcPr>
            <w:tcW w:w="7227" w:type="dxa"/>
            <w:gridSpan w:val="4"/>
          </w:tcPr>
          <w:p w14:paraId="09477812" w14:textId="2BC7187D" w:rsidR="00EF754A" w:rsidRDefault="00C147B8" w:rsidP="001D1253">
            <w:pPr>
              <w:jc w:val="center"/>
              <w:rPr>
                <w:b/>
                <w:bCs/>
                <w:sz w:val="20"/>
                <w:szCs w:val="20"/>
              </w:rPr>
            </w:pPr>
            <w:r w:rsidRPr="009F2234">
              <w:rPr>
                <w:b/>
                <w:bCs/>
                <w:sz w:val="20"/>
                <w:szCs w:val="20"/>
              </w:rPr>
              <w:t>High Risk</w:t>
            </w:r>
          </w:p>
          <w:p w14:paraId="20D86486" w14:textId="3F1B5983" w:rsidR="00EF754A" w:rsidRPr="009F2234" w:rsidRDefault="00EF754A" w:rsidP="00FB22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4D31F41E" w14:textId="4354A205" w:rsidR="00C969B1" w:rsidRDefault="00C969B1" w:rsidP="00713787">
            <w:pPr>
              <w:rPr>
                <w:b/>
                <w:bCs/>
              </w:rPr>
            </w:pPr>
          </w:p>
        </w:tc>
        <w:tc>
          <w:tcPr>
            <w:tcW w:w="8104" w:type="dxa"/>
            <w:gridSpan w:val="3"/>
          </w:tcPr>
          <w:p w14:paraId="1E80B35D" w14:textId="77777777" w:rsidR="00C969B1" w:rsidRDefault="00C969B1" w:rsidP="00713787">
            <w:pPr>
              <w:rPr>
                <w:b/>
                <w:bCs/>
              </w:rPr>
            </w:pPr>
          </w:p>
          <w:p w14:paraId="106F0AAD" w14:textId="1793DC8C" w:rsidR="00C147B8" w:rsidRDefault="00C147B8" w:rsidP="00713787">
            <w:pPr>
              <w:rPr>
                <w:b/>
                <w:bCs/>
              </w:rPr>
            </w:pPr>
          </w:p>
        </w:tc>
      </w:tr>
      <w:tr w:rsidR="009C09B8" w14:paraId="5E72E6F1" w14:textId="77777777" w:rsidTr="00DB6BDE">
        <w:trPr>
          <w:trHeight w:val="427"/>
        </w:trPr>
        <w:tc>
          <w:tcPr>
            <w:tcW w:w="16110" w:type="dxa"/>
            <w:gridSpan w:val="8"/>
            <w:shd w:val="clear" w:color="auto" w:fill="8EAADB" w:themeFill="accent1" w:themeFillTint="99"/>
          </w:tcPr>
          <w:p w14:paraId="4C1861F6" w14:textId="04F6358E" w:rsidR="009C09B8" w:rsidRDefault="009C09B8" w:rsidP="00713787">
            <w:pPr>
              <w:rPr>
                <w:b/>
                <w:bCs/>
              </w:rPr>
            </w:pPr>
            <w:r w:rsidRPr="009C09B8">
              <w:rPr>
                <w:b/>
                <w:bCs/>
                <w:color w:val="FF0000"/>
              </w:rPr>
              <w:t>Question 5:</w:t>
            </w:r>
            <w:r>
              <w:rPr>
                <w:b/>
                <w:bCs/>
              </w:rPr>
              <w:t xml:space="preserve"> Based on the identified risks and risk categorisation, what requirements of the SES are relevant?</w:t>
            </w:r>
          </w:p>
        </w:tc>
      </w:tr>
      <w:tr w:rsidR="008014FA" w14:paraId="54C39117" w14:textId="77777777" w:rsidTr="00DB6BDE">
        <w:trPr>
          <w:trHeight w:val="427"/>
        </w:trPr>
        <w:tc>
          <w:tcPr>
            <w:tcW w:w="8006" w:type="dxa"/>
            <w:gridSpan w:val="5"/>
            <w:shd w:val="clear" w:color="auto" w:fill="FFFFFF" w:themeFill="background1"/>
          </w:tcPr>
          <w:p w14:paraId="1925D8D3" w14:textId="54E1B200" w:rsidR="008014FA" w:rsidRPr="009F2234" w:rsidRDefault="009F2234" w:rsidP="00713787">
            <w:pPr>
              <w:rPr>
                <w:b/>
                <w:bCs/>
                <w:sz w:val="20"/>
                <w:szCs w:val="20"/>
              </w:rPr>
            </w:pPr>
            <w:r w:rsidRPr="009F2234">
              <w:rPr>
                <w:b/>
                <w:bCs/>
                <w:sz w:val="20"/>
                <w:szCs w:val="20"/>
              </w:rPr>
              <w:t>Only for identified risks rated as Moderate or High Significance then the SES Principles and Project-Level Standards become relevant</w:t>
            </w:r>
          </w:p>
        </w:tc>
        <w:tc>
          <w:tcPr>
            <w:tcW w:w="8104" w:type="dxa"/>
            <w:gridSpan w:val="3"/>
            <w:shd w:val="clear" w:color="auto" w:fill="FFFFFF" w:themeFill="background1"/>
          </w:tcPr>
          <w:p w14:paraId="0482D315" w14:textId="77777777" w:rsidR="008014FA" w:rsidRDefault="008014FA" w:rsidP="00713787">
            <w:pPr>
              <w:rPr>
                <w:b/>
                <w:bCs/>
                <w:color w:val="FF0000"/>
              </w:rPr>
            </w:pPr>
          </w:p>
          <w:p w14:paraId="3650CC8A" w14:textId="1280EFA7" w:rsidR="009F2234" w:rsidRPr="009F2234" w:rsidRDefault="009F2234" w:rsidP="00713787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AF40F2" w14:paraId="69360470" w14:textId="77777777" w:rsidTr="00DB6BDE">
        <w:trPr>
          <w:trHeight w:val="427"/>
        </w:trPr>
        <w:tc>
          <w:tcPr>
            <w:tcW w:w="7227" w:type="dxa"/>
            <w:gridSpan w:val="4"/>
            <w:shd w:val="clear" w:color="auto" w:fill="FFFFFF" w:themeFill="background1"/>
          </w:tcPr>
          <w:p w14:paraId="447A6C48" w14:textId="77777777" w:rsidR="00AF40F2" w:rsidRPr="00AF40F2" w:rsidRDefault="00AF40F2" w:rsidP="00713787">
            <w:pPr>
              <w:rPr>
                <w:b/>
                <w:bCs/>
              </w:rPr>
            </w:pPr>
            <w:r w:rsidRPr="00AF40F2">
              <w:rPr>
                <w:b/>
                <w:bCs/>
                <w:sz w:val="20"/>
                <w:szCs w:val="20"/>
              </w:rPr>
              <w:t>Principle 1: Human Rights</w:t>
            </w:r>
            <w:r w:rsidRPr="00AF40F2">
              <w:rPr>
                <w:b/>
                <w:bCs/>
              </w:rPr>
              <w:t xml:space="preserve"> </w:t>
            </w:r>
          </w:p>
        </w:tc>
        <w:tc>
          <w:tcPr>
            <w:tcW w:w="779" w:type="dxa"/>
            <w:shd w:val="clear" w:color="auto" w:fill="FFFFFF" w:themeFill="background1"/>
          </w:tcPr>
          <w:p w14:paraId="68BD2CDE" w14:textId="77C46598" w:rsidR="00AF40F2" w:rsidRPr="00A66453" w:rsidRDefault="00AF40F2" w:rsidP="00A66453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8104" w:type="dxa"/>
            <w:gridSpan w:val="3"/>
            <w:shd w:val="clear" w:color="auto" w:fill="FFFFFF" w:themeFill="background1"/>
          </w:tcPr>
          <w:p w14:paraId="79F5E3ED" w14:textId="38044498" w:rsidR="00AF40F2" w:rsidRPr="003A20F5" w:rsidRDefault="00535A14" w:rsidP="003A20F5">
            <w:pPr>
              <w:jc w:val="both"/>
              <w:rPr>
                <w:color w:val="FF0000"/>
              </w:rPr>
            </w:pPr>
            <w:r w:rsidRPr="003A20F5">
              <w:t xml:space="preserve">The project will complement not only the on-going efforts of enhancing the promotion and protection of human rights in the </w:t>
            </w:r>
            <w:r w:rsidR="003A20F5" w:rsidRPr="003A20F5">
              <w:t>Gambia but</w:t>
            </w:r>
            <w:r w:rsidRPr="003A20F5">
              <w:t xml:space="preserve"> will also contribute towards embedding the culture of rights. </w:t>
            </w:r>
          </w:p>
        </w:tc>
      </w:tr>
      <w:tr w:rsidR="00AF40F2" w14:paraId="4DAAEEBB" w14:textId="77777777" w:rsidTr="00DB6BDE">
        <w:trPr>
          <w:trHeight w:val="427"/>
        </w:trPr>
        <w:tc>
          <w:tcPr>
            <w:tcW w:w="7227" w:type="dxa"/>
            <w:gridSpan w:val="4"/>
            <w:shd w:val="clear" w:color="auto" w:fill="FFFFFF" w:themeFill="background1"/>
          </w:tcPr>
          <w:p w14:paraId="66CD6DAC" w14:textId="4C55AC26" w:rsidR="00AF40F2" w:rsidRPr="00AF40F2" w:rsidRDefault="00AF40F2" w:rsidP="00713787">
            <w:pPr>
              <w:rPr>
                <w:b/>
                <w:bCs/>
                <w:sz w:val="20"/>
                <w:szCs w:val="20"/>
              </w:rPr>
            </w:pPr>
            <w:r w:rsidRPr="00AF40F2">
              <w:rPr>
                <w:b/>
                <w:bCs/>
                <w:sz w:val="20"/>
                <w:szCs w:val="20"/>
              </w:rPr>
              <w:t>Principle 2: Gender Equality and Women’s Empowerment</w:t>
            </w:r>
          </w:p>
        </w:tc>
        <w:tc>
          <w:tcPr>
            <w:tcW w:w="779" w:type="dxa"/>
            <w:shd w:val="clear" w:color="auto" w:fill="FFFFFF" w:themeFill="background1"/>
          </w:tcPr>
          <w:p w14:paraId="4FCD6076" w14:textId="349F8566" w:rsidR="00AF40F2" w:rsidRPr="00A66453" w:rsidRDefault="00AF40F2" w:rsidP="00A66453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8104" w:type="dxa"/>
            <w:gridSpan w:val="3"/>
            <w:shd w:val="clear" w:color="auto" w:fill="FFFFFF" w:themeFill="background1"/>
          </w:tcPr>
          <w:p w14:paraId="58C30BDC" w14:textId="77011E35" w:rsidR="00AF40F2" w:rsidRPr="003A20F5" w:rsidRDefault="00535A14" w:rsidP="00713787">
            <w:pPr>
              <w:rPr>
                <w:color w:val="FF0000"/>
              </w:rPr>
            </w:pPr>
            <w:r w:rsidRPr="003A20F5">
              <w:t>The project will stimulate inclusivity and increase participation of women, youth and PWDs</w:t>
            </w:r>
            <w:r w:rsidR="003A20F5" w:rsidRPr="003A20F5">
              <w:t xml:space="preserve"> in the electoral process as voters, candidates, observers, and electoral officials.</w:t>
            </w:r>
          </w:p>
        </w:tc>
      </w:tr>
      <w:tr w:rsidR="00AF40F2" w14:paraId="2991F884" w14:textId="77777777" w:rsidTr="00DB6BDE">
        <w:trPr>
          <w:trHeight w:val="427"/>
        </w:trPr>
        <w:tc>
          <w:tcPr>
            <w:tcW w:w="7227" w:type="dxa"/>
            <w:gridSpan w:val="4"/>
            <w:shd w:val="clear" w:color="auto" w:fill="FFFFFF" w:themeFill="background1"/>
          </w:tcPr>
          <w:p w14:paraId="632B273C" w14:textId="29154121" w:rsidR="00AF40F2" w:rsidRPr="00EE5D14" w:rsidRDefault="00EE5D14" w:rsidP="00EE5D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="00AF40F2" w:rsidRPr="00EE5D14">
              <w:rPr>
                <w:b/>
                <w:bCs/>
                <w:sz w:val="20"/>
                <w:szCs w:val="20"/>
              </w:rPr>
              <w:t>Biodiversity Conservation and Natural Resource Management</w:t>
            </w:r>
          </w:p>
        </w:tc>
        <w:tc>
          <w:tcPr>
            <w:tcW w:w="779" w:type="dxa"/>
            <w:shd w:val="clear" w:color="auto" w:fill="FFFFFF" w:themeFill="background1"/>
          </w:tcPr>
          <w:p w14:paraId="67B802C0" w14:textId="38BA6E6D" w:rsidR="00AF40F2" w:rsidRPr="009C09B8" w:rsidRDefault="00AF40F2" w:rsidP="00713787">
            <w:pPr>
              <w:rPr>
                <w:b/>
                <w:bCs/>
                <w:color w:val="FF0000"/>
              </w:rPr>
            </w:pPr>
          </w:p>
        </w:tc>
        <w:tc>
          <w:tcPr>
            <w:tcW w:w="8104" w:type="dxa"/>
            <w:gridSpan w:val="3"/>
            <w:shd w:val="clear" w:color="auto" w:fill="FFFFFF" w:themeFill="background1"/>
          </w:tcPr>
          <w:p w14:paraId="4B94E13F" w14:textId="0DBEB1CF" w:rsidR="00AF40F2" w:rsidRPr="009C09B8" w:rsidRDefault="00AF40F2" w:rsidP="00713787">
            <w:pPr>
              <w:rPr>
                <w:b/>
                <w:bCs/>
                <w:color w:val="FF0000"/>
              </w:rPr>
            </w:pPr>
          </w:p>
        </w:tc>
      </w:tr>
      <w:tr w:rsidR="00AF40F2" w14:paraId="34DB1913" w14:textId="77777777" w:rsidTr="00DB6BDE">
        <w:trPr>
          <w:trHeight w:val="427"/>
        </w:trPr>
        <w:tc>
          <w:tcPr>
            <w:tcW w:w="7227" w:type="dxa"/>
            <w:gridSpan w:val="4"/>
            <w:shd w:val="clear" w:color="auto" w:fill="FFFFFF" w:themeFill="background1"/>
          </w:tcPr>
          <w:p w14:paraId="376B7347" w14:textId="38D269ED" w:rsidR="00AF40F2" w:rsidRPr="00EE5D14" w:rsidRDefault="00EE5D14" w:rsidP="00EE5D14">
            <w:pPr>
              <w:rPr>
                <w:b/>
                <w:bCs/>
                <w:sz w:val="20"/>
                <w:szCs w:val="20"/>
              </w:rPr>
            </w:pPr>
            <w:r w:rsidRPr="00EE5D14">
              <w:rPr>
                <w:b/>
                <w:bCs/>
                <w:sz w:val="20"/>
                <w:szCs w:val="20"/>
              </w:rPr>
              <w:t>2.Climate Change Mitigation and Adaptation</w:t>
            </w:r>
          </w:p>
        </w:tc>
        <w:tc>
          <w:tcPr>
            <w:tcW w:w="779" w:type="dxa"/>
            <w:shd w:val="clear" w:color="auto" w:fill="FFFFFF" w:themeFill="background1"/>
          </w:tcPr>
          <w:p w14:paraId="258F6AC3" w14:textId="7C6E882F" w:rsidR="00AF40F2" w:rsidRPr="009C09B8" w:rsidRDefault="00AF40F2" w:rsidP="00713787">
            <w:pPr>
              <w:rPr>
                <w:b/>
                <w:bCs/>
                <w:color w:val="FF0000"/>
              </w:rPr>
            </w:pPr>
          </w:p>
        </w:tc>
        <w:tc>
          <w:tcPr>
            <w:tcW w:w="8104" w:type="dxa"/>
            <w:gridSpan w:val="3"/>
            <w:shd w:val="clear" w:color="auto" w:fill="FFFFFF" w:themeFill="background1"/>
          </w:tcPr>
          <w:p w14:paraId="3D20F81C" w14:textId="175150A4" w:rsidR="00AF40F2" w:rsidRPr="009C09B8" w:rsidRDefault="00AF40F2" w:rsidP="00713787">
            <w:pPr>
              <w:rPr>
                <w:b/>
                <w:bCs/>
                <w:color w:val="FF0000"/>
              </w:rPr>
            </w:pPr>
          </w:p>
        </w:tc>
      </w:tr>
      <w:tr w:rsidR="00AF40F2" w14:paraId="038A8A0F" w14:textId="77777777" w:rsidTr="00DB6BDE">
        <w:trPr>
          <w:trHeight w:val="427"/>
        </w:trPr>
        <w:tc>
          <w:tcPr>
            <w:tcW w:w="7227" w:type="dxa"/>
            <w:gridSpan w:val="4"/>
            <w:shd w:val="clear" w:color="auto" w:fill="FFFFFF" w:themeFill="background1"/>
          </w:tcPr>
          <w:p w14:paraId="3A1BFD22" w14:textId="4DAA3D69" w:rsidR="00AF40F2" w:rsidRPr="00EE5D14" w:rsidRDefault="00EE5D14" w:rsidP="007137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3.Community Health, Safety and Working Conditions</w:t>
            </w:r>
          </w:p>
        </w:tc>
        <w:tc>
          <w:tcPr>
            <w:tcW w:w="779" w:type="dxa"/>
            <w:shd w:val="clear" w:color="auto" w:fill="FFFFFF" w:themeFill="background1"/>
          </w:tcPr>
          <w:p w14:paraId="5F81EECF" w14:textId="7409E17A" w:rsidR="00AF40F2" w:rsidRPr="009C09B8" w:rsidRDefault="00AF40F2" w:rsidP="00713787">
            <w:pPr>
              <w:rPr>
                <w:b/>
                <w:bCs/>
                <w:color w:val="FF0000"/>
              </w:rPr>
            </w:pPr>
          </w:p>
        </w:tc>
        <w:tc>
          <w:tcPr>
            <w:tcW w:w="8104" w:type="dxa"/>
            <w:gridSpan w:val="3"/>
            <w:shd w:val="clear" w:color="auto" w:fill="FFFFFF" w:themeFill="background1"/>
          </w:tcPr>
          <w:p w14:paraId="288EA632" w14:textId="2923DA7E" w:rsidR="00AF40F2" w:rsidRPr="009C09B8" w:rsidRDefault="00AF40F2" w:rsidP="00713787">
            <w:pPr>
              <w:rPr>
                <w:b/>
                <w:bCs/>
                <w:color w:val="FF0000"/>
              </w:rPr>
            </w:pPr>
          </w:p>
        </w:tc>
      </w:tr>
      <w:tr w:rsidR="00AF40F2" w14:paraId="2BBF6E4B" w14:textId="77777777" w:rsidTr="00DB6BDE">
        <w:trPr>
          <w:trHeight w:val="427"/>
        </w:trPr>
        <w:tc>
          <w:tcPr>
            <w:tcW w:w="7227" w:type="dxa"/>
            <w:gridSpan w:val="4"/>
            <w:shd w:val="clear" w:color="auto" w:fill="FFFFFF" w:themeFill="background1"/>
          </w:tcPr>
          <w:p w14:paraId="32FCA404" w14:textId="5D151981" w:rsidR="00AF40F2" w:rsidRPr="00EE5D14" w:rsidRDefault="00EE5D14" w:rsidP="007137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4.Cultural Heritage</w:t>
            </w:r>
          </w:p>
        </w:tc>
        <w:tc>
          <w:tcPr>
            <w:tcW w:w="779" w:type="dxa"/>
            <w:shd w:val="clear" w:color="auto" w:fill="FFFFFF" w:themeFill="background1"/>
          </w:tcPr>
          <w:p w14:paraId="5A9003DD" w14:textId="5E530BE8" w:rsidR="00AF40F2" w:rsidRPr="009C09B8" w:rsidRDefault="00AF40F2" w:rsidP="00713787">
            <w:pPr>
              <w:rPr>
                <w:b/>
                <w:bCs/>
                <w:color w:val="FF0000"/>
              </w:rPr>
            </w:pPr>
          </w:p>
        </w:tc>
        <w:tc>
          <w:tcPr>
            <w:tcW w:w="8104" w:type="dxa"/>
            <w:gridSpan w:val="3"/>
            <w:shd w:val="clear" w:color="auto" w:fill="FFFFFF" w:themeFill="background1"/>
          </w:tcPr>
          <w:p w14:paraId="7257C221" w14:textId="37C9FA31" w:rsidR="00AF40F2" w:rsidRPr="009C09B8" w:rsidRDefault="00AF40F2" w:rsidP="00713787">
            <w:pPr>
              <w:rPr>
                <w:b/>
                <w:bCs/>
                <w:color w:val="FF0000"/>
              </w:rPr>
            </w:pPr>
          </w:p>
        </w:tc>
      </w:tr>
      <w:tr w:rsidR="00AF40F2" w14:paraId="56CE8349" w14:textId="77777777" w:rsidTr="00DB6BDE">
        <w:trPr>
          <w:trHeight w:val="427"/>
        </w:trPr>
        <w:tc>
          <w:tcPr>
            <w:tcW w:w="7227" w:type="dxa"/>
            <w:gridSpan w:val="4"/>
            <w:shd w:val="clear" w:color="auto" w:fill="FFFFFF" w:themeFill="background1"/>
          </w:tcPr>
          <w:p w14:paraId="76B79E7B" w14:textId="138CB801" w:rsidR="00AF40F2" w:rsidRPr="00EE5D14" w:rsidRDefault="00EE5D14" w:rsidP="007137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5.Displacement and Resettlement</w:t>
            </w:r>
          </w:p>
        </w:tc>
        <w:tc>
          <w:tcPr>
            <w:tcW w:w="779" w:type="dxa"/>
            <w:shd w:val="clear" w:color="auto" w:fill="FFFFFF" w:themeFill="background1"/>
          </w:tcPr>
          <w:p w14:paraId="1F31F7D4" w14:textId="436E3A19" w:rsidR="00AF40F2" w:rsidRPr="009C09B8" w:rsidRDefault="00AF40F2" w:rsidP="00713787">
            <w:pPr>
              <w:rPr>
                <w:b/>
                <w:bCs/>
                <w:color w:val="FF0000"/>
              </w:rPr>
            </w:pPr>
          </w:p>
        </w:tc>
        <w:tc>
          <w:tcPr>
            <w:tcW w:w="8104" w:type="dxa"/>
            <w:gridSpan w:val="3"/>
            <w:shd w:val="clear" w:color="auto" w:fill="FFFFFF" w:themeFill="background1"/>
          </w:tcPr>
          <w:p w14:paraId="4100CD3D" w14:textId="2E5C1F85" w:rsidR="00AF40F2" w:rsidRPr="009C09B8" w:rsidRDefault="00AF40F2" w:rsidP="00713787">
            <w:pPr>
              <w:rPr>
                <w:b/>
                <w:bCs/>
                <w:color w:val="FF0000"/>
              </w:rPr>
            </w:pPr>
          </w:p>
        </w:tc>
      </w:tr>
      <w:tr w:rsidR="00AF40F2" w14:paraId="6C878075" w14:textId="77777777" w:rsidTr="00DB6BDE">
        <w:trPr>
          <w:trHeight w:val="427"/>
        </w:trPr>
        <w:tc>
          <w:tcPr>
            <w:tcW w:w="7227" w:type="dxa"/>
            <w:gridSpan w:val="4"/>
            <w:shd w:val="clear" w:color="auto" w:fill="FFFFFF" w:themeFill="background1"/>
          </w:tcPr>
          <w:p w14:paraId="445CC559" w14:textId="41F0E8A1" w:rsidR="00AF40F2" w:rsidRPr="00EE5D14" w:rsidRDefault="00EE5D14" w:rsidP="007137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6.Indigenous Peoples</w:t>
            </w:r>
          </w:p>
        </w:tc>
        <w:tc>
          <w:tcPr>
            <w:tcW w:w="779" w:type="dxa"/>
            <w:shd w:val="clear" w:color="auto" w:fill="FFFFFF" w:themeFill="background1"/>
          </w:tcPr>
          <w:p w14:paraId="518AD1E5" w14:textId="34B950C8" w:rsidR="00AF40F2" w:rsidRPr="009C09B8" w:rsidRDefault="00AF40F2" w:rsidP="00713787">
            <w:pPr>
              <w:rPr>
                <w:b/>
                <w:bCs/>
                <w:color w:val="FF0000"/>
              </w:rPr>
            </w:pPr>
          </w:p>
        </w:tc>
        <w:tc>
          <w:tcPr>
            <w:tcW w:w="8104" w:type="dxa"/>
            <w:gridSpan w:val="3"/>
            <w:shd w:val="clear" w:color="auto" w:fill="FFFFFF" w:themeFill="background1"/>
          </w:tcPr>
          <w:p w14:paraId="55A315C8" w14:textId="77777777" w:rsidR="00AF40F2" w:rsidRPr="009C09B8" w:rsidRDefault="00AF40F2" w:rsidP="00713787">
            <w:pPr>
              <w:rPr>
                <w:b/>
                <w:bCs/>
                <w:color w:val="FF0000"/>
              </w:rPr>
            </w:pPr>
          </w:p>
        </w:tc>
      </w:tr>
      <w:tr w:rsidR="00AF40F2" w14:paraId="7F4CAC98" w14:textId="77777777" w:rsidTr="00DB6BDE">
        <w:trPr>
          <w:trHeight w:val="427"/>
        </w:trPr>
        <w:tc>
          <w:tcPr>
            <w:tcW w:w="7227" w:type="dxa"/>
            <w:gridSpan w:val="4"/>
            <w:shd w:val="clear" w:color="auto" w:fill="FFFFFF" w:themeFill="background1"/>
          </w:tcPr>
          <w:p w14:paraId="739BABCE" w14:textId="7BA1930B" w:rsidR="00AF40F2" w:rsidRPr="00EE5D14" w:rsidRDefault="00EE5D14" w:rsidP="007137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7.Pollution Prevention + Resource </w:t>
            </w:r>
            <w:r w:rsidR="00A66453">
              <w:rPr>
                <w:b/>
                <w:bCs/>
                <w:sz w:val="20"/>
                <w:szCs w:val="20"/>
              </w:rPr>
              <w:t>Efficiency</w:t>
            </w:r>
          </w:p>
        </w:tc>
        <w:tc>
          <w:tcPr>
            <w:tcW w:w="779" w:type="dxa"/>
            <w:shd w:val="clear" w:color="auto" w:fill="FFFFFF" w:themeFill="background1"/>
          </w:tcPr>
          <w:p w14:paraId="274FC808" w14:textId="7555B207" w:rsidR="00AF40F2" w:rsidRPr="009C09B8" w:rsidRDefault="00AF40F2" w:rsidP="00713787">
            <w:pPr>
              <w:rPr>
                <w:b/>
                <w:bCs/>
                <w:color w:val="FF0000"/>
              </w:rPr>
            </w:pPr>
          </w:p>
        </w:tc>
        <w:tc>
          <w:tcPr>
            <w:tcW w:w="8104" w:type="dxa"/>
            <w:gridSpan w:val="3"/>
            <w:shd w:val="clear" w:color="auto" w:fill="FFFFFF" w:themeFill="background1"/>
          </w:tcPr>
          <w:p w14:paraId="3AB9A71C" w14:textId="77777777" w:rsidR="00AF40F2" w:rsidRPr="009C09B8" w:rsidRDefault="00AF40F2" w:rsidP="00713787">
            <w:pPr>
              <w:rPr>
                <w:b/>
                <w:bCs/>
                <w:color w:val="FF0000"/>
              </w:rPr>
            </w:pPr>
          </w:p>
        </w:tc>
      </w:tr>
    </w:tbl>
    <w:p w14:paraId="0253D1E2" w14:textId="43378843" w:rsidR="00A308F0" w:rsidRPr="00A308F0" w:rsidRDefault="00A308F0" w:rsidP="00713787">
      <w:pPr>
        <w:rPr>
          <w:color w:val="FF0000"/>
          <w:sz w:val="24"/>
          <w:szCs w:val="24"/>
        </w:rPr>
      </w:pPr>
      <w:r w:rsidRPr="00A308F0">
        <w:rPr>
          <w:color w:val="FF0000"/>
          <w:sz w:val="24"/>
          <w:szCs w:val="24"/>
        </w:rPr>
        <w:t>PART C</w:t>
      </w:r>
      <w:r w:rsidR="001D1253">
        <w:rPr>
          <w:color w:val="FF0000"/>
          <w:sz w:val="24"/>
          <w:szCs w:val="24"/>
        </w:rPr>
        <w:t xml:space="preserve">: </w:t>
      </w:r>
      <w:r w:rsidRPr="001D1253">
        <w:rPr>
          <w:b/>
          <w:bCs/>
          <w:color w:val="2F5496" w:themeColor="accent1" w:themeShade="BF"/>
          <w:sz w:val="24"/>
          <w:szCs w:val="24"/>
        </w:rPr>
        <w:t>Final Sign Off (ensures SES Completion)</w:t>
      </w: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3403"/>
        <w:gridCol w:w="1701"/>
        <w:gridCol w:w="3969"/>
      </w:tblGrid>
      <w:tr w:rsidR="00A308F0" w14:paraId="722125DC" w14:textId="77777777" w:rsidTr="00AB198E">
        <w:tc>
          <w:tcPr>
            <w:tcW w:w="3403" w:type="dxa"/>
            <w:shd w:val="clear" w:color="auto" w:fill="2F5496" w:themeFill="accent1" w:themeFillShade="BF"/>
          </w:tcPr>
          <w:p w14:paraId="0B1B2A68" w14:textId="73C7E940" w:rsidR="00A308F0" w:rsidRPr="00AB198E" w:rsidRDefault="00AB198E">
            <w:pPr>
              <w:rPr>
                <w:i/>
                <w:iCs/>
                <w:sz w:val="24"/>
                <w:szCs w:val="24"/>
              </w:rPr>
            </w:pPr>
            <w:r w:rsidRPr="00AB198E">
              <w:rPr>
                <w:i/>
                <w:iCs/>
                <w:sz w:val="24"/>
                <w:szCs w:val="24"/>
              </w:rPr>
              <w:t>Signature</w:t>
            </w:r>
          </w:p>
        </w:tc>
        <w:tc>
          <w:tcPr>
            <w:tcW w:w="1701" w:type="dxa"/>
            <w:shd w:val="clear" w:color="auto" w:fill="2F5496" w:themeFill="accent1" w:themeFillShade="BF"/>
          </w:tcPr>
          <w:p w14:paraId="2C36844A" w14:textId="372B2C5D" w:rsidR="00A308F0" w:rsidRPr="00AB198E" w:rsidRDefault="00AB198E">
            <w:pPr>
              <w:rPr>
                <w:i/>
                <w:iCs/>
                <w:sz w:val="24"/>
                <w:szCs w:val="24"/>
              </w:rPr>
            </w:pPr>
            <w:r w:rsidRPr="00AB198E">
              <w:rPr>
                <w:i/>
                <w:iCs/>
                <w:sz w:val="24"/>
                <w:szCs w:val="24"/>
              </w:rPr>
              <w:t>Date</w:t>
            </w:r>
          </w:p>
        </w:tc>
        <w:tc>
          <w:tcPr>
            <w:tcW w:w="3969" w:type="dxa"/>
            <w:shd w:val="clear" w:color="auto" w:fill="2F5496" w:themeFill="accent1" w:themeFillShade="BF"/>
          </w:tcPr>
          <w:p w14:paraId="427DE0AD" w14:textId="4EA05F75" w:rsidR="00A308F0" w:rsidRPr="00AB198E" w:rsidRDefault="00AB198E">
            <w:pPr>
              <w:rPr>
                <w:i/>
                <w:iCs/>
                <w:sz w:val="24"/>
                <w:szCs w:val="24"/>
              </w:rPr>
            </w:pPr>
            <w:r w:rsidRPr="00AB198E">
              <w:rPr>
                <w:i/>
                <w:iCs/>
                <w:sz w:val="24"/>
                <w:szCs w:val="24"/>
              </w:rPr>
              <w:t>Description</w:t>
            </w:r>
          </w:p>
        </w:tc>
      </w:tr>
      <w:tr w:rsidR="00A308F0" w14:paraId="7755BD29" w14:textId="77777777" w:rsidTr="001D1253">
        <w:trPr>
          <w:trHeight w:val="827"/>
        </w:trPr>
        <w:tc>
          <w:tcPr>
            <w:tcW w:w="3403" w:type="dxa"/>
          </w:tcPr>
          <w:p w14:paraId="394ECC2D" w14:textId="77777777" w:rsidR="00A308F0" w:rsidRDefault="00A30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QA Assessor</w:t>
            </w:r>
          </w:p>
          <w:p w14:paraId="3795DA1F" w14:textId="77777777" w:rsidR="00A308F0" w:rsidRDefault="00A308F0">
            <w:pPr>
              <w:rPr>
                <w:sz w:val="20"/>
                <w:szCs w:val="20"/>
              </w:rPr>
            </w:pPr>
          </w:p>
          <w:p w14:paraId="749B32BA" w14:textId="77777777" w:rsidR="00A308F0" w:rsidRDefault="00A308F0">
            <w:pPr>
              <w:rPr>
                <w:sz w:val="20"/>
                <w:szCs w:val="20"/>
              </w:rPr>
            </w:pPr>
          </w:p>
          <w:p w14:paraId="7CB66107" w14:textId="00F60EA6" w:rsidR="00A308F0" w:rsidRPr="00A308F0" w:rsidRDefault="00A308F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BB55056" w14:textId="77777777" w:rsidR="00A308F0" w:rsidRDefault="00A308F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5D7EAC0" w14:textId="4CBB8487" w:rsidR="00A308F0" w:rsidRPr="00A308F0" w:rsidRDefault="00A30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UNDP Staff Member responsible for the Project/ Programme Officer</w:t>
            </w:r>
          </w:p>
        </w:tc>
      </w:tr>
      <w:tr w:rsidR="00A308F0" w14:paraId="20694DDC" w14:textId="77777777" w:rsidTr="00A308F0">
        <w:tc>
          <w:tcPr>
            <w:tcW w:w="3403" w:type="dxa"/>
          </w:tcPr>
          <w:p w14:paraId="717BCC56" w14:textId="77777777" w:rsidR="00A308F0" w:rsidRDefault="00A30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QA Approver</w:t>
            </w:r>
          </w:p>
          <w:p w14:paraId="7B5A945F" w14:textId="77777777" w:rsidR="00A308F0" w:rsidRDefault="00A308F0">
            <w:pPr>
              <w:rPr>
                <w:sz w:val="20"/>
                <w:szCs w:val="20"/>
              </w:rPr>
            </w:pPr>
          </w:p>
          <w:p w14:paraId="2500D6AD" w14:textId="77777777" w:rsidR="00A308F0" w:rsidRDefault="00A308F0">
            <w:pPr>
              <w:rPr>
                <w:sz w:val="20"/>
                <w:szCs w:val="20"/>
              </w:rPr>
            </w:pPr>
          </w:p>
          <w:p w14:paraId="5CDC1B56" w14:textId="77777777" w:rsidR="00A308F0" w:rsidRDefault="00A308F0">
            <w:pPr>
              <w:rPr>
                <w:sz w:val="20"/>
                <w:szCs w:val="20"/>
              </w:rPr>
            </w:pPr>
          </w:p>
          <w:p w14:paraId="2F46C003" w14:textId="48AAD5E2" w:rsidR="00A308F0" w:rsidRPr="00A308F0" w:rsidRDefault="00A308F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840FF24" w14:textId="77777777" w:rsidR="00A308F0" w:rsidRDefault="00A308F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088EFEF" w14:textId="4EA92694" w:rsidR="00A308F0" w:rsidRPr="00A308F0" w:rsidRDefault="00A30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UNDP Senior Manage</w:t>
            </w:r>
            <w:r w:rsidR="00604603">
              <w:rPr>
                <w:sz w:val="20"/>
                <w:szCs w:val="20"/>
              </w:rPr>
              <w:t>, typically the UNDP DCD, Country Director, Deputy RR or DR. QA Approver cannot be QA Assessor</w:t>
            </w:r>
          </w:p>
        </w:tc>
      </w:tr>
      <w:tr w:rsidR="00A308F0" w14:paraId="1CA32467" w14:textId="77777777" w:rsidTr="00A308F0">
        <w:tc>
          <w:tcPr>
            <w:tcW w:w="3403" w:type="dxa"/>
          </w:tcPr>
          <w:p w14:paraId="70304B4C" w14:textId="77777777" w:rsidR="00A308F0" w:rsidRDefault="00A30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 Chair</w:t>
            </w:r>
          </w:p>
          <w:p w14:paraId="43827D34" w14:textId="77777777" w:rsidR="00A308F0" w:rsidRDefault="00A308F0">
            <w:pPr>
              <w:rPr>
                <w:sz w:val="20"/>
                <w:szCs w:val="20"/>
              </w:rPr>
            </w:pPr>
          </w:p>
          <w:p w14:paraId="56AA4B99" w14:textId="77777777" w:rsidR="00A308F0" w:rsidRDefault="00A308F0">
            <w:pPr>
              <w:rPr>
                <w:sz w:val="20"/>
                <w:szCs w:val="20"/>
              </w:rPr>
            </w:pPr>
          </w:p>
          <w:p w14:paraId="02DCC6F2" w14:textId="0311A317" w:rsidR="00A308F0" w:rsidRPr="00A308F0" w:rsidRDefault="00A308F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AC8DE9B" w14:textId="77777777" w:rsidR="00A308F0" w:rsidRDefault="00A308F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710DAB5" w14:textId="77777777" w:rsidR="00A308F0" w:rsidRDefault="00A308F0">
            <w:pPr>
              <w:rPr>
                <w:sz w:val="24"/>
                <w:szCs w:val="24"/>
              </w:rPr>
            </w:pPr>
          </w:p>
        </w:tc>
      </w:tr>
    </w:tbl>
    <w:p w14:paraId="1E3020F6" w14:textId="77777777" w:rsidR="00A308F0" w:rsidRPr="00A308F0" w:rsidRDefault="00A308F0" w:rsidP="00A308F0">
      <w:pPr>
        <w:rPr>
          <w:sz w:val="24"/>
          <w:szCs w:val="24"/>
        </w:rPr>
      </w:pPr>
    </w:p>
    <w:sectPr w:rsidR="00A308F0" w:rsidRPr="00A308F0" w:rsidSect="001643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FF6E0" w14:textId="77777777" w:rsidR="005574B3" w:rsidRDefault="005574B3" w:rsidP="00AA7F5F">
      <w:pPr>
        <w:spacing w:after="0" w:line="240" w:lineRule="auto"/>
      </w:pPr>
      <w:r>
        <w:separator/>
      </w:r>
    </w:p>
  </w:endnote>
  <w:endnote w:type="continuationSeparator" w:id="0">
    <w:p w14:paraId="28CDB75F" w14:textId="77777777" w:rsidR="005574B3" w:rsidRDefault="005574B3" w:rsidP="00AA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A0E1E" w14:textId="77777777" w:rsidR="005574B3" w:rsidRDefault="005574B3" w:rsidP="00AA7F5F">
      <w:pPr>
        <w:spacing w:after="0" w:line="240" w:lineRule="auto"/>
      </w:pPr>
      <w:r>
        <w:separator/>
      </w:r>
    </w:p>
  </w:footnote>
  <w:footnote w:type="continuationSeparator" w:id="0">
    <w:p w14:paraId="26AD374E" w14:textId="77777777" w:rsidR="005574B3" w:rsidRDefault="005574B3" w:rsidP="00AA7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727ED"/>
    <w:multiLevelType w:val="hybridMultilevel"/>
    <w:tmpl w:val="B63A46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7539D"/>
    <w:multiLevelType w:val="hybridMultilevel"/>
    <w:tmpl w:val="F62A4FF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66404"/>
    <w:multiLevelType w:val="hybridMultilevel"/>
    <w:tmpl w:val="7EA6135C"/>
    <w:lvl w:ilvl="0" w:tplc="33E0A29C">
      <w:start w:val="1"/>
      <w:numFmt w:val="decimal"/>
      <w:lvlText w:val="%1)"/>
      <w:lvlJc w:val="left"/>
      <w:pPr>
        <w:ind w:left="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EA084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22896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86EFC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66430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26B6E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52019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02E8E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A3FA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0D7339"/>
    <w:multiLevelType w:val="hybridMultilevel"/>
    <w:tmpl w:val="81DE9BD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326DF"/>
    <w:multiLevelType w:val="hybridMultilevel"/>
    <w:tmpl w:val="E93EA9E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36"/>
    <w:rsid w:val="00030FCA"/>
    <w:rsid w:val="000A285A"/>
    <w:rsid w:val="000B25B7"/>
    <w:rsid w:val="000C0308"/>
    <w:rsid w:val="000E0CA3"/>
    <w:rsid w:val="00115DA1"/>
    <w:rsid w:val="00164336"/>
    <w:rsid w:val="001A28B8"/>
    <w:rsid w:val="001C7681"/>
    <w:rsid w:val="001D1253"/>
    <w:rsid w:val="00210C0C"/>
    <w:rsid w:val="00232EB3"/>
    <w:rsid w:val="00240B67"/>
    <w:rsid w:val="002B3680"/>
    <w:rsid w:val="002D5AB7"/>
    <w:rsid w:val="00356443"/>
    <w:rsid w:val="003875D7"/>
    <w:rsid w:val="003A20F5"/>
    <w:rsid w:val="003C6C3E"/>
    <w:rsid w:val="003D5E7D"/>
    <w:rsid w:val="003E0812"/>
    <w:rsid w:val="003F4422"/>
    <w:rsid w:val="00457A2A"/>
    <w:rsid w:val="004651FF"/>
    <w:rsid w:val="004825AA"/>
    <w:rsid w:val="00487BB9"/>
    <w:rsid w:val="004A72E2"/>
    <w:rsid w:val="004C78F6"/>
    <w:rsid w:val="005068D4"/>
    <w:rsid w:val="00535A14"/>
    <w:rsid w:val="005574B3"/>
    <w:rsid w:val="00557565"/>
    <w:rsid w:val="005A4418"/>
    <w:rsid w:val="005A44C9"/>
    <w:rsid w:val="005A59EC"/>
    <w:rsid w:val="00604603"/>
    <w:rsid w:val="006111C2"/>
    <w:rsid w:val="00664CF9"/>
    <w:rsid w:val="006E5BC8"/>
    <w:rsid w:val="00713787"/>
    <w:rsid w:val="00742E4F"/>
    <w:rsid w:val="007B05B4"/>
    <w:rsid w:val="008014FA"/>
    <w:rsid w:val="00803349"/>
    <w:rsid w:val="008447C6"/>
    <w:rsid w:val="00864789"/>
    <w:rsid w:val="00891FAB"/>
    <w:rsid w:val="00900643"/>
    <w:rsid w:val="00911741"/>
    <w:rsid w:val="00943DBC"/>
    <w:rsid w:val="00964B8C"/>
    <w:rsid w:val="009C09B8"/>
    <w:rsid w:val="009F2234"/>
    <w:rsid w:val="00A017D8"/>
    <w:rsid w:val="00A308F0"/>
    <w:rsid w:val="00A4187E"/>
    <w:rsid w:val="00A625D5"/>
    <w:rsid w:val="00A66453"/>
    <w:rsid w:val="00AA7F5F"/>
    <w:rsid w:val="00AB198E"/>
    <w:rsid w:val="00AB7457"/>
    <w:rsid w:val="00AF40F2"/>
    <w:rsid w:val="00B053E9"/>
    <w:rsid w:val="00B16A01"/>
    <w:rsid w:val="00B20C94"/>
    <w:rsid w:val="00B24D25"/>
    <w:rsid w:val="00B319CB"/>
    <w:rsid w:val="00B34F1D"/>
    <w:rsid w:val="00B44D8C"/>
    <w:rsid w:val="00B934D2"/>
    <w:rsid w:val="00C11266"/>
    <w:rsid w:val="00C147B8"/>
    <w:rsid w:val="00C25BCC"/>
    <w:rsid w:val="00C84AB8"/>
    <w:rsid w:val="00C969B1"/>
    <w:rsid w:val="00CF60A1"/>
    <w:rsid w:val="00D15FCC"/>
    <w:rsid w:val="00D2391A"/>
    <w:rsid w:val="00D85F94"/>
    <w:rsid w:val="00DB6BDE"/>
    <w:rsid w:val="00DF197A"/>
    <w:rsid w:val="00E33BEF"/>
    <w:rsid w:val="00E33DE4"/>
    <w:rsid w:val="00E35CFA"/>
    <w:rsid w:val="00E37DAD"/>
    <w:rsid w:val="00E5171D"/>
    <w:rsid w:val="00E610F8"/>
    <w:rsid w:val="00E97E4F"/>
    <w:rsid w:val="00E97F5B"/>
    <w:rsid w:val="00ED4592"/>
    <w:rsid w:val="00EE5D14"/>
    <w:rsid w:val="00EF754A"/>
    <w:rsid w:val="00FB228A"/>
    <w:rsid w:val="00FD16BC"/>
    <w:rsid w:val="00FD609D"/>
    <w:rsid w:val="00FE3653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3083"/>
  <w15:chartTrackingRefBased/>
  <w15:docId w15:val="{01867F73-04E7-4B76-904C-403707B0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4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37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64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37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A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F5F"/>
  </w:style>
  <w:style w:type="paragraph" w:styleId="Footer">
    <w:name w:val="footer"/>
    <w:basedOn w:val="Normal"/>
    <w:link w:val="FooterChar"/>
    <w:uiPriority w:val="99"/>
    <w:unhideWhenUsed/>
    <w:rsid w:val="00AA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F5F"/>
  </w:style>
  <w:style w:type="paragraph" w:styleId="ListParagraph">
    <w:name w:val="List Paragraph"/>
    <w:basedOn w:val="Normal"/>
    <w:uiPriority w:val="34"/>
    <w:qFormat/>
    <w:rsid w:val="00AF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2F5B5BAC834C439CF658717F866FF9" ma:contentTypeVersion="6" ma:contentTypeDescription="Create a new document." ma:contentTypeScope="" ma:versionID="6d1e15af93338d2af631f65a896c3829">
  <xsd:schema xmlns:xsd="http://www.w3.org/2001/XMLSchema" xmlns:xs="http://www.w3.org/2001/XMLSchema" xmlns:p="http://schemas.microsoft.com/office/2006/metadata/properties" xmlns:ns1="http://schemas.microsoft.com/sharepoint/v3" xmlns:ns2="f1161f5b-24a3-4c2d-bc81-44cb9325e8ee" targetNamespace="http://schemas.microsoft.com/office/2006/metadata/properties" ma:root="true" ma:fieldsID="af71d386af4596d87683475a1f5b2303" ns1:_="" ns2:_="">
    <xsd:import namespace="http://schemas.microsoft.com/sharepoint/v3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dexed="true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3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5" nillable="true" ma:displayName="Number of Likes" ma:internalName="LikesCount">
      <xsd:simpleType>
        <xsd:restriction base="dms:Unknown"/>
      </xsd:simpleType>
    </xsd:element>
    <xsd:element name="LikedBy" ma:index="16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161f5b-24a3-4c2d-bc81-44cb9325e8ee">ATLASPDC-4-156085</_dlc_DocId>
    <_dlc_DocIdUrl xmlns="f1161f5b-24a3-4c2d-bc81-44cb9325e8ee">
      <Url>https://info.undp.org/docs/pdc/_layouts/DocIdRedir.aspx?ID=ATLASPDC-4-156085</Url>
      <Description>ATLASPDC-4-156085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5931868-F7E5-4F6C-A5C8-CD91FD27D7CC}"/>
</file>

<file path=customXml/itemProps2.xml><?xml version="1.0" encoding="utf-8"?>
<ds:datastoreItem xmlns:ds="http://schemas.openxmlformats.org/officeDocument/2006/customXml" ds:itemID="{5AE9272E-AD87-48E3-9F5C-787DF9B7D9D5}"/>
</file>

<file path=customXml/itemProps3.xml><?xml version="1.0" encoding="utf-8"?>
<ds:datastoreItem xmlns:ds="http://schemas.openxmlformats.org/officeDocument/2006/customXml" ds:itemID="{66EB689E-A194-4E74-9B68-58828514D3E1}"/>
</file>

<file path=customXml/itemProps4.xml><?xml version="1.0" encoding="utf-8"?>
<ds:datastoreItem xmlns:ds="http://schemas.openxmlformats.org/officeDocument/2006/customXml" ds:itemID="{19831838-125E-4E68-8B18-974A00F71C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and Environmental Screening Procedure</dc:title>
  <dc:subject/>
  <dc:creator>Microsoft.com Team</dc:creator>
  <cp:keywords/>
  <dc:description/>
  <cp:lastModifiedBy>Yirah S Mansaray</cp:lastModifiedBy>
  <cp:revision>28</cp:revision>
  <dcterms:created xsi:type="dcterms:W3CDTF">2020-06-03T17:15:00Z</dcterms:created>
  <dcterms:modified xsi:type="dcterms:W3CDTF">2020-06-04T12:43:00Z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0x010100E82F5B5BAC834C439CF658717F866FF9</vt:lpwstr>
  </property>
  <property fmtid="{D5CDD505-2E9C-101B-9397-08002B2CF9AE}" pid="3" name="UN LanguagesTaxHTField0">
    <vt:lpwstr>English|7f98b732-4b5b-4b70-ba90-a0eff09b5d2d</vt:lpwstr>
  </property>
  <property fmtid="{D5CDD505-2E9C-101B-9397-08002B2CF9AE}" pid="4" name="o4086b1782a74105bb5269035bccc8e9">
    <vt:lpwstr>Draft|121d40a5-e62e-4d42-82e4-d6d12003de0a</vt:lpwstr>
  </property>
  <property fmtid="{D5CDD505-2E9C-101B-9397-08002B2CF9AE}" pid="5" name="TaxCatchAll">
    <vt:lpwstr>1189;#Social and Environmental Standards (SES)|7a9dffd9-0b1f-4966-9938-9886c04c9893;#1366;#GMB|2440d16e-2f1a-4708-b841-1f3b57641cce;#1;#English|7f98b732-4b5b-4b70-ba90-a0eff09b5d2d;#763;#Draft|121d40a5-e62e-4d42-82e4-d6d12003de0a</vt:lpwstr>
  </property>
  <property fmtid="{D5CDD505-2E9C-101B-9397-08002B2CF9AE}" pid="6" name="UNDPPOPPFunctionalArea">
    <vt:lpwstr>Programme and Project</vt:lpwstr>
  </property>
  <property fmtid="{D5CDD505-2E9C-101B-9397-08002B2CF9AE}" pid="7" name="gc6531b704974d528487414686b72f6f">
    <vt:lpwstr>GMB|2440d16e-2f1a-4708-b841-1f3b57641cce</vt:lpwstr>
  </property>
  <property fmtid="{D5CDD505-2E9C-101B-9397-08002B2CF9AE}" pid="8" name="Atlas Document Status">
    <vt:lpwstr>763;#Draft|121d40a5-e62e-4d42-82e4-d6d12003de0a</vt:lpwstr>
  </property>
  <property fmtid="{D5CDD505-2E9C-101B-9397-08002B2CF9AE}" pid="9" name="UNDPPublishedDate">
    <vt:filetime>2022-03-19T19:00:00Z</vt:filetime>
  </property>
  <property fmtid="{D5CDD505-2E9C-101B-9397-08002B2CF9AE}" pid="10" name="UndpClassificationLevel">
    <vt:lpwstr>Public</vt:lpwstr>
  </property>
  <property fmtid="{D5CDD505-2E9C-101B-9397-08002B2CF9AE}" pid="11" name="PDC Document Category">
    <vt:lpwstr>Project</vt:lpwstr>
  </property>
  <property fmtid="{D5CDD505-2E9C-101B-9397-08002B2CF9AE}" pid="12" name="UN Languages">
    <vt:lpwstr>1;#English|7f98b732-4b5b-4b70-ba90-a0eff09b5d2d</vt:lpwstr>
  </property>
  <property fmtid="{D5CDD505-2E9C-101B-9397-08002B2CF9AE}" pid="13" name="Operating Unit0">
    <vt:lpwstr>1366;#GMB|2440d16e-2f1a-4708-b841-1f3b57641cce</vt:lpwstr>
  </property>
  <property fmtid="{D5CDD505-2E9C-101B-9397-08002B2CF9AE}" pid="14" name="_dlc_DocIdItemGuid">
    <vt:lpwstr>b9503324-1e4a-4da7-bddd-31e35675d8e9</vt:lpwstr>
  </property>
  <property fmtid="{D5CDD505-2E9C-101B-9397-08002B2CF9AE}" pid="15" name="Atlas Document Type">
    <vt:lpwstr>1189;#Social and Environmental Standards (SES)|7a9dffd9-0b1f-4966-9938-9886c04c9893</vt:lpwstr>
  </property>
  <property fmtid="{D5CDD505-2E9C-101B-9397-08002B2CF9AE}" pid="16" name="UndpProjectNo">
    <vt:lpwstr>128409</vt:lpwstr>
  </property>
  <property fmtid="{D5CDD505-2E9C-101B-9397-08002B2CF9AE}" pid="17" name="Document Coverage Period End Date">
    <vt:filetime>2022-12-31T06:00:00Z</vt:filetime>
  </property>
  <property fmtid="{D5CDD505-2E9C-101B-9397-08002B2CF9AE}" pid="18" name="idff2b682fce4d0680503cd9036a3260">
    <vt:lpwstr>Social and Environmental Standards (SES)|7a9dffd9-0b1f-4966-9938-9886c04c9893</vt:lpwstr>
  </property>
  <property fmtid="{D5CDD505-2E9C-101B-9397-08002B2CF9AE}" pid="19" name="UNDPCountry">
    <vt:lpwstr/>
  </property>
  <property fmtid="{D5CDD505-2E9C-101B-9397-08002B2CF9AE}" pid="20" name="UNDPFocusAreasTaxHTField0">
    <vt:lpwstr/>
  </property>
  <property fmtid="{D5CDD505-2E9C-101B-9397-08002B2CF9AE}" pid="21" name="UndpOUCode">
    <vt:lpwstr/>
  </property>
  <property fmtid="{D5CDD505-2E9C-101B-9397-08002B2CF9AE}" pid="23" name="Outcome1">
    <vt:lpwstr/>
  </property>
  <property fmtid="{D5CDD505-2E9C-101B-9397-08002B2CF9AE}" pid="24" name="UNDPSummary">
    <vt:lpwstr/>
  </property>
  <property fmtid="{D5CDD505-2E9C-101B-9397-08002B2CF9AE}" pid="25" name="UNDPCountryTaxHTField0">
    <vt:lpwstr/>
  </property>
  <property fmtid="{D5CDD505-2E9C-101B-9397-08002B2CF9AE}" pid="26" name="DocumentSetDescription">
    <vt:lpwstr/>
  </property>
  <property fmtid="{D5CDD505-2E9C-101B-9397-08002B2CF9AE}" pid="27" name="c4e2ab2cc9354bbf9064eeb465a566ea">
    <vt:lpwstr/>
  </property>
  <property fmtid="{D5CDD505-2E9C-101B-9397-08002B2CF9AE}" pid="28" name="UnitTaxHTField0">
    <vt:lpwstr/>
  </property>
  <property fmtid="{D5CDD505-2E9C-101B-9397-08002B2CF9AE}" pid="29" name="Project Manager">
    <vt:lpwstr/>
  </property>
  <property fmtid="{D5CDD505-2E9C-101B-9397-08002B2CF9AE}" pid="30" name="_Publisher">
    <vt:lpwstr/>
  </property>
  <property fmtid="{D5CDD505-2E9C-101B-9397-08002B2CF9AE}" pid="31" name="UndpDocStatus">
    <vt:lpwstr/>
  </property>
  <property fmtid="{D5CDD505-2E9C-101B-9397-08002B2CF9AE}" pid="32" name="Project Number">
    <vt:lpwstr/>
  </property>
  <property fmtid="{D5CDD505-2E9C-101B-9397-08002B2CF9AE}" pid="33" name="UNDPDocumentCategoryTaxHTField0">
    <vt:lpwstr/>
  </property>
  <property fmtid="{D5CDD505-2E9C-101B-9397-08002B2CF9AE}" pid="34" name="UndpDocFormat">
    <vt:lpwstr/>
  </property>
  <property fmtid="{D5CDD505-2E9C-101B-9397-08002B2CF9AE}" pid="35" name="UndpUnitMM">
    <vt:lpwstr/>
  </property>
  <property fmtid="{D5CDD505-2E9C-101B-9397-08002B2CF9AE}" pid="36" name="eRegFilingCodeMM">
    <vt:lpwstr/>
  </property>
  <property fmtid="{D5CDD505-2E9C-101B-9397-08002B2CF9AE}" pid="37" name="Unit">
    <vt:lpwstr/>
  </property>
  <property fmtid="{D5CDD505-2E9C-101B-9397-08002B2CF9AE}" pid="38" name="UndpIsTemplate">
    <vt:lpwstr/>
  </property>
  <property fmtid="{D5CDD505-2E9C-101B-9397-08002B2CF9AE}" pid="39" name="UNDPFocusAreas">
    <vt:lpwstr/>
  </property>
  <property fmtid="{D5CDD505-2E9C-101B-9397-08002B2CF9AE}" pid="40" name="UndpDocTypeMMTaxHTField0">
    <vt:lpwstr/>
  </property>
  <property fmtid="{D5CDD505-2E9C-101B-9397-08002B2CF9AE}" pid="41" name="UndpDocTypeMM">
    <vt:lpwstr/>
  </property>
  <property fmtid="{D5CDD505-2E9C-101B-9397-08002B2CF9AE}" pid="42" name="URL">
    <vt:lpwstr/>
  </property>
  <property fmtid="{D5CDD505-2E9C-101B-9397-08002B2CF9AE}" pid="43" name="UNDPDocumentCategory">
    <vt:lpwstr/>
  </property>
  <property fmtid="{D5CDD505-2E9C-101B-9397-08002B2CF9AE}" pid="44" name="b6db62fdefd74bd188b0c1cc54de5bcf">
    <vt:lpwstr/>
  </property>
  <property fmtid="{D5CDD505-2E9C-101B-9397-08002B2CF9AE}" pid="45" name="UndpDocID">
    <vt:lpwstr/>
  </property>
</Properties>
</file>