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9F7D" w14:textId="4A889829" w:rsidR="007A7720" w:rsidRPr="00322D03" w:rsidRDefault="002F7809" w:rsidP="00322D03">
      <w:pPr>
        <w:spacing w:after="120" w:line="276" w:lineRule="auto"/>
        <w:jc w:val="both"/>
        <w:rPr>
          <w:rFonts w:ascii="Calibri" w:eastAsia="Times New Roman" w:hAnsi="Calibri" w:cs="Times New Roman"/>
          <w:b/>
          <w:bCs/>
          <w:smallCaps/>
          <w:sz w:val="24"/>
          <w:lang w:val="en-GB" w:eastAsia="en-US"/>
        </w:rPr>
      </w:pPr>
      <w:bookmarkStart w:id="0" w:name="_Toc404528201"/>
      <w:r w:rsidRPr="002F7809">
        <w:rPr>
          <w:rFonts w:ascii="Calibri" w:eastAsia="Times New Roman" w:hAnsi="Calibri" w:cs="Times New Roman"/>
          <w:b/>
          <w:bCs/>
          <w:smallCaps/>
          <w:sz w:val="24"/>
          <w:lang w:val="en-GB" w:eastAsia="en-US"/>
        </w:rPr>
        <w:t>Annex 2 – Social and Environmental S</w:t>
      </w:r>
      <w:bookmarkStart w:id="1" w:name="_GoBack"/>
      <w:bookmarkEnd w:id="1"/>
      <w:r w:rsidRPr="002F7809">
        <w:rPr>
          <w:rFonts w:ascii="Calibri" w:eastAsia="Times New Roman" w:hAnsi="Calibri" w:cs="Times New Roman"/>
          <w:b/>
          <w:bCs/>
          <w:smallCaps/>
          <w:sz w:val="24"/>
          <w:lang w:val="en-GB" w:eastAsia="en-US"/>
        </w:rPr>
        <w:t>creen</w:t>
      </w:r>
      <w:r>
        <w:rPr>
          <w:rFonts w:ascii="Calibri" w:eastAsia="Times New Roman" w:hAnsi="Calibri" w:cs="Times New Roman"/>
          <w:b/>
          <w:bCs/>
          <w:smallCaps/>
          <w:sz w:val="24"/>
          <w:lang w:val="en-GB" w:eastAsia="en-US"/>
        </w:rPr>
        <w:t>ing template</w:t>
      </w:r>
      <w:bookmarkEnd w:id="0"/>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4380C41D">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4380C41D">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178C229A" w:rsidR="00DD330A" w:rsidRPr="00ED6B4E" w:rsidRDefault="7B963450" w:rsidP="0084274F">
            <w:pPr>
              <w:rPr>
                <w:b/>
                <w:bCs/>
                <w:sz w:val="18"/>
                <w:szCs w:val="18"/>
              </w:rPr>
            </w:pPr>
            <w:r w:rsidRPr="00ED6B4E">
              <w:rPr>
                <w:b/>
                <w:bCs/>
                <w:sz w:val="18"/>
                <w:szCs w:val="18"/>
              </w:rPr>
              <w:t>Global Programme – Disaster Risk Reduction, Recovery and Resilience</w:t>
            </w:r>
          </w:p>
        </w:tc>
      </w:tr>
      <w:tr w:rsidR="00DD330A" w:rsidRPr="00450804" w14:paraId="65CF131F" w14:textId="77777777" w:rsidTr="4380C41D">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39666C70" w:rsidR="00DD330A" w:rsidRPr="00450804" w:rsidRDefault="00AD4DC7" w:rsidP="0084274F">
            <w:pPr>
              <w:rPr>
                <w:sz w:val="18"/>
                <w:szCs w:val="18"/>
              </w:rPr>
            </w:pPr>
            <w:r w:rsidRPr="00AD4DC7">
              <w:rPr>
                <w:sz w:val="18"/>
                <w:szCs w:val="18"/>
                <w:highlight w:val="yellow"/>
              </w:rPr>
              <w:t>xxx</w:t>
            </w:r>
          </w:p>
        </w:tc>
      </w:tr>
      <w:tr w:rsidR="00DD330A" w:rsidRPr="00450804" w14:paraId="463A7608" w14:textId="77777777" w:rsidTr="4380C41D">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755A119C" w:rsidR="00DD330A" w:rsidRPr="00450804" w:rsidRDefault="198F0E3B" w:rsidP="4380C41D">
            <w:pPr>
              <w:spacing w:line="259" w:lineRule="auto"/>
            </w:pPr>
            <w:r w:rsidRPr="4380C41D">
              <w:rPr>
                <w:sz w:val="18"/>
                <w:szCs w:val="18"/>
              </w:rPr>
              <w:t>Global</w:t>
            </w:r>
          </w:p>
        </w:tc>
      </w:tr>
    </w:tbl>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4380C41D">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4380C41D">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4380C41D">
        <w:tc>
          <w:tcPr>
            <w:tcW w:w="13248" w:type="dxa"/>
          </w:tcPr>
          <w:p w14:paraId="1889EE94" w14:textId="08678472" w:rsidR="00414FBA" w:rsidRPr="00ED6B4E" w:rsidRDefault="2533C5C3" w:rsidP="4380C41D">
            <w:pPr>
              <w:keepNext/>
              <w:keepLines/>
              <w:tabs>
                <w:tab w:val="left" w:pos="432"/>
              </w:tabs>
              <w:spacing w:before="60" w:after="60"/>
              <w:jc w:val="both"/>
              <w:rPr>
                <w:szCs w:val="20"/>
              </w:rPr>
            </w:pPr>
            <w:r w:rsidRPr="00ED6B4E">
              <w:rPr>
                <w:rFonts w:ascii="Calibri" w:eastAsia="Calibri" w:hAnsi="Calibri" w:cs="Calibri"/>
                <w:szCs w:val="20"/>
              </w:rPr>
              <w:t xml:space="preserve">The overarching goal of the Program is to make countries and communities resilient to disaster and climate risks. Specific focus will be on countries which are facing heightened exposure and vulnerability and on communities whose lives, livelihoods and socio-economic assets are coming under severe stress due to increasing frequency, incidence and magnitude of impacts. As a result, more and more people are either slipping back or getting entrenched </w:t>
            </w:r>
            <w:r w:rsidR="00980E0D" w:rsidRPr="00ED6B4E">
              <w:rPr>
                <w:rFonts w:ascii="Calibri" w:eastAsia="Calibri" w:hAnsi="Calibri" w:cs="Calibri"/>
                <w:szCs w:val="20"/>
              </w:rPr>
              <w:t xml:space="preserve">in </w:t>
            </w:r>
            <w:r w:rsidRPr="00ED6B4E">
              <w:rPr>
                <w:rFonts w:ascii="Calibri" w:eastAsia="Calibri" w:hAnsi="Calibri" w:cs="Calibri"/>
                <w:szCs w:val="20"/>
              </w:rPr>
              <w:t xml:space="preserve">levels of poverty, increasing marginalization, inequality and denial of access to basic human development and public welfare services. With its aim to reduce and mitigate the disaster and climate risks faced by at risk countries and communities, the Program seeks to </w:t>
            </w:r>
            <w:r w:rsidR="00B04DF1" w:rsidRPr="00ED6B4E">
              <w:rPr>
                <w:rFonts w:ascii="Calibri" w:eastAsia="Calibri" w:hAnsi="Calibri" w:cs="Calibri"/>
                <w:szCs w:val="20"/>
              </w:rPr>
              <w:t xml:space="preserve">build the resilience </w:t>
            </w:r>
            <w:r w:rsidRPr="00ED6B4E">
              <w:rPr>
                <w:rFonts w:ascii="Calibri" w:eastAsia="Calibri" w:hAnsi="Calibri" w:cs="Calibri"/>
                <w:szCs w:val="20"/>
              </w:rPr>
              <w:t xml:space="preserve">for the vulnerable segments of society through strengthening risk governance systems and capacities at all administrative levels, focus on community-based risk management, and other interventions. In that sense, the Program upholds and mainstreams the core humanitarian principles of impartiality and neutrality across its activities and seeks to secure the rights of affected communities, </w:t>
            </w:r>
            <w:proofErr w:type="gramStart"/>
            <w:r w:rsidRPr="00ED6B4E">
              <w:rPr>
                <w:rFonts w:ascii="Calibri" w:eastAsia="Calibri" w:hAnsi="Calibri" w:cs="Calibri"/>
                <w:szCs w:val="20"/>
              </w:rPr>
              <w:t>in particular the</w:t>
            </w:r>
            <w:proofErr w:type="gramEnd"/>
            <w:r w:rsidRPr="00ED6B4E">
              <w:rPr>
                <w:rFonts w:ascii="Calibri" w:eastAsia="Calibri" w:hAnsi="Calibri" w:cs="Calibri"/>
                <w:szCs w:val="20"/>
              </w:rPr>
              <w:t xml:space="preserve"> most vulnerable through participatory approaches and setting-up accountability mechanisms.  </w:t>
            </w:r>
          </w:p>
        </w:tc>
      </w:tr>
      <w:tr w:rsidR="00414FBA" w:rsidRPr="003843AE" w14:paraId="068C0817" w14:textId="77777777" w:rsidTr="4380C41D">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4380C41D">
        <w:tc>
          <w:tcPr>
            <w:tcW w:w="13248" w:type="dxa"/>
          </w:tcPr>
          <w:p w14:paraId="658A4F08" w14:textId="3FA44FC8" w:rsidR="00414FBA" w:rsidRPr="00ED6B4E" w:rsidRDefault="300A3FE2" w:rsidP="4380C41D">
            <w:pPr>
              <w:tabs>
                <w:tab w:val="left" w:pos="432"/>
              </w:tabs>
              <w:spacing w:before="60" w:after="60"/>
              <w:jc w:val="both"/>
              <w:rPr>
                <w:szCs w:val="20"/>
              </w:rPr>
            </w:pPr>
            <w:r w:rsidRPr="00ED6B4E">
              <w:rPr>
                <w:rFonts w:ascii="Calibri" w:eastAsia="Calibri" w:hAnsi="Calibri" w:cs="Calibri"/>
                <w:szCs w:val="20"/>
              </w:rPr>
              <w:t xml:space="preserve">Aligning with the corporate Gender Equality Strategy and adopting a whole-of-society and whole-of-government approach, the Program outputs and activities will invariably have a community-centric orientation and will be implemented across all levels of society with special attention being accorded to vulnerable segments like women, children, elderly, </w:t>
            </w:r>
            <w:r w:rsidR="008C42DE" w:rsidRPr="00ED6B4E">
              <w:rPr>
                <w:rFonts w:ascii="Calibri" w:eastAsia="Calibri" w:hAnsi="Calibri" w:cs="Calibri"/>
                <w:szCs w:val="20"/>
              </w:rPr>
              <w:t xml:space="preserve">persons with </w:t>
            </w:r>
            <w:proofErr w:type="spellStart"/>
            <w:r w:rsidR="008C42DE" w:rsidRPr="00ED6B4E">
              <w:rPr>
                <w:rFonts w:ascii="Calibri" w:eastAsia="Calibri" w:hAnsi="Calibri" w:cs="Calibri"/>
                <w:szCs w:val="20"/>
              </w:rPr>
              <w:t>disabilities</w:t>
            </w:r>
            <w:r w:rsidRPr="00ED6B4E">
              <w:rPr>
                <w:rFonts w:ascii="Calibri" w:eastAsia="Calibri" w:hAnsi="Calibri" w:cs="Calibri"/>
                <w:szCs w:val="20"/>
              </w:rPr>
              <w:t>etc</w:t>
            </w:r>
            <w:proofErr w:type="spellEnd"/>
            <w:r w:rsidRPr="00ED6B4E">
              <w:rPr>
                <w:rFonts w:ascii="Calibri" w:eastAsia="Calibri" w:hAnsi="Calibri" w:cs="Calibri"/>
                <w:szCs w:val="20"/>
              </w:rPr>
              <w:t xml:space="preserve">. The UNSDG Guidance Note on ‘Leaving No One Behind’ identifies disaster risk as one of the factors for impeding access of women to developmental services. To overcome this challenge, the Program will foster active engagement of women in their differentiated capacities to promote their empowerment through participation in risk management and resilience building activities and capacity building. While all Outputs have a dedicated gender-related focus, the community-based DRM activities under Output-1 emphasize women’s empowerment, gender equity and inclusiveness, Output-2 provides for gender and sex-disaggregated data to assess disaster impacts, Output-3 seeks to implement gender-response recovery interventions and Output-4 will enable communities to understand and respond to early warnings. In short, all solutions will be gender-responsive, and inclusive recognizing the need to address special needs of people with disabilities, elderly, children and </w:t>
            </w:r>
            <w:proofErr w:type="gramStart"/>
            <w:r w:rsidRPr="00ED6B4E">
              <w:rPr>
                <w:rFonts w:ascii="Calibri" w:eastAsia="Calibri" w:hAnsi="Calibri" w:cs="Calibri"/>
                <w:szCs w:val="20"/>
              </w:rPr>
              <w:t>other</w:t>
            </w:r>
            <w:r w:rsidR="007666D7" w:rsidRPr="00ED6B4E">
              <w:rPr>
                <w:rFonts w:ascii="Calibri" w:eastAsia="Calibri" w:hAnsi="Calibri" w:cs="Calibri"/>
                <w:szCs w:val="20"/>
              </w:rPr>
              <w:t>s</w:t>
            </w:r>
            <w:proofErr w:type="gramEnd"/>
            <w:r w:rsidR="007666D7" w:rsidRPr="00ED6B4E">
              <w:rPr>
                <w:rFonts w:ascii="Calibri" w:eastAsia="Calibri" w:hAnsi="Calibri" w:cs="Calibri"/>
                <w:szCs w:val="20"/>
              </w:rPr>
              <w:t xml:space="preserve"> groups</w:t>
            </w:r>
            <w:r w:rsidRPr="00ED6B4E">
              <w:rPr>
                <w:rFonts w:ascii="Calibri" w:eastAsia="Calibri" w:hAnsi="Calibri" w:cs="Calibri"/>
                <w:szCs w:val="20"/>
              </w:rPr>
              <w:t xml:space="preserve">, as per UNDP’s policy and lessons learned. </w:t>
            </w:r>
          </w:p>
        </w:tc>
      </w:tr>
      <w:tr w:rsidR="00414FBA" w:rsidRPr="00CF674A" w14:paraId="4FEAFDBF" w14:textId="77777777" w:rsidTr="4380C41D">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72D3C7EA" w14:textId="77777777" w:rsidTr="4380C41D">
        <w:tc>
          <w:tcPr>
            <w:tcW w:w="13248" w:type="dxa"/>
          </w:tcPr>
          <w:p w14:paraId="4CD3C25A" w14:textId="18EE7CD7" w:rsidR="00414FBA" w:rsidRPr="008C711F" w:rsidRDefault="7D986C57" w:rsidP="4380C41D">
            <w:pPr>
              <w:tabs>
                <w:tab w:val="left" w:pos="432"/>
              </w:tabs>
              <w:spacing w:before="60" w:after="60"/>
              <w:jc w:val="both"/>
            </w:pPr>
            <w:r w:rsidRPr="00ED6B4E">
              <w:rPr>
                <w:rFonts w:ascii="Calibri" w:eastAsia="Calibri" w:hAnsi="Calibri" w:cs="Calibri"/>
                <w:szCs w:val="20"/>
              </w:rPr>
              <w:t>Natural resource management and environmental sustainability has been recognized as a key risk mitigation and recovery measure. UNDP/DRT is actively adopting eco-system based DRR approaches and implementing these as part of its programmatic interventions to reduce and mitigate the impacts of disasters while also promoting communities’ access to these resources as a key resilience building measure. The Program envisages close collaboration with UNDP’s climate adaptation (DRR-CCA integration), climate mitigation (integrating DRR into NDCs), energy and nature-based solutions team to foster joint policy, strategy and programmatic initiatives. National, sub-national and community capacities will be strengthened to mainstream environment and natural resource management as a key component of building resilience through integration in policy, legislative, institutional and capacity building frameworks. The community-level activities are proposed to be informed by environmental sustainability criteria. Strengthening natural resources and identifying nature-based risk mitigation measures will directly contribute towards regenerating ecosystems and enhance environmental sustainability.</w:t>
            </w:r>
          </w:p>
        </w:tc>
      </w:tr>
    </w:tbl>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4380C41D">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33B9EFD6" w:rsidR="002A2BCE" w:rsidRDefault="002A2BCE" w:rsidP="002A2BCE">
            <w:pPr>
              <w:keepNext/>
              <w:tabs>
                <w:tab w:val="left" w:pos="101"/>
              </w:tabs>
              <w:ind w:right="252" w:firstLine="11"/>
              <w:rPr>
                <w:b/>
                <w:szCs w:val="20"/>
              </w:rPr>
            </w:pP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7F32BC8E" w:rsidR="00EA61FC" w:rsidRDefault="00EA61FC" w:rsidP="008C711F">
            <w:pPr>
              <w:keepNext/>
              <w:tabs>
                <w:tab w:val="left" w:pos="432"/>
              </w:tabs>
              <w:rPr>
                <w:b/>
                <w:szCs w:val="20"/>
              </w:rPr>
            </w:pP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4380C41D">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4380C41D">
        <w:tc>
          <w:tcPr>
            <w:tcW w:w="3510" w:type="dxa"/>
            <w:vMerge w:val="restart"/>
            <w:vAlign w:val="center"/>
          </w:tcPr>
          <w:p w14:paraId="5C2A8FF4" w14:textId="2E79F973" w:rsidR="00C055DB" w:rsidRPr="009B4F2C" w:rsidRDefault="497FE6FD" w:rsidP="4380C41D">
            <w:pPr>
              <w:spacing w:line="259" w:lineRule="auto"/>
            </w:pPr>
            <w:r w:rsidRPr="4380C41D">
              <w:rPr>
                <w:sz w:val="18"/>
                <w:szCs w:val="18"/>
              </w:rPr>
              <w:t>No Risks Identified</w:t>
            </w:r>
          </w:p>
        </w:tc>
        <w:tc>
          <w:tcPr>
            <w:tcW w:w="1080" w:type="dxa"/>
          </w:tcPr>
          <w:p w14:paraId="67E15CE1" w14:textId="77777777" w:rsidR="00C055DB" w:rsidRPr="00C86F7C" w:rsidRDefault="00C055DB" w:rsidP="0084274F">
            <w:pPr>
              <w:rPr>
                <w:rFonts w:cs="Minion Pro"/>
                <w:sz w:val="18"/>
                <w:szCs w:val="18"/>
              </w:rPr>
            </w:pPr>
            <w:r w:rsidRPr="00C86F7C">
              <w:rPr>
                <w:rFonts w:cs="Minion Pro"/>
                <w:sz w:val="18"/>
                <w:szCs w:val="18"/>
              </w:rPr>
              <w:t xml:space="preserve">I = </w:t>
            </w:r>
          </w:p>
          <w:p w14:paraId="4BB50A64" w14:textId="77777777" w:rsidR="00C055DB" w:rsidRPr="00C86F7C" w:rsidRDefault="00C055DB" w:rsidP="0084274F">
            <w:pPr>
              <w:rPr>
                <w:rFonts w:cs="Minion Pro"/>
                <w:sz w:val="18"/>
                <w:szCs w:val="18"/>
              </w:rPr>
            </w:pPr>
            <w:r w:rsidRPr="00C86F7C">
              <w:rPr>
                <w:rFonts w:cs="Minion Pro"/>
                <w:sz w:val="18"/>
                <w:szCs w:val="18"/>
              </w:rPr>
              <w:t>P =</w:t>
            </w:r>
          </w:p>
        </w:tc>
        <w:tc>
          <w:tcPr>
            <w:tcW w:w="1170" w:type="dxa"/>
          </w:tcPr>
          <w:p w14:paraId="7B5C7252" w14:textId="77777777" w:rsidR="00C055DB" w:rsidRPr="00372083" w:rsidRDefault="00C055DB" w:rsidP="0084274F">
            <w:pPr>
              <w:rPr>
                <w:b/>
                <w:sz w:val="18"/>
                <w:szCs w:val="18"/>
              </w:rPr>
            </w:pPr>
          </w:p>
        </w:tc>
        <w:tc>
          <w:tcPr>
            <w:tcW w:w="2610" w:type="dxa"/>
            <w:gridSpan w:val="2"/>
          </w:tcPr>
          <w:p w14:paraId="249AA562" w14:textId="77777777" w:rsidR="00C055DB" w:rsidRPr="00372083" w:rsidRDefault="00C055DB" w:rsidP="0084274F">
            <w:pPr>
              <w:rPr>
                <w:b/>
                <w:sz w:val="18"/>
                <w:szCs w:val="18"/>
              </w:rPr>
            </w:pPr>
          </w:p>
        </w:tc>
        <w:tc>
          <w:tcPr>
            <w:tcW w:w="4770" w:type="dxa"/>
            <w:gridSpan w:val="2"/>
          </w:tcPr>
          <w:p w14:paraId="5BC7622A" w14:textId="77777777" w:rsidR="00C055DB" w:rsidRPr="00372083" w:rsidRDefault="00C055DB" w:rsidP="0084274F">
            <w:pPr>
              <w:rPr>
                <w:b/>
                <w:sz w:val="18"/>
                <w:szCs w:val="18"/>
              </w:rPr>
            </w:pPr>
          </w:p>
        </w:tc>
      </w:tr>
      <w:tr w:rsidR="00C055DB" w14:paraId="112CD22E" w14:textId="77777777" w:rsidTr="4380C41D">
        <w:tc>
          <w:tcPr>
            <w:tcW w:w="3510" w:type="dxa"/>
            <w:vMerge/>
            <w:vAlign w:val="center"/>
          </w:tcPr>
          <w:p w14:paraId="290A1806" w14:textId="77777777" w:rsidR="00C055DB" w:rsidRPr="00372083" w:rsidRDefault="00C055DB" w:rsidP="0084274F">
            <w:pPr>
              <w:rPr>
                <w:b/>
                <w:sz w:val="18"/>
                <w:szCs w:val="18"/>
              </w:rPr>
            </w:pPr>
            <w:r>
              <w:rPr>
                <w:sz w:val="18"/>
                <w:szCs w:val="18"/>
              </w:rPr>
              <w:t>Risk 2 ….</w:t>
            </w:r>
          </w:p>
        </w:tc>
        <w:tc>
          <w:tcPr>
            <w:tcW w:w="1080" w:type="dxa"/>
          </w:tcPr>
          <w:p w14:paraId="0348661D" w14:textId="77777777" w:rsidR="00C055DB" w:rsidRPr="00C86F7C" w:rsidRDefault="00C055DB" w:rsidP="0084274F">
            <w:pPr>
              <w:rPr>
                <w:rFonts w:cs="Minion Pro"/>
                <w:sz w:val="18"/>
                <w:szCs w:val="18"/>
              </w:rPr>
            </w:pPr>
            <w:r w:rsidRPr="00C86F7C">
              <w:rPr>
                <w:rFonts w:cs="Minion Pro"/>
                <w:sz w:val="18"/>
                <w:szCs w:val="18"/>
              </w:rPr>
              <w:t xml:space="preserve">I = </w:t>
            </w:r>
          </w:p>
          <w:p w14:paraId="0B822867"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1B549DF0" w14:textId="77777777" w:rsidR="00C055DB" w:rsidRPr="00372083" w:rsidRDefault="00C055DB" w:rsidP="0084274F">
            <w:pPr>
              <w:rPr>
                <w:b/>
                <w:sz w:val="18"/>
                <w:szCs w:val="18"/>
              </w:rPr>
            </w:pPr>
          </w:p>
        </w:tc>
        <w:tc>
          <w:tcPr>
            <w:tcW w:w="2610" w:type="dxa"/>
            <w:gridSpan w:val="2"/>
          </w:tcPr>
          <w:p w14:paraId="183BB23C" w14:textId="77777777" w:rsidR="00C055DB" w:rsidRPr="00372083" w:rsidRDefault="00C055DB" w:rsidP="0084274F">
            <w:pPr>
              <w:rPr>
                <w:b/>
                <w:sz w:val="18"/>
                <w:szCs w:val="18"/>
              </w:rPr>
            </w:pPr>
          </w:p>
        </w:tc>
        <w:tc>
          <w:tcPr>
            <w:tcW w:w="4770" w:type="dxa"/>
            <w:gridSpan w:val="2"/>
          </w:tcPr>
          <w:p w14:paraId="453158EA" w14:textId="77777777" w:rsidR="00C055DB" w:rsidRPr="00372083" w:rsidRDefault="00C055DB" w:rsidP="0084274F">
            <w:pPr>
              <w:rPr>
                <w:b/>
                <w:sz w:val="18"/>
                <w:szCs w:val="18"/>
              </w:rPr>
            </w:pPr>
          </w:p>
        </w:tc>
      </w:tr>
      <w:tr w:rsidR="00C055DB" w14:paraId="112B2C44" w14:textId="77777777" w:rsidTr="4380C41D">
        <w:tc>
          <w:tcPr>
            <w:tcW w:w="3510" w:type="dxa"/>
            <w:vMerge/>
            <w:vAlign w:val="center"/>
          </w:tcPr>
          <w:p w14:paraId="7F87DD50"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77777777" w:rsidR="00C055DB" w:rsidRPr="00C86F7C" w:rsidRDefault="00C055DB" w:rsidP="0084274F">
            <w:pPr>
              <w:rPr>
                <w:rFonts w:cs="Minion Pro"/>
                <w:sz w:val="18"/>
                <w:szCs w:val="18"/>
              </w:rPr>
            </w:pPr>
            <w:r w:rsidRPr="00C86F7C">
              <w:rPr>
                <w:rFonts w:cs="Minion Pro"/>
                <w:sz w:val="18"/>
                <w:szCs w:val="18"/>
              </w:rPr>
              <w:t xml:space="preserve">I = </w:t>
            </w:r>
          </w:p>
          <w:p w14:paraId="7B71B1BD"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3BCA93A" w14:textId="77777777" w:rsidR="00C055DB" w:rsidRPr="00372083" w:rsidRDefault="00C055DB" w:rsidP="0084274F">
            <w:pPr>
              <w:rPr>
                <w:b/>
                <w:sz w:val="18"/>
                <w:szCs w:val="18"/>
              </w:rPr>
            </w:pP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4380C41D">
        <w:tc>
          <w:tcPr>
            <w:tcW w:w="3510" w:type="dxa"/>
            <w:vMerge/>
            <w:vAlign w:val="center"/>
          </w:tcPr>
          <w:p w14:paraId="404DE640"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0786EBE9" w14:textId="77777777" w:rsidR="00C055DB" w:rsidRPr="00C86F7C" w:rsidRDefault="00C055DB" w:rsidP="0084274F">
            <w:pPr>
              <w:rPr>
                <w:rFonts w:cs="Minion Pro"/>
                <w:sz w:val="18"/>
                <w:szCs w:val="18"/>
              </w:rPr>
            </w:pPr>
            <w:r w:rsidRPr="00C86F7C">
              <w:rPr>
                <w:rFonts w:cs="Minion Pro"/>
                <w:sz w:val="18"/>
                <w:szCs w:val="18"/>
              </w:rPr>
              <w:t xml:space="preserve">I = </w:t>
            </w:r>
          </w:p>
          <w:p w14:paraId="5E150822"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67E5ECEC" w14:textId="77777777" w:rsidR="00C055DB" w:rsidRPr="00372083" w:rsidRDefault="00C055DB" w:rsidP="0084274F">
            <w:pPr>
              <w:rPr>
                <w:b/>
                <w:sz w:val="18"/>
                <w:szCs w:val="18"/>
              </w:rPr>
            </w:pPr>
          </w:p>
        </w:tc>
        <w:tc>
          <w:tcPr>
            <w:tcW w:w="2610"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2F6AE21E" w14:textId="77777777" w:rsidTr="00ED6B4E">
        <w:trPr>
          <w:trHeight w:val="41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4380C41D">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4380C41D">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49AC7963" w:rsidR="00C055DB" w:rsidRPr="00372083" w:rsidRDefault="7F727F3B" w:rsidP="4380C41D">
            <w:pPr>
              <w:ind w:left="-2230" w:firstLine="2230"/>
              <w:rPr>
                <w:rFonts w:ascii="Segoe UI Symbol" w:hAnsi="Segoe UI Symbol" w:cs="Segoe UI Symbol"/>
              </w:rPr>
            </w:pPr>
            <w:r w:rsidRPr="4380C41D">
              <w:rPr>
                <w:rFonts w:ascii="Segoe UI Symbol" w:hAnsi="Segoe UI Symbol" w:cs="Segoe UI Symbol"/>
                <w:b/>
                <w:bCs/>
              </w:rPr>
              <w:t>X</w:t>
            </w:r>
          </w:p>
        </w:tc>
        <w:tc>
          <w:tcPr>
            <w:tcW w:w="4747" w:type="dxa"/>
          </w:tcPr>
          <w:p w14:paraId="6C195903" w14:textId="4694D950" w:rsidR="00C055DB" w:rsidRPr="004B4B45" w:rsidRDefault="004B4B45" w:rsidP="00C055DB">
            <w:pPr>
              <w:rPr>
                <w:bCs/>
                <w:sz w:val="18"/>
                <w:szCs w:val="18"/>
              </w:rPr>
            </w:pPr>
            <w:r w:rsidRPr="004B4B45">
              <w:rPr>
                <w:bCs/>
                <w:sz w:val="18"/>
                <w:szCs w:val="18"/>
              </w:rPr>
              <w:t xml:space="preserve">No potential adverse impact is either evident and identified at this </w:t>
            </w:r>
            <w:proofErr w:type="spellStart"/>
            <w:proofErr w:type="gramStart"/>
            <w:r w:rsidRPr="004B4B45">
              <w:rPr>
                <w:bCs/>
                <w:sz w:val="18"/>
                <w:szCs w:val="18"/>
              </w:rPr>
              <w:t>stage.</w:t>
            </w:r>
            <w:r w:rsidR="00B83263">
              <w:rPr>
                <w:bCs/>
                <w:sz w:val="18"/>
                <w:szCs w:val="18"/>
              </w:rPr>
              <w:t>Due</w:t>
            </w:r>
            <w:proofErr w:type="spellEnd"/>
            <w:proofErr w:type="gramEnd"/>
            <w:r w:rsidR="00B83263">
              <w:rPr>
                <w:bCs/>
                <w:sz w:val="18"/>
                <w:szCs w:val="18"/>
              </w:rPr>
              <w:t xml:space="preserve"> to the</w:t>
            </w:r>
            <w:r w:rsidRPr="004B4B45">
              <w:rPr>
                <w:bCs/>
                <w:sz w:val="18"/>
                <w:szCs w:val="18"/>
              </w:rPr>
              <w:t xml:space="preserve"> fact that</w:t>
            </w:r>
            <w:r w:rsidR="00B83263">
              <w:rPr>
                <w:bCs/>
                <w:sz w:val="18"/>
                <w:szCs w:val="18"/>
              </w:rPr>
              <w:t xml:space="preserve"> the</w:t>
            </w:r>
            <w:r w:rsidRPr="004B4B45">
              <w:rPr>
                <w:bCs/>
                <w:sz w:val="18"/>
                <w:szCs w:val="18"/>
              </w:rPr>
              <w:t xml:space="preserve"> program takes a socially empowering and environmentally sustainable approach to risk reduction, management and recovery, the spin-offs are likely to be only positive in nature.</w:t>
            </w:r>
          </w:p>
        </w:tc>
      </w:tr>
      <w:tr w:rsidR="00483E64" w14:paraId="0E5DEE2A" w14:textId="77777777" w:rsidTr="4380C41D">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4380C41D">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4380C41D">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4380C41D">
        <w:trPr>
          <w:trHeight w:val="296"/>
        </w:trPr>
        <w:tc>
          <w:tcPr>
            <w:tcW w:w="3510" w:type="dxa"/>
            <w:vMerge/>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4380C41D">
        <w:tc>
          <w:tcPr>
            <w:tcW w:w="3510" w:type="dxa"/>
            <w:vMerge/>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010B926A" w:rsidR="00F536BB" w:rsidRPr="00EF0E8F" w:rsidRDefault="10D271B9" w:rsidP="00C055DB">
            <w:pPr>
              <w:tabs>
                <w:tab w:val="left" w:pos="360"/>
              </w:tabs>
              <w:rPr>
                <w:sz w:val="18"/>
                <w:szCs w:val="18"/>
              </w:rPr>
            </w:pPr>
            <w:r w:rsidRPr="4380C41D">
              <w:rPr>
                <w:rFonts w:ascii="Segoe UI Symbol" w:hAnsi="Segoe UI Symbol" w:cs="Segoe UI Symbol"/>
                <w:b/>
                <w:bCs/>
              </w:rPr>
              <w:t>X</w:t>
            </w:r>
          </w:p>
        </w:tc>
        <w:tc>
          <w:tcPr>
            <w:tcW w:w="4747" w:type="dxa"/>
            <w:vMerge w:val="restart"/>
          </w:tcPr>
          <w:p w14:paraId="18E5603B" w14:textId="3BC98F76" w:rsidR="00F536BB" w:rsidRPr="00EF0E8F" w:rsidRDefault="27CB6F4F" w:rsidP="4380C41D">
            <w:pPr>
              <w:tabs>
                <w:tab w:val="left" w:pos="360"/>
              </w:tabs>
              <w:jc w:val="both"/>
            </w:pPr>
            <w:r w:rsidRPr="004B4B45">
              <w:rPr>
                <w:rFonts w:ascii="Calibri" w:eastAsia="Calibri" w:hAnsi="Calibri" w:cs="Calibri"/>
                <w:sz w:val="18"/>
                <w:szCs w:val="18"/>
              </w:rPr>
              <w:t>The Program</w:t>
            </w:r>
            <w:r w:rsidR="00A96445">
              <w:rPr>
                <w:rFonts w:ascii="Calibri" w:eastAsia="Calibri" w:hAnsi="Calibri" w:cs="Calibri"/>
                <w:sz w:val="18"/>
                <w:szCs w:val="18"/>
              </w:rPr>
              <w:t xml:space="preserve"> is </w:t>
            </w:r>
            <w:r w:rsidRPr="004B4B45">
              <w:rPr>
                <w:rFonts w:ascii="Calibri" w:eastAsia="Calibri" w:hAnsi="Calibri" w:cs="Calibri"/>
                <w:sz w:val="18"/>
                <w:szCs w:val="18"/>
              </w:rPr>
              <w:t>aligned with UNDP Strategic Plan 2018-2021, the Sendai Framework for Disaster Risk Reduction, and other global policy instruments in support of CC and SDGs</w:t>
            </w:r>
            <w:r w:rsidR="00A96445">
              <w:rPr>
                <w:rFonts w:ascii="Calibri" w:eastAsia="Calibri" w:hAnsi="Calibri" w:cs="Calibri"/>
                <w:sz w:val="18"/>
                <w:szCs w:val="18"/>
              </w:rPr>
              <w:t xml:space="preserve"> and</w:t>
            </w:r>
            <w:r w:rsidRPr="004B4B45">
              <w:rPr>
                <w:rFonts w:ascii="Calibri" w:eastAsia="Calibri" w:hAnsi="Calibri" w:cs="Calibri"/>
                <w:sz w:val="18"/>
                <w:szCs w:val="18"/>
              </w:rPr>
              <w:t xml:space="preserve"> combines UNDP’s legacy of long-term sustainable development approaches anchored in natural resource management, resilience building and governance with </w:t>
            </w:r>
            <w:r w:rsidR="00A96445">
              <w:rPr>
                <w:rFonts w:ascii="Calibri" w:eastAsia="Calibri" w:hAnsi="Calibri" w:cs="Calibri"/>
                <w:sz w:val="18"/>
                <w:szCs w:val="18"/>
              </w:rPr>
              <w:t xml:space="preserve">fostering </w:t>
            </w:r>
            <w:r w:rsidRPr="004B4B45">
              <w:rPr>
                <w:rFonts w:ascii="Calibri" w:eastAsia="Calibri" w:hAnsi="Calibri" w:cs="Calibri"/>
                <w:sz w:val="18"/>
                <w:szCs w:val="18"/>
              </w:rPr>
              <w:t>a transformative disaster/climate risk lens. The Outputs are intended to increase risk governance capacity, expand understanding of DRR based on risk information, enhance preparedness and recovery processes in order to build resilience. It seeks to reduce risks exacerbated by social and environmental vulnerabilities</w:t>
            </w:r>
            <w:r w:rsidR="004E67E5">
              <w:rPr>
                <w:rFonts w:ascii="Calibri" w:eastAsia="Calibri" w:hAnsi="Calibri" w:cs="Calibri"/>
                <w:sz w:val="18"/>
                <w:szCs w:val="18"/>
              </w:rPr>
              <w:t xml:space="preserve">, </w:t>
            </w:r>
            <w:r w:rsidR="00ED6B4E">
              <w:rPr>
                <w:rFonts w:ascii="Calibri" w:eastAsia="Calibri" w:hAnsi="Calibri" w:cs="Calibri"/>
                <w:sz w:val="18"/>
                <w:szCs w:val="18"/>
              </w:rPr>
              <w:t>strengthen the capacity of</w:t>
            </w:r>
            <w:r w:rsidRPr="004B4B45">
              <w:rPr>
                <w:rFonts w:ascii="Calibri" w:eastAsia="Calibri" w:hAnsi="Calibri" w:cs="Calibri"/>
                <w:sz w:val="18"/>
                <w:szCs w:val="18"/>
              </w:rPr>
              <w:t xml:space="preserve"> administrative functionaries, sectoral agencies, stakeholders, partners and communities to the criticality of protecting environment, mitigating climate change, securing rights and services, removing socio-economic-cultural barriers and inequalities etc. as key to risk reduction and resilience building.</w:t>
            </w:r>
          </w:p>
        </w:tc>
      </w:tr>
      <w:tr w:rsidR="00483E64" w:rsidRPr="00EF0E8F" w14:paraId="145F1571" w14:textId="77777777" w:rsidTr="4380C41D">
        <w:tc>
          <w:tcPr>
            <w:tcW w:w="3510" w:type="dxa"/>
            <w:vMerge/>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3864EC47" w:rsidR="00F536BB" w:rsidRPr="00EF0E8F" w:rsidRDefault="06B3EA0F" w:rsidP="4380C41D">
            <w:pPr>
              <w:tabs>
                <w:tab w:val="left" w:pos="360"/>
              </w:tabs>
              <w:rPr>
                <w:rFonts w:ascii="Segoe UI Symbol" w:hAnsi="Segoe UI Symbol" w:cs="Segoe UI Symbol"/>
                <w:b/>
                <w:bCs/>
              </w:rPr>
            </w:pPr>
            <w:r w:rsidRPr="4380C41D">
              <w:rPr>
                <w:rFonts w:ascii="Segoe UI Symbol" w:hAnsi="Segoe UI Symbol" w:cs="Segoe UI Symbol"/>
                <w:b/>
                <w:bCs/>
              </w:rPr>
              <w:t>X</w:t>
            </w:r>
          </w:p>
        </w:tc>
        <w:tc>
          <w:tcPr>
            <w:tcW w:w="4747" w:type="dxa"/>
            <w:vMerge/>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4380C41D">
        <w:tc>
          <w:tcPr>
            <w:tcW w:w="3510" w:type="dxa"/>
            <w:vMerge/>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05E42A60" w:rsidR="00F536BB" w:rsidRPr="00EF0E8F" w:rsidRDefault="066E4532" w:rsidP="4380C41D">
            <w:pPr>
              <w:tabs>
                <w:tab w:val="left" w:pos="360"/>
              </w:tabs>
              <w:rPr>
                <w:rFonts w:ascii="Segoe UI Symbol" w:hAnsi="Segoe UI Symbol" w:cs="Segoe UI Symbol"/>
                <w:b/>
                <w:bCs/>
              </w:rPr>
            </w:pPr>
            <w:r w:rsidRPr="4380C41D">
              <w:rPr>
                <w:rFonts w:ascii="Segoe UI Symbol" w:hAnsi="Segoe UI Symbol" w:cs="Segoe UI Symbol"/>
                <w:b/>
                <w:bCs/>
              </w:rPr>
              <w:t>X</w:t>
            </w:r>
          </w:p>
        </w:tc>
        <w:tc>
          <w:tcPr>
            <w:tcW w:w="4747" w:type="dxa"/>
            <w:vMerge/>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4380C41D">
        <w:tc>
          <w:tcPr>
            <w:tcW w:w="3510" w:type="dxa"/>
            <w:vMerge/>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07E2F33E" w:rsidR="00F536BB" w:rsidRPr="00EF0E8F" w:rsidRDefault="60BE954C" w:rsidP="4380C41D">
            <w:pPr>
              <w:tabs>
                <w:tab w:val="left" w:pos="360"/>
              </w:tabs>
              <w:rPr>
                <w:rFonts w:ascii="Segoe UI Symbol" w:hAnsi="Segoe UI Symbol" w:cs="Segoe UI Symbol"/>
                <w:b/>
                <w:bCs/>
              </w:rPr>
            </w:pPr>
            <w:r w:rsidRPr="4380C41D">
              <w:rPr>
                <w:rFonts w:ascii="Segoe UI Symbol" w:hAnsi="Segoe UI Symbol" w:cs="Segoe UI Symbol"/>
                <w:b/>
                <w:bCs/>
              </w:rPr>
              <w:t>X</w:t>
            </w:r>
          </w:p>
        </w:tc>
        <w:tc>
          <w:tcPr>
            <w:tcW w:w="4747" w:type="dxa"/>
            <w:vMerge/>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4380C41D">
        <w:tc>
          <w:tcPr>
            <w:tcW w:w="3510" w:type="dxa"/>
            <w:vMerge/>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5B406805" w:rsidR="00F536BB" w:rsidRPr="00EF0E8F" w:rsidRDefault="0FAFFFF3" w:rsidP="4380C41D">
            <w:pPr>
              <w:tabs>
                <w:tab w:val="left" w:pos="360"/>
              </w:tabs>
              <w:rPr>
                <w:rFonts w:ascii="Segoe UI Symbol" w:hAnsi="Segoe UI Symbol" w:cs="Segoe UI Symbol"/>
                <w:b/>
                <w:bCs/>
              </w:rPr>
            </w:pPr>
            <w:r w:rsidRPr="4380C41D">
              <w:rPr>
                <w:rFonts w:ascii="Segoe UI Symbol" w:hAnsi="Segoe UI Symbol" w:cs="Segoe UI Symbol"/>
                <w:b/>
                <w:bCs/>
              </w:rPr>
              <w:t>X</w:t>
            </w:r>
          </w:p>
        </w:tc>
        <w:tc>
          <w:tcPr>
            <w:tcW w:w="4747" w:type="dxa"/>
            <w:vMerge/>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4380C41D">
        <w:tc>
          <w:tcPr>
            <w:tcW w:w="3510" w:type="dxa"/>
            <w:vMerge/>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16550B6A" w:rsidR="00F536BB" w:rsidRPr="00EF0E8F" w:rsidRDefault="2F838F2F" w:rsidP="4380C41D">
            <w:pPr>
              <w:tabs>
                <w:tab w:val="left" w:pos="360"/>
              </w:tabs>
              <w:rPr>
                <w:rFonts w:ascii="Segoe UI Symbol" w:hAnsi="Segoe UI Symbol" w:cs="Segoe UI Symbol"/>
                <w:b/>
                <w:bCs/>
              </w:rPr>
            </w:pPr>
            <w:r w:rsidRPr="4380C41D">
              <w:rPr>
                <w:rFonts w:ascii="Segoe UI Symbol" w:hAnsi="Segoe UI Symbol" w:cs="Segoe UI Symbol"/>
                <w:b/>
                <w:bCs/>
              </w:rPr>
              <w:t>X</w:t>
            </w:r>
          </w:p>
        </w:tc>
        <w:tc>
          <w:tcPr>
            <w:tcW w:w="4747" w:type="dxa"/>
            <w:vMerge/>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4380C41D">
        <w:tc>
          <w:tcPr>
            <w:tcW w:w="3510" w:type="dxa"/>
            <w:vMerge/>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6B6ED9F9" w:rsidR="00F536BB" w:rsidRPr="00EF0E8F" w:rsidRDefault="14675486" w:rsidP="4380C41D">
            <w:pPr>
              <w:tabs>
                <w:tab w:val="left" w:pos="360"/>
              </w:tabs>
              <w:rPr>
                <w:rFonts w:ascii="Segoe UI Symbol" w:hAnsi="Segoe UI Symbol" w:cs="Segoe UI Symbol"/>
                <w:b/>
                <w:bCs/>
              </w:rPr>
            </w:pPr>
            <w:r w:rsidRPr="4380C41D">
              <w:rPr>
                <w:rFonts w:ascii="Segoe UI Symbol" w:hAnsi="Segoe UI Symbol" w:cs="Segoe UI Symbol"/>
                <w:b/>
                <w:bCs/>
              </w:rPr>
              <w:t>X</w:t>
            </w:r>
          </w:p>
        </w:tc>
        <w:tc>
          <w:tcPr>
            <w:tcW w:w="4747" w:type="dxa"/>
            <w:vMerge/>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4380C41D">
        <w:tc>
          <w:tcPr>
            <w:tcW w:w="3510" w:type="dxa"/>
            <w:vMerge/>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6DCD60A" w:rsidR="00F536BB" w:rsidRPr="00EF0E8F" w:rsidRDefault="5D860C92" w:rsidP="4380C41D">
            <w:pPr>
              <w:tabs>
                <w:tab w:val="left" w:pos="360"/>
              </w:tabs>
              <w:rPr>
                <w:rFonts w:ascii="Segoe UI Symbol" w:hAnsi="Segoe UI Symbol" w:cs="Segoe UI Symbol"/>
                <w:b/>
                <w:bCs/>
              </w:rPr>
            </w:pPr>
            <w:r w:rsidRPr="4380C41D">
              <w:rPr>
                <w:rFonts w:ascii="Segoe UI Symbol" w:hAnsi="Segoe UI Symbol" w:cs="Segoe UI Symbol"/>
                <w:b/>
                <w:bCs/>
              </w:rPr>
              <w:t>X</w:t>
            </w:r>
          </w:p>
        </w:tc>
        <w:tc>
          <w:tcPr>
            <w:tcW w:w="4747" w:type="dxa"/>
            <w:vMerge/>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B83263">
        <w:tc>
          <w:tcPr>
            <w:tcW w:w="3510" w:type="dxa"/>
            <w:vMerge/>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tcPr>
          <w:p w14:paraId="4A38C758" w14:textId="4E502E4A" w:rsidR="00F536BB" w:rsidRPr="00EF0E8F" w:rsidRDefault="66030FD2" w:rsidP="4380C41D">
            <w:pPr>
              <w:tabs>
                <w:tab w:val="left" w:pos="360"/>
              </w:tabs>
              <w:rPr>
                <w:rFonts w:ascii="Segoe UI Symbol" w:hAnsi="Segoe UI Symbol" w:cs="Segoe UI Symbol"/>
                <w:b/>
                <w:bCs/>
              </w:rPr>
            </w:pPr>
            <w:r w:rsidRPr="4380C41D">
              <w:rPr>
                <w:rFonts w:ascii="Segoe UI Symbol" w:hAnsi="Segoe UI Symbol" w:cs="Segoe UI Symbol"/>
                <w:b/>
                <w:bCs/>
              </w:rPr>
              <w:t>X</w:t>
            </w:r>
          </w:p>
        </w:tc>
        <w:tc>
          <w:tcPr>
            <w:tcW w:w="4747" w:type="dxa"/>
            <w:vMerge/>
          </w:tcPr>
          <w:p w14:paraId="7F445195" w14:textId="77777777" w:rsidR="00F536BB" w:rsidRPr="00EF0E8F" w:rsidRDefault="00F536BB" w:rsidP="00C055DB">
            <w:pPr>
              <w:tabs>
                <w:tab w:val="left" w:pos="360"/>
              </w:tabs>
              <w:rPr>
                <w:sz w:val="18"/>
                <w:szCs w:val="18"/>
              </w:rPr>
            </w:pPr>
          </w:p>
        </w:tc>
      </w:tr>
    </w:tbl>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F9DBC10"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6B24EB9E" w:rsidR="00F84586" w:rsidRPr="00BD03F6" w:rsidRDefault="00B0211E" w:rsidP="00DD330A">
            <w:pPr>
              <w:tabs>
                <w:tab w:val="left" w:pos="360"/>
                <w:tab w:val="left" w:pos="4320"/>
              </w:tabs>
              <w:rPr>
                <w:szCs w:val="20"/>
              </w:rPr>
            </w:pPr>
            <w:r>
              <w:rPr>
                <w:szCs w:val="20"/>
              </w:rPr>
              <w:t>17/7/20</w:t>
            </w:r>
          </w:p>
        </w:tc>
        <w:tc>
          <w:tcPr>
            <w:tcW w:w="8725" w:type="dxa"/>
          </w:tcPr>
          <w:p w14:paraId="7690DD18" w14:textId="77777777" w:rsidR="00F84586" w:rsidRPr="00ED6B4E" w:rsidRDefault="00F84586" w:rsidP="00BD03F6">
            <w:pPr>
              <w:pStyle w:val="SESPbodynumbered"/>
              <w:numPr>
                <w:ilvl w:val="0"/>
                <w:numId w:val="0"/>
              </w:numPr>
              <w:tabs>
                <w:tab w:val="clear" w:pos="360"/>
                <w:tab w:val="left" w:pos="720"/>
              </w:tabs>
              <w:spacing w:before="0" w:after="0"/>
              <w:rPr>
                <w:sz w:val="18"/>
                <w:szCs w:val="18"/>
              </w:rPr>
            </w:pPr>
            <w:r w:rsidRPr="00ED6B4E">
              <w:rPr>
                <w:sz w:val="18"/>
                <w:szCs w:val="18"/>
              </w:rPr>
              <w:t>UNDP staff member responsible for the Project</w:t>
            </w:r>
            <w:r w:rsidRPr="00ED6B4E">
              <w:rPr>
                <w:sz w:val="18"/>
                <w:szCs w:val="18"/>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6144AC3E" w:rsidR="00F84586" w:rsidRPr="00BD03F6" w:rsidRDefault="00B0211E" w:rsidP="00DD330A">
            <w:pPr>
              <w:tabs>
                <w:tab w:val="left" w:pos="360"/>
                <w:tab w:val="left" w:pos="4320"/>
              </w:tabs>
              <w:rPr>
                <w:szCs w:val="20"/>
              </w:rPr>
            </w:pPr>
            <w:r>
              <w:rPr>
                <w:noProof/>
                <w:szCs w:val="20"/>
              </w:rPr>
              <w:drawing>
                <wp:anchor distT="0" distB="0" distL="114300" distR="114300" simplePos="0" relativeHeight="251658240" behindDoc="1" locked="0" layoutInCell="1" allowOverlap="1" wp14:anchorId="14AFE99C" wp14:editId="56A42E91">
                  <wp:simplePos x="0" y="0"/>
                  <wp:positionH relativeFrom="column">
                    <wp:posOffset>275590</wp:posOffset>
                  </wp:positionH>
                  <wp:positionV relativeFrom="paragraph">
                    <wp:posOffset>-413385</wp:posOffset>
                  </wp:positionV>
                  <wp:extent cx="1123950" cy="487680"/>
                  <wp:effectExtent l="0" t="0" r="0" b="7620"/>
                  <wp:wrapNone/>
                  <wp:docPr id="1" name="Picture 1"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4"/>
                          <a:stretch>
                            <a:fillRect/>
                          </a:stretch>
                        </pic:blipFill>
                        <pic:spPr>
                          <a:xfrm>
                            <a:off x="0" y="0"/>
                            <a:ext cx="1123950" cy="487680"/>
                          </a:xfrm>
                          <a:prstGeom prst="rect">
                            <a:avLst/>
                          </a:prstGeom>
                        </pic:spPr>
                      </pic:pic>
                    </a:graphicData>
                  </a:graphic>
                </wp:anchor>
              </w:drawing>
            </w:r>
            <w:r w:rsidR="00F84586"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ED6B4E" w:rsidRDefault="00BD03F6" w:rsidP="00BD03F6">
            <w:pPr>
              <w:tabs>
                <w:tab w:val="left" w:pos="360"/>
                <w:tab w:val="left" w:pos="4320"/>
              </w:tabs>
              <w:rPr>
                <w:sz w:val="18"/>
                <w:szCs w:val="18"/>
              </w:rPr>
            </w:pPr>
            <w:r w:rsidRPr="00ED6B4E">
              <w:rPr>
                <w:sz w:val="18"/>
                <w:szCs w:val="18"/>
                <w:lang w:val="en-GB"/>
              </w:rPr>
              <w:t>UNDP senior manager, typically the UNDP Deputy Country Director (DCD), Country Director (CD)</w:t>
            </w:r>
            <w:r w:rsidRPr="00ED6B4E">
              <w:rPr>
                <w:b/>
                <w:sz w:val="18"/>
                <w:szCs w:val="18"/>
              </w:rPr>
              <w:t xml:space="preserve">, </w:t>
            </w:r>
            <w:r w:rsidRPr="00ED6B4E">
              <w:rPr>
                <w:sz w:val="18"/>
                <w:szCs w:val="18"/>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ED6B4E" w:rsidRDefault="00BD03F6" w:rsidP="00BD03F6">
            <w:pPr>
              <w:tabs>
                <w:tab w:val="left" w:pos="360"/>
                <w:tab w:val="left" w:pos="4320"/>
              </w:tabs>
              <w:rPr>
                <w:sz w:val="18"/>
                <w:szCs w:val="18"/>
              </w:rPr>
            </w:pPr>
            <w:r w:rsidRPr="00ED6B4E">
              <w:rPr>
                <w:sz w:val="18"/>
                <w:szCs w:val="18"/>
              </w:rPr>
              <w:t xml:space="preserve">UNDP chair of the PAC.  In some </w:t>
            </w:r>
            <w:proofErr w:type="gramStart"/>
            <w:r w:rsidRPr="00ED6B4E">
              <w:rPr>
                <w:sz w:val="18"/>
                <w:szCs w:val="18"/>
              </w:rPr>
              <w:t>cases</w:t>
            </w:r>
            <w:proofErr w:type="gramEnd"/>
            <w:r w:rsidRPr="00ED6B4E">
              <w:rPr>
                <w:sz w:val="18"/>
                <w:szCs w:val="18"/>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10BC0113" w:rsidR="008C4F51" w:rsidRPr="007B2FDA" w:rsidRDefault="00C859B5" w:rsidP="007E7A07">
      <w:pPr>
        <w:pStyle w:val="Heading3"/>
      </w:pPr>
      <w:bookmarkStart w:id="2" w:name="_Toc404528202"/>
      <w:r>
        <w:lastRenderedPageBreak/>
        <w:t>SESP</w:t>
      </w:r>
      <w:r w:rsidR="00322D03">
        <w:t>:</w:t>
      </w:r>
      <w:r w:rsidR="00490422">
        <w:t xml:space="preserve">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4380C41D">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4380C41D">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4380C41D">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61AD6B57" w:rsidR="008F36AD" w:rsidRPr="002E0918" w:rsidRDefault="4FFD25B8" w:rsidP="00D0789F">
            <w:pPr>
              <w:tabs>
                <w:tab w:val="left" w:pos="810"/>
              </w:tabs>
              <w:rPr>
                <w:sz w:val="18"/>
                <w:szCs w:val="18"/>
              </w:rPr>
            </w:pPr>
            <w:r w:rsidRPr="4380C41D">
              <w:rPr>
                <w:sz w:val="18"/>
                <w:szCs w:val="18"/>
              </w:rPr>
              <w:t>No</w:t>
            </w:r>
          </w:p>
        </w:tc>
      </w:tr>
      <w:tr w:rsidR="00F07AAC" w:rsidRPr="002E0918" w14:paraId="6FF9345F" w14:textId="77777777" w:rsidTr="4380C41D">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2"/>
            </w:r>
            <w:r w:rsidR="006C7126">
              <w:rPr>
                <w:rFonts w:eastAsia="Times New Roman"/>
                <w:sz w:val="18"/>
                <w:szCs w:val="18"/>
              </w:rPr>
              <w:t xml:space="preserve"> </w:t>
            </w:r>
          </w:p>
        </w:tc>
        <w:tc>
          <w:tcPr>
            <w:tcW w:w="833" w:type="dxa"/>
            <w:tcBorders>
              <w:bottom w:val="single" w:sz="4" w:space="0" w:color="auto"/>
            </w:tcBorders>
            <w:shd w:val="clear" w:color="auto" w:fill="auto"/>
          </w:tcPr>
          <w:p w14:paraId="7E37AB0C" w14:textId="61AD6B57" w:rsidR="00F07AAC" w:rsidRPr="002E0918" w:rsidRDefault="17B37ACB" w:rsidP="4380C41D">
            <w:pPr>
              <w:tabs>
                <w:tab w:val="left" w:pos="810"/>
              </w:tabs>
              <w:rPr>
                <w:sz w:val="18"/>
                <w:szCs w:val="18"/>
              </w:rPr>
            </w:pPr>
            <w:r w:rsidRPr="4380C41D">
              <w:rPr>
                <w:sz w:val="18"/>
                <w:szCs w:val="18"/>
              </w:rPr>
              <w:t>No</w:t>
            </w:r>
          </w:p>
          <w:p w14:paraId="0A6C189F" w14:textId="7BE43313" w:rsidR="00F07AAC" w:rsidRPr="002E0918" w:rsidRDefault="00F07AAC" w:rsidP="4380C41D">
            <w:pPr>
              <w:tabs>
                <w:tab w:val="left" w:pos="810"/>
              </w:tabs>
              <w:rPr>
                <w:sz w:val="18"/>
                <w:szCs w:val="18"/>
              </w:rPr>
            </w:pPr>
          </w:p>
        </w:tc>
      </w:tr>
      <w:tr w:rsidR="00F07AAC" w:rsidRPr="002E0918" w14:paraId="5C839242" w14:textId="77777777" w:rsidTr="4380C41D">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0ABEF50D" w14:textId="61AD6B57" w:rsidR="00F07AAC" w:rsidRPr="002E0918" w:rsidRDefault="0C431DC5" w:rsidP="4380C41D">
            <w:pPr>
              <w:tabs>
                <w:tab w:val="left" w:pos="810"/>
              </w:tabs>
              <w:rPr>
                <w:sz w:val="18"/>
                <w:szCs w:val="18"/>
              </w:rPr>
            </w:pPr>
            <w:r w:rsidRPr="4380C41D">
              <w:rPr>
                <w:sz w:val="18"/>
                <w:szCs w:val="18"/>
              </w:rPr>
              <w:t>No</w:t>
            </w:r>
          </w:p>
          <w:p w14:paraId="2DD842B3" w14:textId="12EEA1D1" w:rsidR="00F07AAC" w:rsidRPr="002E0918" w:rsidRDefault="00F07AAC" w:rsidP="4380C41D">
            <w:pPr>
              <w:tabs>
                <w:tab w:val="left" w:pos="810"/>
              </w:tabs>
              <w:rPr>
                <w:sz w:val="18"/>
                <w:szCs w:val="18"/>
              </w:rPr>
            </w:pPr>
          </w:p>
        </w:tc>
      </w:tr>
      <w:tr w:rsidR="00F07AAC" w:rsidRPr="002E0918" w14:paraId="651CC62C" w14:textId="77777777" w:rsidTr="4380C41D">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5BE32C2C" w14:textId="61AD6B57" w:rsidR="00F07AAC" w:rsidRPr="002E0918" w:rsidRDefault="261ECE54" w:rsidP="4380C41D">
            <w:pPr>
              <w:tabs>
                <w:tab w:val="left" w:pos="810"/>
              </w:tabs>
              <w:rPr>
                <w:sz w:val="18"/>
                <w:szCs w:val="18"/>
              </w:rPr>
            </w:pPr>
            <w:r w:rsidRPr="4380C41D">
              <w:rPr>
                <w:sz w:val="18"/>
                <w:szCs w:val="18"/>
              </w:rPr>
              <w:t>No</w:t>
            </w:r>
          </w:p>
          <w:p w14:paraId="0B62B740" w14:textId="581403E2" w:rsidR="00F07AAC" w:rsidRPr="002E0918" w:rsidRDefault="00F07AAC" w:rsidP="4380C41D">
            <w:pPr>
              <w:tabs>
                <w:tab w:val="left" w:pos="810"/>
              </w:tabs>
              <w:rPr>
                <w:sz w:val="18"/>
                <w:szCs w:val="18"/>
              </w:rPr>
            </w:pPr>
          </w:p>
        </w:tc>
      </w:tr>
      <w:tr w:rsidR="00F07AAC" w:rsidRPr="002E0918" w14:paraId="4067F856" w14:textId="77777777" w:rsidTr="4380C41D">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218C247B" w14:textId="61AD6B57" w:rsidR="00F07AAC" w:rsidRPr="002E0918" w:rsidRDefault="69DFF985" w:rsidP="4380C41D">
            <w:pPr>
              <w:tabs>
                <w:tab w:val="left" w:pos="810"/>
              </w:tabs>
              <w:rPr>
                <w:sz w:val="18"/>
                <w:szCs w:val="18"/>
              </w:rPr>
            </w:pPr>
            <w:r w:rsidRPr="4380C41D">
              <w:rPr>
                <w:sz w:val="18"/>
                <w:szCs w:val="18"/>
              </w:rPr>
              <w:t>No</w:t>
            </w:r>
          </w:p>
          <w:p w14:paraId="6B052BA3" w14:textId="71506DE1" w:rsidR="00F07AAC" w:rsidRPr="002E0918" w:rsidRDefault="00F07AAC" w:rsidP="4380C41D">
            <w:pPr>
              <w:tabs>
                <w:tab w:val="left" w:pos="810"/>
              </w:tabs>
              <w:rPr>
                <w:sz w:val="18"/>
                <w:szCs w:val="18"/>
              </w:rPr>
            </w:pPr>
          </w:p>
        </w:tc>
      </w:tr>
      <w:tr w:rsidR="00F07AAC" w:rsidRPr="002E0918" w14:paraId="1C7C8564" w14:textId="77777777" w:rsidTr="4380C41D">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0E341E9D" w14:textId="61AD6B57" w:rsidR="00F07AAC" w:rsidRPr="002E0918" w:rsidRDefault="1898AC44" w:rsidP="4380C41D">
            <w:pPr>
              <w:tabs>
                <w:tab w:val="left" w:pos="810"/>
              </w:tabs>
              <w:rPr>
                <w:sz w:val="18"/>
                <w:szCs w:val="18"/>
              </w:rPr>
            </w:pPr>
            <w:r w:rsidRPr="4380C41D">
              <w:rPr>
                <w:sz w:val="18"/>
                <w:szCs w:val="18"/>
              </w:rPr>
              <w:t>No</w:t>
            </w:r>
          </w:p>
          <w:p w14:paraId="21D25110" w14:textId="0FEE356A" w:rsidR="00F07AAC" w:rsidRPr="002E0918" w:rsidRDefault="00F07AAC" w:rsidP="4380C41D">
            <w:pPr>
              <w:tabs>
                <w:tab w:val="left" w:pos="810"/>
              </w:tabs>
              <w:rPr>
                <w:sz w:val="18"/>
                <w:szCs w:val="18"/>
              </w:rPr>
            </w:pPr>
          </w:p>
        </w:tc>
      </w:tr>
      <w:tr w:rsidR="00F07AAC" w:rsidRPr="002E0918" w14:paraId="2CEFE8B0" w14:textId="77777777" w:rsidTr="4380C41D">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28A18B6C" w14:textId="61AD6B57" w:rsidR="00F07AAC" w:rsidRPr="002E0918" w:rsidRDefault="3601535A" w:rsidP="4380C41D">
            <w:pPr>
              <w:tabs>
                <w:tab w:val="left" w:pos="810"/>
              </w:tabs>
              <w:rPr>
                <w:sz w:val="18"/>
                <w:szCs w:val="18"/>
              </w:rPr>
            </w:pPr>
            <w:r w:rsidRPr="4380C41D">
              <w:rPr>
                <w:sz w:val="18"/>
                <w:szCs w:val="18"/>
              </w:rPr>
              <w:t>No</w:t>
            </w:r>
          </w:p>
          <w:p w14:paraId="1AA7A84A" w14:textId="45B42DE5" w:rsidR="00F07AAC" w:rsidRPr="002E0918" w:rsidRDefault="00F07AAC" w:rsidP="4380C41D">
            <w:pPr>
              <w:tabs>
                <w:tab w:val="left" w:pos="810"/>
              </w:tabs>
              <w:rPr>
                <w:sz w:val="18"/>
                <w:szCs w:val="18"/>
              </w:rPr>
            </w:pPr>
          </w:p>
        </w:tc>
      </w:tr>
      <w:tr w:rsidR="00F07AAC" w:rsidRPr="002E0918" w14:paraId="1BDD93D3" w14:textId="77777777" w:rsidTr="4380C41D">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5C2640D7" w14:textId="61AD6B57" w:rsidR="00F07AAC" w:rsidRPr="002E0918" w:rsidRDefault="60A2BDBC" w:rsidP="4380C41D">
            <w:pPr>
              <w:tabs>
                <w:tab w:val="left" w:pos="810"/>
              </w:tabs>
              <w:rPr>
                <w:sz w:val="18"/>
                <w:szCs w:val="18"/>
              </w:rPr>
            </w:pPr>
            <w:r w:rsidRPr="4380C41D">
              <w:rPr>
                <w:sz w:val="18"/>
                <w:szCs w:val="18"/>
              </w:rPr>
              <w:t>No</w:t>
            </w:r>
          </w:p>
          <w:p w14:paraId="4909E687" w14:textId="5A639117" w:rsidR="00F07AAC" w:rsidRPr="002E0918" w:rsidRDefault="00F07AAC" w:rsidP="4380C41D">
            <w:pPr>
              <w:tabs>
                <w:tab w:val="left" w:pos="810"/>
              </w:tabs>
              <w:rPr>
                <w:sz w:val="18"/>
                <w:szCs w:val="18"/>
              </w:rPr>
            </w:pPr>
          </w:p>
        </w:tc>
      </w:tr>
      <w:tr w:rsidR="00F07AAC" w:rsidRPr="002E0918" w14:paraId="4A1D0142" w14:textId="77777777" w:rsidTr="4380C41D">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4380C41D">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79F3A3A6" w14:textId="61AD6B57" w:rsidR="00F07AAC" w:rsidRPr="002E0918" w:rsidRDefault="240DDB93" w:rsidP="4380C41D">
            <w:pPr>
              <w:tabs>
                <w:tab w:val="left" w:pos="810"/>
              </w:tabs>
              <w:rPr>
                <w:sz w:val="18"/>
                <w:szCs w:val="18"/>
              </w:rPr>
            </w:pPr>
            <w:r w:rsidRPr="4380C41D">
              <w:rPr>
                <w:sz w:val="18"/>
                <w:szCs w:val="18"/>
              </w:rPr>
              <w:t>No</w:t>
            </w:r>
          </w:p>
          <w:p w14:paraId="2C7B300A" w14:textId="0683C92F" w:rsidR="00F07AAC" w:rsidRPr="002E0918" w:rsidRDefault="00F07AAC" w:rsidP="4380C41D">
            <w:pPr>
              <w:tabs>
                <w:tab w:val="left" w:pos="810"/>
              </w:tabs>
              <w:rPr>
                <w:sz w:val="18"/>
                <w:szCs w:val="18"/>
              </w:rPr>
            </w:pPr>
          </w:p>
        </w:tc>
      </w:tr>
      <w:tr w:rsidR="00F07AAC" w:rsidRPr="002E0918" w14:paraId="35AF8179" w14:textId="77777777" w:rsidTr="4380C41D">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E15D882" w14:textId="61AD6B57" w:rsidR="00F07AAC" w:rsidRPr="002E0918" w:rsidRDefault="5D340292" w:rsidP="4380C41D">
            <w:pPr>
              <w:tabs>
                <w:tab w:val="left" w:pos="810"/>
              </w:tabs>
              <w:rPr>
                <w:sz w:val="18"/>
                <w:szCs w:val="18"/>
              </w:rPr>
            </w:pPr>
            <w:r w:rsidRPr="4380C41D">
              <w:rPr>
                <w:sz w:val="18"/>
                <w:szCs w:val="18"/>
              </w:rPr>
              <w:t>No</w:t>
            </w:r>
          </w:p>
          <w:p w14:paraId="537E7731" w14:textId="3A2E4653" w:rsidR="00F07AAC" w:rsidRPr="002E0918" w:rsidRDefault="00F07AAC" w:rsidP="4380C41D">
            <w:pPr>
              <w:tabs>
                <w:tab w:val="left" w:pos="810"/>
              </w:tabs>
              <w:rPr>
                <w:sz w:val="18"/>
                <w:szCs w:val="18"/>
              </w:rPr>
            </w:pPr>
          </w:p>
        </w:tc>
      </w:tr>
      <w:tr w:rsidR="008A7431" w:rsidRPr="002E0918" w14:paraId="3F85932C" w14:textId="77777777" w:rsidTr="4380C41D">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513857B8" w14:textId="61AD6B57" w:rsidR="008A7431" w:rsidRPr="002E0918" w:rsidRDefault="4A1A041A" w:rsidP="4380C41D">
            <w:pPr>
              <w:tabs>
                <w:tab w:val="left" w:pos="810"/>
              </w:tabs>
              <w:rPr>
                <w:sz w:val="18"/>
                <w:szCs w:val="18"/>
              </w:rPr>
            </w:pPr>
            <w:r w:rsidRPr="4380C41D">
              <w:rPr>
                <w:sz w:val="18"/>
                <w:szCs w:val="18"/>
              </w:rPr>
              <w:t>No</w:t>
            </w:r>
          </w:p>
          <w:p w14:paraId="0298EB3F" w14:textId="76487C36" w:rsidR="008A7431" w:rsidRPr="002E0918" w:rsidRDefault="008A7431" w:rsidP="4380C41D">
            <w:pPr>
              <w:tabs>
                <w:tab w:val="left" w:pos="810"/>
              </w:tabs>
              <w:rPr>
                <w:sz w:val="18"/>
                <w:szCs w:val="18"/>
              </w:rPr>
            </w:pPr>
          </w:p>
        </w:tc>
      </w:tr>
      <w:tr w:rsidR="00F07AAC" w:rsidRPr="002E0918" w14:paraId="3B518EFE" w14:textId="77777777" w:rsidTr="4380C41D">
        <w:tc>
          <w:tcPr>
            <w:tcW w:w="8635" w:type="dxa"/>
            <w:tcBorders>
              <w:bottom w:val="single" w:sz="4" w:space="0" w:color="auto"/>
            </w:tcBorders>
            <w:shd w:val="clear" w:color="auto" w:fill="auto"/>
          </w:tcPr>
          <w:p w14:paraId="7F10B7D3" w14:textId="74E22557" w:rsidR="00C501BD" w:rsidRPr="003F4DC8" w:rsidRDefault="00CC7EB5" w:rsidP="003F4DC8">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tc>
        <w:tc>
          <w:tcPr>
            <w:tcW w:w="833" w:type="dxa"/>
            <w:tcBorders>
              <w:bottom w:val="single" w:sz="4" w:space="0" w:color="auto"/>
            </w:tcBorders>
            <w:shd w:val="clear" w:color="auto" w:fill="auto"/>
          </w:tcPr>
          <w:p w14:paraId="270125FD" w14:textId="61AD6B57" w:rsidR="00F07AAC" w:rsidRPr="002E0918" w:rsidRDefault="7F4DD55D" w:rsidP="4380C41D">
            <w:pPr>
              <w:tabs>
                <w:tab w:val="left" w:pos="810"/>
              </w:tabs>
              <w:rPr>
                <w:sz w:val="18"/>
                <w:szCs w:val="18"/>
              </w:rPr>
            </w:pPr>
            <w:r w:rsidRPr="4380C41D">
              <w:rPr>
                <w:sz w:val="18"/>
                <w:szCs w:val="18"/>
              </w:rPr>
              <w:t>No</w:t>
            </w:r>
          </w:p>
          <w:p w14:paraId="3F690780" w14:textId="60FD132F" w:rsidR="00F07AAC" w:rsidRPr="002E0918" w:rsidRDefault="00F07AAC" w:rsidP="4380C41D">
            <w:pPr>
              <w:tabs>
                <w:tab w:val="left" w:pos="810"/>
              </w:tabs>
              <w:rPr>
                <w:sz w:val="18"/>
                <w:szCs w:val="18"/>
              </w:rPr>
            </w:pPr>
          </w:p>
        </w:tc>
      </w:tr>
      <w:tr w:rsidR="00F07AAC" w:rsidRPr="002E0918" w14:paraId="7F4BE889" w14:textId="77777777" w:rsidTr="4380C41D">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310835" w14:paraId="3040721A" w14:textId="77777777" w:rsidTr="4380C41D">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4380C41D">
        <w:tc>
          <w:tcPr>
            <w:tcW w:w="8635" w:type="dxa"/>
            <w:shd w:val="clear" w:color="auto" w:fill="auto"/>
          </w:tcPr>
          <w:p w14:paraId="336626D0" w14:textId="5D5DFEBC"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p>
        </w:tc>
        <w:tc>
          <w:tcPr>
            <w:tcW w:w="833" w:type="dxa"/>
            <w:shd w:val="clear" w:color="auto" w:fill="auto"/>
          </w:tcPr>
          <w:p w14:paraId="6DCD68C6" w14:textId="61AD6B57" w:rsidR="00F07AAC" w:rsidRPr="00310835" w:rsidRDefault="4C2B05EF" w:rsidP="4380C41D">
            <w:pPr>
              <w:rPr>
                <w:sz w:val="18"/>
                <w:szCs w:val="18"/>
              </w:rPr>
            </w:pPr>
            <w:r w:rsidRPr="4380C41D">
              <w:rPr>
                <w:sz w:val="18"/>
                <w:szCs w:val="18"/>
              </w:rPr>
              <w:t>No</w:t>
            </w:r>
          </w:p>
          <w:p w14:paraId="70EBCB75" w14:textId="654E019A" w:rsidR="00F07AAC" w:rsidRPr="00310835" w:rsidRDefault="00F07AAC" w:rsidP="4380C41D">
            <w:pPr>
              <w:rPr>
                <w:rFonts w:eastAsia="Times New Roman"/>
                <w:sz w:val="18"/>
                <w:szCs w:val="18"/>
              </w:rPr>
            </w:pPr>
          </w:p>
        </w:tc>
      </w:tr>
      <w:tr w:rsidR="00F07AAC" w:rsidRPr="00310835" w14:paraId="3CB129AD" w14:textId="77777777" w:rsidTr="4380C41D">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lastRenderedPageBreak/>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333B01B3" w14:textId="61AD6B57" w:rsidR="00F07AAC" w:rsidRPr="00310835" w:rsidRDefault="66376AC7" w:rsidP="4380C41D">
            <w:pPr>
              <w:rPr>
                <w:sz w:val="18"/>
                <w:szCs w:val="18"/>
              </w:rPr>
            </w:pPr>
            <w:r w:rsidRPr="4380C41D">
              <w:rPr>
                <w:sz w:val="18"/>
                <w:szCs w:val="18"/>
              </w:rPr>
              <w:t>No</w:t>
            </w:r>
          </w:p>
          <w:p w14:paraId="7C3C9F1E" w14:textId="28021D07" w:rsidR="00F07AAC" w:rsidRPr="00310835" w:rsidRDefault="00F07AAC" w:rsidP="4380C41D">
            <w:pPr>
              <w:rPr>
                <w:rFonts w:eastAsia="Times New Roman"/>
                <w:sz w:val="18"/>
                <w:szCs w:val="18"/>
              </w:rPr>
            </w:pPr>
          </w:p>
        </w:tc>
      </w:tr>
      <w:tr w:rsidR="00F07AAC" w:rsidRPr="00310835" w14:paraId="6FCE1DE5" w14:textId="77777777" w:rsidTr="4380C41D">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6FBF34AE" w14:textId="61AD6B57" w:rsidR="00F07AAC" w:rsidRPr="00310835" w:rsidRDefault="186CB05A" w:rsidP="4380C41D">
            <w:pPr>
              <w:rPr>
                <w:sz w:val="18"/>
                <w:szCs w:val="18"/>
              </w:rPr>
            </w:pPr>
            <w:r w:rsidRPr="4380C41D">
              <w:rPr>
                <w:sz w:val="18"/>
                <w:szCs w:val="18"/>
              </w:rPr>
              <w:t>No</w:t>
            </w:r>
          </w:p>
          <w:p w14:paraId="408CACCD" w14:textId="39A3512E" w:rsidR="00F07AAC" w:rsidRPr="00310835" w:rsidRDefault="00F07AAC" w:rsidP="4380C41D">
            <w:pPr>
              <w:rPr>
                <w:rFonts w:eastAsia="Times New Roman"/>
                <w:sz w:val="18"/>
                <w:szCs w:val="18"/>
              </w:rPr>
            </w:pPr>
          </w:p>
        </w:tc>
      </w:tr>
      <w:tr w:rsidR="00C32720" w:rsidRPr="00310835" w14:paraId="3A58ED14" w14:textId="77777777" w:rsidTr="4380C41D">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6759DCCB" w14:textId="61AD6B57" w:rsidR="00C32720" w:rsidRPr="00310835" w:rsidRDefault="3E303DC7" w:rsidP="4380C41D">
            <w:pPr>
              <w:rPr>
                <w:sz w:val="18"/>
                <w:szCs w:val="18"/>
              </w:rPr>
            </w:pPr>
            <w:r w:rsidRPr="4380C41D">
              <w:rPr>
                <w:sz w:val="18"/>
                <w:szCs w:val="18"/>
              </w:rPr>
              <w:t>No</w:t>
            </w:r>
          </w:p>
          <w:p w14:paraId="1614E319" w14:textId="651B01D7" w:rsidR="00C32720" w:rsidRPr="00310835" w:rsidRDefault="00C32720" w:rsidP="4380C41D">
            <w:pPr>
              <w:rPr>
                <w:rFonts w:eastAsia="Times New Roman"/>
                <w:sz w:val="18"/>
                <w:szCs w:val="18"/>
              </w:rPr>
            </w:pPr>
          </w:p>
        </w:tc>
      </w:tr>
      <w:tr w:rsidR="00F07AAC" w:rsidRPr="00310835" w14:paraId="40413CED" w14:textId="77777777" w:rsidTr="4380C41D">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6F54F9D4" w14:textId="61AD6B57" w:rsidR="00F07AAC" w:rsidRPr="00310835" w:rsidRDefault="53813E8D" w:rsidP="4380C41D">
            <w:pPr>
              <w:rPr>
                <w:sz w:val="18"/>
                <w:szCs w:val="18"/>
              </w:rPr>
            </w:pPr>
            <w:r w:rsidRPr="4380C41D">
              <w:rPr>
                <w:sz w:val="18"/>
                <w:szCs w:val="18"/>
              </w:rPr>
              <w:t>No</w:t>
            </w:r>
          </w:p>
          <w:p w14:paraId="15B0F204" w14:textId="5AC49A97" w:rsidR="00F07AAC" w:rsidRPr="00310835" w:rsidRDefault="00F07AAC" w:rsidP="4380C41D">
            <w:pPr>
              <w:rPr>
                <w:rFonts w:eastAsia="Times New Roman"/>
                <w:sz w:val="18"/>
                <w:szCs w:val="18"/>
              </w:rPr>
            </w:pPr>
          </w:p>
        </w:tc>
      </w:tr>
      <w:tr w:rsidR="00F07AAC" w:rsidRPr="00310835" w14:paraId="1F975CC1" w14:textId="77777777" w:rsidTr="4380C41D">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7C984885" w14:textId="61AD6B57" w:rsidR="00F07AAC" w:rsidRPr="00310835" w:rsidRDefault="74AB9B97" w:rsidP="4380C41D">
            <w:pPr>
              <w:rPr>
                <w:sz w:val="18"/>
                <w:szCs w:val="18"/>
              </w:rPr>
            </w:pPr>
            <w:r w:rsidRPr="4380C41D">
              <w:rPr>
                <w:sz w:val="18"/>
                <w:szCs w:val="18"/>
              </w:rPr>
              <w:t>No</w:t>
            </w:r>
          </w:p>
          <w:p w14:paraId="07E2B71C" w14:textId="1A1F35AE" w:rsidR="00F07AAC" w:rsidRPr="00310835" w:rsidRDefault="00F07AAC" w:rsidP="4380C41D">
            <w:pPr>
              <w:rPr>
                <w:rFonts w:eastAsia="Times New Roman"/>
                <w:sz w:val="18"/>
                <w:szCs w:val="18"/>
              </w:rPr>
            </w:pPr>
          </w:p>
        </w:tc>
      </w:tr>
      <w:tr w:rsidR="00F07AAC" w:rsidRPr="00310835" w14:paraId="7CF5844C" w14:textId="77777777" w:rsidTr="4380C41D">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3EFC6374" w14:textId="61AD6B57" w:rsidR="00F07AAC" w:rsidRPr="00310835" w:rsidRDefault="5CE24555" w:rsidP="4380C41D">
            <w:pPr>
              <w:rPr>
                <w:sz w:val="18"/>
                <w:szCs w:val="18"/>
              </w:rPr>
            </w:pPr>
            <w:r w:rsidRPr="4380C41D">
              <w:rPr>
                <w:sz w:val="18"/>
                <w:szCs w:val="18"/>
              </w:rPr>
              <w:t>No</w:t>
            </w:r>
          </w:p>
          <w:p w14:paraId="59967AE5" w14:textId="0D2FBFDB" w:rsidR="00F07AAC" w:rsidRPr="00310835" w:rsidRDefault="00F07AAC" w:rsidP="4380C41D">
            <w:pPr>
              <w:rPr>
                <w:rFonts w:eastAsia="Times New Roman"/>
                <w:sz w:val="18"/>
                <w:szCs w:val="18"/>
              </w:rPr>
            </w:pPr>
          </w:p>
        </w:tc>
      </w:tr>
      <w:tr w:rsidR="00F07AAC" w:rsidRPr="00310835" w14:paraId="40487EC9" w14:textId="77777777" w:rsidTr="4380C41D">
        <w:tc>
          <w:tcPr>
            <w:tcW w:w="8635" w:type="dxa"/>
            <w:tcBorders>
              <w:bottom w:val="single" w:sz="4" w:space="0" w:color="auto"/>
            </w:tcBorders>
            <w:shd w:val="clear" w:color="auto" w:fill="auto"/>
          </w:tcPr>
          <w:p w14:paraId="6988BF9F" w14:textId="0E9F5A69" w:rsidR="00FC63B9" w:rsidRPr="00E677F8" w:rsidRDefault="00F07AAC" w:rsidP="00E677F8">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tc>
        <w:tc>
          <w:tcPr>
            <w:tcW w:w="833" w:type="dxa"/>
            <w:tcBorders>
              <w:bottom w:val="single" w:sz="4" w:space="0" w:color="auto"/>
            </w:tcBorders>
            <w:shd w:val="clear" w:color="auto" w:fill="auto"/>
          </w:tcPr>
          <w:p w14:paraId="2353D44F" w14:textId="61AD6B57" w:rsidR="00F07AAC" w:rsidRPr="00310835" w:rsidRDefault="1D2D405E" w:rsidP="4380C41D">
            <w:pPr>
              <w:rPr>
                <w:sz w:val="18"/>
                <w:szCs w:val="18"/>
              </w:rPr>
            </w:pPr>
            <w:r w:rsidRPr="4380C41D">
              <w:rPr>
                <w:sz w:val="18"/>
                <w:szCs w:val="18"/>
              </w:rPr>
              <w:t>No</w:t>
            </w:r>
          </w:p>
          <w:p w14:paraId="3E2C305F" w14:textId="0821C32B" w:rsidR="00F07AAC" w:rsidRPr="00310835" w:rsidRDefault="00F07AAC" w:rsidP="4380C41D">
            <w:pPr>
              <w:rPr>
                <w:rFonts w:eastAsia="Times New Roman"/>
                <w:sz w:val="18"/>
                <w:szCs w:val="18"/>
              </w:rPr>
            </w:pPr>
          </w:p>
        </w:tc>
      </w:tr>
      <w:tr w:rsidR="00F07AAC" w:rsidRPr="00310835" w14:paraId="67A086E0" w14:textId="77777777" w:rsidTr="4380C41D">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30663E9B" w14:textId="61AD6B57" w:rsidR="00F07AAC" w:rsidRPr="00310835" w:rsidRDefault="4C3BA7C5" w:rsidP="4380C41D">
            <w:pPr>
              <w:tabs>
                <w:tab w:val="left" w:pos="585"/>
              </w:tabs>
              <w:spacing w:before="60" w:after="60"/>
              <w:rPr>
                <w:sz w:val="18"/>
                <w:szCs w:val="18"/>
              </w:rPr>
            </w:pPr>
            <w:r w:rsidRPr="4380C41D">
              <w:rPr>
                <w:sz w:val="18"/>
                <w:szCs w:val="18"/>
              </w:rPr>
              <w:t>No</w:t>
            </w:r>
          </w:p>
          <w:p w14:paraId="5754B494" w14:textId="6262F3C3"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55A3776F" w14:textId="77777777" w:rsidTr="4380C41D">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20530954" w14:textId="61AD6B57" w:rsidR="00F07AAC" w:rsidRPr="00310835" w:rsidRDefault="4D1CF090" w:rsidP="4380C41D">
            <w:pPr>
              <w:tabs>
                <w:tab w:val="left" w:pos="585"/>
              </w:tabs>
              <w:spacing w:before="60" w:after="60"/>
              <w:rPr>
                <w:sz w:val="18"/>
                <w:szCs w:val="18"/>
              </w:rPr>
            </w:pPr>
            <w:r w:rsidRPr="4380C41D">
              <w:rPr>
                <w:sz w:val="18"/>
                <w:szCs w:val="18"/>
              </w:rPr>
              <w:t>No</w:t>
            </w:r>
          </w:p>
          <w:p w14:paraId="3DFE08C6" w14:textId="442F37B6"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361D75DF" w14:textId="77777777" w:rsidTr="4380C41D">
        <w:tc>
          <w:tcPr>
            <w:tcW w:w="8635" w:type="dxa"/>
            <w:tcBorders>
              <w:bottom w:val="single" w:sz="4" w:space="0" w:color="auto"/>
            </w:tcBorders>
            <w:shd w:val="clear" w:color="auto" w:fill="auto"/>
          </w:tcPr>
          <w:p w14:paraId="0BA68973" w14:textId="57299945" w:rsidR="00F07AAC" w:rsidRPr="00E677F8" w:rsidRDefault="00F07AAC" w:rsidP="00E677F8">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tc>
        <w:tc>
          <w:tcPr>
            <w:tcW w:w="833" w:type="dxa"/>
            <w:tcBorders>
              <w:bottom w:val="single" w:sz="4" w:space="0" w:color="auto"/>
            </w:tcBorders>
            <w:shd w:val="clear" w:color="auto" w:fill="auto"/>
          </w:tcPr>
          <w:p w14:paraId="500F8B3A" w14:textId="61AD6B57" w:rsidR="00F07AAC" w:rsidRPr="00310835" w:rsidRDefault="3A19684E" w:rsidP="4380C41D">
            <w:pPr>
              <w:tabs>
                <w:tab w:val="left" w:pos="585"/>
              </w:tabs>
              <w:spacing w:before="60" w:after="60"/>
              <w:rPr>
                <w:sz w:val="18"/>
                <w:szCs w:val="18"/>
              </w:rPr>
            </w:pPr>
            <w:r w:rsidRPr="4380C41D">
              <w:rPr>
                <w:sz w:val="18"/>
                <w:szCs w:val="18"/>
              </w:rPr>
              <w:t>No</w:t>
            </w:r>
          </w:p>
          <w:p w14:paraId="0EF3B2C2" w14:textId="1C988CC3"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1EDFCB63" w14:textId="77777777" w:rsidTr="4380C41D">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4380C41D">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0E673CE6" w14:textId="61AD6B57" w:rsidR="00F07AAC" w:rsidRPr="00310835" w:rsidRDefault="71A9FD2B" w:rsidP="4380C41D">
            <w:pPr>
              <w:tabs>
                <w:tab w:val="left" w:pos="585"/>
              </w:tabs>
              <w:spacing w:before="60" w:after="60"/>
              <w:rPr>
                <w:sz w:val="18"/>
                <w:szCs w:val="18"/>
              </w:rPr>
            </w:pPr>
            <w:r w:rsidRPr="4380C41D">
              <w:rPr>
                <w:sz w:val="18"/>
                <w:szCs w:val="18"/>
              </w:rPr>
              <w:t>No</w:t>
            </w:r>
          </w:p>
          <w:p w14:paraId="783A6F80" w14:textId="729B7B78"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4049D83F" w14:textId="77777777" w:rsidTr="4380C41D">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23EE2640" w14:textId="61AD6B57" w:rsidR="00F07AAC" w:rsidRPr="00310835" w:rsidRDefault="434FCE6F" w:rsidP="4380C41D">
            <w:pPr>
              <w:tabs>
                <w:tab w:val="left" w:pos="585"/>
              </w:tabs>
              <w:spacing w:before="60" w:after="60"/>
              <w:rPr>
                <w:sz w:val="18"/>
                <w:szCs w:val="18"/>
              </w:rPr>
            </w:pPr>
            <w:r w:rsidRPr="4380C41D">
              <w:rPr>
                <w:sz w:val="18"/>
                <w:szCs w:val="18"/>
              </w:rPr>
              <w:t>No</w:t>
            </w:r>
          </w:p>
          <w:p w14:paraId="4982F6FB" w14:textId="051706A9"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2214CF77" w14:textId="77777777" w:rsidTr="4380C41D">
        <w:tc>
          <w:tcPr>
            <w:tcW w:w="8635" w:type="dxa"/>
            <w:tcBorders>
              <w:bottom w:val="single" w:sz="4" w:space="0" w:color="auto"/>
            </w:tcBorders>
            <w:shd w:val="clear" w:color="auto" w:fill="auto"/>
          </w:tcPr>
          <w:p w14:paraId="656005E2" w14:textId="56B99CCE" w:rsidR="00F07AAC" w:rsidRPr="00310835" w:rsidRDefault="00F07AAC" w:rsidP="00BF0AD3">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tc>
        <w:tc>
          <w:tcPr>
            <w:tcW w:w="833" w:type="dxa"/>
            <w:tcBorders>
              <w:bottom w:val="single" w:sz="4" w:space="0" w:color="auto"/>
            </w:tcBorders>
            <w:shd w:val="clear" w:color="auto" w:fill="auto"/>
          </w:tcPr>
          <w:p w14:paraId="3B8678DA" w14:textId="61AD6B57" w:rsidR="00F07AAC" w:rsidRPr="00310835" w:rsidRDefault="4208091D" w:rsidP="4380C41D">
            <w:pPr>
              <w:tabs>
                <w:tab w:val="left" w:pos="585"/>
              </w:tabs>
              <w:spacing w:before="60" w:after="60"/>
              <w:rPr>
                <w:sz w:val="18"/>
                <w:szCs w:val="18"/>
              </w:rPr>
            </w:pPr>
            <w:r w:rsidRPr="4380C41D">
              <w:rPr>
                <w:sz w:val="18"/>
                <w:szCs w:val="18"/>
              </w:rPr>
              <w:t>No</w:t>
            </w:r>
          </w:p>
          <w:p w14:paraId="2FCE8D70" w14:textId="6B7C4C95"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7D5D8C97" w14:textId="77777777" w:rsidTr="4380C41D">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4380C41D">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6E0AC9E8" w14:textId="61AD6B57" w:rsidR="00F07AAC" w:rsidRPr="00310835" w:rsidRDefault="5EA09D5B" w:rsidP="4380C41D">
            <w:pPr>
              <w:tabs>
                <w:tab w:val="left" w:pos="585"/>
              </w:tabs>
              <w:spacing w:before="60" w:after="60"/>
              <w:rPr>
                <w:sz w:val="18"/>
                <w:szCs w:val="18"/>
              </w:rPr>
            </w:pPr>
            <w:r w:rsidRPr="4380C41D">
              <w:rPr>
                <w:sz w:val="18"/>
                <w:szCs w:val="18"/>
              </w:rPr>
              <w:t>No</w:t>
            </w:r>
          </w:p>
          <w:p w14:paraId="30544133" w14:textId="0FD6F692"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57B8C3CA" w14:textId="77777777" w:rsidTr="4380C41D">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4C71D1E3" w14:textId="61AD6B57" w:rsidR="00F07AAC" w:rsidRPr="00310835" w:rsidRDefault="4441C18E" w:rsidP="4380C41D">
            <w:pPr>
              <w:tabs>
                <w:tab w:val="left" w:pos="585"/>
              </w:tabs>
              <w:spacing w:before="60" w:after="60"/>
              <w:rPr>
                <w:sz w:val="18"/>
                <w:szCs w:val="18"/>
              </w:rPr>
            </w:pPr>
            <w:r w:rsidRPr="4380C41D">
              <w:rPr>
                <w:sz w:val="18"/>
                <w:szCs w:val="18"/>
              </w:rPr>
              <w:t>No</w:t>
            </w:r>
          </w:p>
          <w:p w14:paraId="557DD748" w14:textId="38940E46"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15413B90" w14:textId="77777777" w:rsidTr="4380C41D">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6890A0F" w14:textId="61AD6B57" w:rsidR="00F07AAC" w:rsidRPr="00310835" w:rsidRDefault="36C81531" w:rsidP="4380C41D">
            <w:pPr>
              <w:tabs>
                <w:tab w:val="left" w:pos="585"/>
              </w:tabs>
              <w:spacing w:before="60" w:after="60"/>
              <w:rPr>
                <w:sz w:val="18"/>
                <w:szCs w:val="18"/>
              </w:rPr>
            </w:pPr>
            <w:r w:rsidRPr="4380C41D">
              <w:rPr>
                <w:sz w:val="18"/>
                <w:szCs w:val="18"/>
              </w:rPr>
              <w:t>No</w:t>
            </w:r>
          </w:p>
          <w:p w14:paraId="27C03F18" w14:textId="265BE459"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0BB7E90A" w14:textId="77777777" w:rsidTr="4380C41D">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1A8429DD" w14:textId="61AD6B57" w:rsidR="00F07AAC" w:rsidRPr="00310835" w:rsidRDefault="1965C1BD" w:rsidP="4380C41D">
            <w:pPr>
              <w:tabs>
                <w:tab w:val="left" w:pos="585"/>
              </w:tabs>
              <w:spacing w:before="60" w:after="60"/>
              <w:rPr>
                <w:sz w:val="18"/>
                <w:szCs w:val="18"/>
              </w:rPr>
            </w:pPr>
            <w:r w:rsidRPr="4380C41D">
              <w:rPr>
                <w:sz w:val="18"/>
                <w:szCs w:val="18"/>
              </w:rPr>
              <w:t>No</w:t>
            </w:r>
          </w:p>
          <w:p w14:paraId="698AC517" w14:textId="0306841F"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25541A0D" w14:textId="77777777" w:rsidTr="4380C41D">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lastRenderedPageBreak/>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6263910" w14:textId="61AD6B57" w:rsidR="00F07AAC" w:rsidRPr="00310835" w:rsidRDefault="5D9D1534" w:rsidP="4380C41D">
            <w:pPr>
              <w:tabs>
                <w:tab w:val="left" w:pos="585"/>
              </w:tabs>
              <w:spacing w:before="60" w:after="60"/>
              <w:rPr>
                <w:sz w:val="18"/>
                <w:szCs w:val="18"/>
              </w:rPr>
            </w:pPr>
            <w:r w:rsidRPr="4380C41D">
              <w:rPr>
                <w:sz w:val="18"/>
                <w:szCs w:val="18"/>
              </w:rPr>
              <w:t>No</w:t>
            </w:r>
          </w:p>
          <w:p w14:paraId="5CB4F627" w14:textId="58741B08"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40EB16CF" w14:textId="77777777" w:rsidTr="4380C41D">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262A7D83" w14:textId="61AD6B57" w:rsidR="00F07AAC" w:rsidRPr="00310835" w:rsidRDefault="291B8FCB" w:rsidP="4380C41D">
            <w:pPr>
              <w:tabs>
                <w:tab w:val="left" w:pos="585"/>
              </w:tabs>
              <w:spacing w:before="60" w:after="60"/>
              <w:rPr>
                <w:sz w:val="18"/>
                <w:szCs w:val="18"/>
              </w:rPr>
            </w:pPr>
            <w:r w:rsidRPr="4380C41D">
              <w:rPr>
                <w:sz w:val="18"/>
                <w:szCs w:val="18"/>
              </w:rPr>
              <w:t>No</w:t>
            </w:r>
          </w:p>
          <w:p w14:paraId="690005CA" w14:textId="147B423B"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73F0CD23" w14:textId="77777777" w:rsidTr="4380C41D">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A629AF6" w14:textId="61AD6B57" w:rsidR="00F07AAC" w:rsidRPr="00310835" w:rsidRDefault="05703276" w:rsidP="4380C41D">
            <w:pPr>
              <w:tabs>
                <w:tab w:val="left" w:pos="585"/>
              </w:tabs>
              <w:spacing w:before="60" w:after="60"/>
              <w:rPr>
                <w:sz w:val="18"/>
                <w:szCs w:val="18"/>
              </w:rPr>
            </w:pPr>
            <w:r w:rsidRPr="4380C41D">
              <w:rPr>
                <w:sz w:val="18"/>
                <w:szCs w:val="18"/>
              </w:rPr>
              <w:t>No</w:t>
            </w:r>
          </w:p>
          <w:p w14:paraId="70D34451" w14:textId="695C3011"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2897A732" w14:textId="77777777" w:rsidTr="4380C41D">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2E5AE100" w14:textId="61AD6B57" w:rsidR="00F07AAC" w:rsidRPr="00310835" w:rsidRDefault="2136AAEE" w:rsidP="4380C41D">
            <w:pPr>
              <w:tabs>
                <w:tab w:val="left" w:pos="585"/>
              </w:tabs>
              <w:spacing w:before="60" w:after="60"/>
              <w:rPr>
                <w:sz w:val="18"/>
                <w:szCs w:val="18"/>
              </w:rPr>
            </w:pPr>
            <w:r w:rsidRPr="4380C41D">
              <w:rPr>
                <w:sz w:val="18"/>
                <w:szCs w:val="18"/>
              </w:rPr>
              <w:t>No</w:t>
            </w:r>
          </w:p>
          <w:p w14:paraId="64BFAE89" w14:textId="57BE875A"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032A3BD4" w14:textId="77777777" w:rsidTr="4380C41D">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4F91ABFD" w14:textId="61AD6B57" w:rsidR="00F07AAC" w:rsidRPr="00310835" w:rsidRDefault="1A86EC14" w:rsidP="4380C41D">
            <w:pPr>
              <w:tabs>
                <w:tab w:val="left" w:pos="585"/>
              </w:tabs>
              <w:spacing w:before="60" w:after="60"/>
              <w:rPr>
                <w:sz w:val="18"/>
                <w:szCs w:val="18"/>
              </w:rPr>
            </w:pPr>
            <w:r w:rsidRPr="4380C41D">
              <w:rPr>
                <w:sz w:val="18"/>
                <w:szCs w:val="18"/>
              </w:rPr>
              <w:t>No</w:t>
            </w:r>
          </w:p>
          <w:p w14:paraId="6262CB9D" w14:textId="721AF02D"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62B7CD99" w14:textId="77777777" w:rsidTr="4380C41D">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4380C41D">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3C54C3E7" w14:textId="61AD6B57" w:rsidR="00F07AAC" w:rsidRPr="00310835" w:rsidRDefault="7C7A7381" w:rsidP="4380C41D">
            <w:pPr>
              <w:tabs>
                <w:tab w:val="left" w:pos="585"/>
              </w:tabs>
              <w:spacing w:before="60" w:after="60"/>
              <w:rPr>
                <w:sz w:val="18"/>
                <w:szCs w:val="18"/>
              </w:rPr>
            </w:pPr>
            <w:r w:rsidRPr="4380C41D">
              <w:rPr>
                <w:sz w:val="18"/>
                <w:szCs w:val="18"/>
              </w:rPr>
              <w:t>No</w:t>
            </w:r>
          </w:p>
          <w:p w14:paraId="72AA8EBA" w14:textId="00560C96"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601DBA94" w14:textId="77777777" w:rsidTr="4380C41D">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692621E7" w14:textId="61AD6B57" w:rsidR="00F07AAC" w:rsidRPr="00310835" w:rsidRDefault="3BB0332F" w:rsidP="4380C41D">
            <w:pPr>
              <w:tabs>
                <w:tab w:val="left" w:pos="585"/>
              </w:tabs>
              <w:spacing w:before="60" w:after="60"/>
              <w:rPr>
                <w:sz w:val="18"/>
                <w:szCs w:val="18"/>
              </w:rPr>
            </w:pPr>
            <w:r w:rsidRPr="4380C41D">
              <w:rPr>
                <w:sz w:val="18"/>
                <w:szCs w:val="18"/>
              </w:rPr>
              <w:t>No</w:t>
            </w:r>
          </w:p>
          <w:p w14:paraId="31C4A5E9" w14:textId="0067ABDE"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3203F4E3" w14:textId="77777777" w:rsidTr="4380C41D">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4380C41D">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418F3ED" w14:textId="61AD6B57" w:rsidR="00F07AAC" w:rsidRPr="00310835" w:rsidRDefault="444AE4DE" w:rsidP="4380C41D">
            <w:pPr>
              <w:tabs>
                <w:tab w:val="left" w:pos="585"/>
              </w:tabs>
              <w:spacing w:before="60" w:after="60"/>
              <w:rPr>
                <w:sz w:val="18"/>
                <w:szCs w:val="18"/>
              </w:rPr>
            </w:pPr>
            <w:r w:rsidRPr="4380C41D">
              <w:rPr>
                <w:sz w:val="18"/>
                <w:szCs w:val="18"/>
              </w:rPr>
              <w:t>No</w:t>
            </w:r>
          </w:p>
          <w:p w14:paraId="29DC3855" w14:textId="4112B6EC"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472CB117" w14:textId="77777777" w:rsidTr="4380C41D">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76FD5FAF" w14:textId="61AD6B57" w:rsidR="00F07AAC" w:rsidRPr="00310835" w:rsidRDefault="775F031B" w:rsidP="4380C41D">
            <w:pPr>
              <w:tabs>
                <w:tab w:val="left" w:pos="585"/>
              </w:tabs>
              <w:spacing w:before="60" w:after="60"/>
              <w:rPr>
                <w:sz w:val="18"/>
                <w:szCs w:val="18"/>
              </w:rPr>
            </w:pPr>
            <w:r w:rsidRPr="4380C41D">
              <w:rPr>
                <w:sz w:val="18"/>
                <w:szCs w:val="18"/>
              </w:rPr>
              <w:t>No</w:t>
            </w:r>
          </w:p>
          <w:p w14:paraId="4F09D491" w14:textId="5D395699"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2FC618B0" w14:textId="77777777" w:rsidTr="4380C41D">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4"/>
            </w:r>
          </w:p>
        </w:tc>
        <w:tc>
          <w:tcPr>
            <w:tcW w:w="833" w:type="dxa"/>
            <w:tcBorders>
              <w:bottom w:val="single" w:sz="4" w:space="0" w:color="auto"/>
            </w:tcBorders>
            <w:shd w:val="clear" w:color="auto" w:fill="auto"/>
          </w:tcPr>
          <w:p w14:paraId="3D91F252" w14:textId="61AD6B57" w:rsidR="00F07AAC" w:rsidRPr="00310835" w:rsidRDefault="613992E9" w:rsidP="4380C41D">
            <w:pPr>
              <w:tabs>
                <w:tab w:val="left" w:pos="585"/>
              </w:tabs>
              <w:spacing w:before="60" w:after="60"/>
              <w:rPr>
                <w:sz w:val="18"/>
                <w:szCs w:val="18"/>
              </w:rPr>
            </w:pPr>
            <w:r w:rsidRPr="4380C41D">
              <w:rPr>
                <w:sz w:val="18"/>
                <w:szCs w:val="18"/>
              </w:rPr>
              <w:t>No</w:t>
            </w:r>
          </w:p>
          <w:p w14:paraId="4D256CA7" w14:textId="097BB438"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7A435FCB" w14:textId="77777777" w:rsidTr="4380C41D">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38717B77" w14:textId="61AD6B57" w:rsidR="00F07AAC" w:rsidRPr="00310835" w:rsidRDefault="069C529B" w:rsidP="4380C41D">
            <w:pPr>
              <w:tabs>
                <w:tab w:val="left" w:pos="585"/>
              </w:tabs>
              <w:spacing w:before="60" w:after="60"/>
              <w:rPr>
                <w:sz w:val="18"/>
                <w:szCs w:val="18"/>
              </w:rPr>
            </w:pPr>
            <w:r w:rsidRPr="4380C41D">
              <w:rPr>
                <w:sz w:val="18"/>
                <w:szCs w:val="18"/>
              </w:rPr>
              <w:t>No</w:t>
            </w:r>
          </w:p>
          <w:p w14:paraId="7263D084" w14:textId="591FD57A"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1E0672D4" w14:textId="77777777" w:rsidTr="4380C41D">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4380C41D">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329C527C" w14:textId="61AD6B57" w:rsidR="00F07AAC" w:rsidRPr="00310835" w:rsidRDefault="3290E649" w:rsidP="4380C41D">
            <w:pPr>
              <w:tabs>
                <w:tab w:val="left" w:pos="585"/>
              </w:tabs>
              <w:spacing w:before="60" w:after="60"/>
              <w:rPr>
                <w:sz w:val="18"/>
                <w:szCs w:val="18"/>
              </w:rPr>
            </w:pPr>
            <w:r w:rsidRPr="4380C41D">
              <w:rPr>
                <w:sz w:val="18"/>
                <w:szCs w:val="18"/>
              </w:rPr>
              <w:t>No</w:t>
            </w:r>
          </w:p>
          <w:p w14:paraId="784DC210" w14:textId="4B143322"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4EEF35B7" w14:textId="77777777" w:rsidTr="4380C41D">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F18599E" w14:textId="61AD6B57" w:rsidR="00F07AAC" w:rsidRPr="00310835" w:rsidRDefault="44315705" w:rsidP="4380C41D">
            <w:pPr>
              <w:tabs>
                <w:tab w:val="left" w:pos="585"/>
              </w:tabs>
              <w:spacing w:before="60" w:after="60"/>
              <w:rPr>
                <w:sz w:val="18"/>
                <w:szCs w:val="18"/>
              </w:rPr>
            </w:pPr>
            <w:r w:rsidRPr="4380C41D">
              <w:rPr>
                <w:sz w:val="18"/>
                <w:szCs w:val="18"/>
              </w:rPr>
              <w:t>No</w:t>
            </w:r>
          </w:p>
          <w:p w14:paraId="7A66A5AF" w14:textId="7ED9EA5A"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2015B0FC" w14:textId="77777777" w:rsidTr="4380C41D">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lastRenderedPageBreak/>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393D4AFC" w14:textId="61AD6B57" w:rsidR="00F07AAC" w:rsidRPr="00310835" w:rsidRDefault="358A6FB3" w:rsidP="4380C41D">
            <w:pPr>
              <w:tabs>
                <w:tab w:val="left" w:pos="585"/>
              </w:tabs>
              <w:spacing w:before="60" w:after="60"/>
              <w:rPr>
                <w:sz w:val="18"/>
                <w:szCs w:val="18"/>
              </w:rPr>
            </w:pPr>
            <w:r w:rsidRPr="4380C41D">
              <w:rPr>
                <w:sz w:val="18"/>
                <w:szCs w:val="18"/>
              </w:rPr>
              <w:lastRenderedPageBreak/>
              <w:t>No</w:t>
            </w:r>
          </w:p>
          <w:p w14:paraId="13D65208" w14:textId="0E5D2CF6"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7B8EBF35" w14:textId="77777777" w:rsidTr="4380C41D">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0D1E39C" w14:textId="61AD6B57" w:rsidR="00F07AAC" w:rsidRPr="00310835" w:rsidRDefault="6042EF81" w:rsidP="4380C41D">
            <w:pPr>
              <w:tabs>
                <w:tab w:val="left" w:pos="585"/>
              </w:tabs>
              <w:spacing w:before="60" w:after="60"/>
              <w:rPr>
                <w:sz w:val="18"/>
                <w:szCs w:val="18"/>
              </w:rPr>
            </w:pPr>
            <w:r w:rsidRPr="4380C41D">
              <w:rPr>
                <w:sz w:val="18"/>
                <w:szCs w:val="18"/>
              </w:rPr>
              <w:t>No</w:t>
            </w:r>
          </w:p>
          <w:p w14:paraId="7F65B2F1" w14:textId="128CFACD"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72667D03" w14:textId="77777777" w:rsidTr="4380C41D">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1D78AEC3" w14:textId="61AD6B57" w:rsidR="00F07AAC" w:rsidRPr="00310835" w:rsidRDefault="074C47EF" w:rsidP="4380C41D">
            <w:pPr>
              <w:tabs>
                <w:tab w:val="left" w:pos="585"/>
              </w:tabs>
              <w:spacing w:before="60" w:after="60"/>
              <w:rPr>
                <w:sz w:val="18"/>
                <w:szCs w:val="18"/>
              </w:rPr>
            </w:pPr>
            <w:r w:rsidRPr="4380C41D">
              <w:rPr>
                <w:sz w:val="18"/>
                <w:szCs w:val="18"/>
              </w:rPr>
              <w:t>No</w:t>
            </w:r>
          </w:p>
          <w:p w14:paraId="750F98D1" w14:textId="2CCFA1DD"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5222C2A1" w14:textId="77777777" w:rsidTr="4380C41D">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7CDA6404" w14:textId="61AD6B57" w:rsidR="00F07AAC" w:rsidRPr="00310835" w:rsidRDefault="1F99BC56" w:rsidP="4380C41D">
            <w:pPr>
              <w:tabs>
                <w:tab w:val="left" w:pos="585"/>
              </w:tabs>
              <w:spacing w:before="60" w:after="60"/>
              <w:rPr>
                <w:sz w:val="18"/>
                <w:szCs w:val="18"/>
              </w:rPr>
            </w:pPr>
            <w:r w:rsidRPr="4380C41D">
              <w:rPr>
                <w:sz w:val="18"/>
                <w:szCs w:val="18"/>
              </w:rPr>
              <w:t>No</w:t>
            </w:r>
          </w:p>
          <w:p w14:paraId="2DCDFAFF" w14:textId="0ED22B30"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1AA7D1CF" w14:textId="77777777" w:rsidTr="4380C41D">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7D416EA5" w14:textId="61AD6B57" w:rsidR="00F07AAC" w:rsidRPr="00310835" w:rsidRDefault="09E0C47F" w:rsidP="4380C41D">
            <w:pPr>
              <w:tabs>
                <w:tab w:val="left" w:pos="585"/>
              </w:tabs>
              <w:spacing w:before="60" w:after="60"/>
              <w:rPr>
                <w:sz w:val="18"/>
                <w:szCs w:val="18"/>
              </w:rPr>
            </w:pPr>
            <w:r w:rsidRPr="4380C41D">
              <w:rPr>
                <w:sz w:val="18"/>
                <w:szCs w:val="18"/>
              </w:rPr>
              <w:t>No</w:t>
            </w:r>
          </w:p>
          <w:p w14:paraId="5C8CA521" w14:textId="39DA98D2"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152D4485" w14:textId="77777777" w:rsidTr="4380C41D">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1D98AF7E" w14:textId="61AD6B57" w:rsidR="00F07AAC" w:rsidRPr="00310835" w:rsidRDefault="218652AF" w:rsidP="4380C41D">
            <w:pPr>
              <w:tabs>
                <w:tab w:val="left" w:pos="585"/>
              </w:tabs>
              <w:spacing w:before="60" w:after="60"/>
              <w:rPr>
                <w:sz w:val="18"/>
                <w:szCs w:val="18"/>
              </w:rPr>
            </w:pPr>
            <w:r w:rsidRPr="4380C41D">
              <w:rPr>
                <w:sz w:val="18"/>
                <w:szCs w:val="18"/>
              </w:rPr>
              <w:t>No</w:t>
            </w:r>
          </w:p>
          <w:p w14:paraId="3D2024B7" w14:textId="4F86A16D"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3876E433" w14:textId="77777777" w:rsidTr="4380C41D">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1F9D4F5" w14:textId="61AD6B57" w:rsidR="00F07AAC" w:rsidRPr="00310835" w:rsidRDefault="56C776F3" w:rsidP="4380C41D">
            <w:pPr>
              <w:tabs>
                <w:tab w:val="left" w:pos="585"/>
              </w:tabs>
              <w:spacing w:before="60" w:after="60"/>
              <w:rPr>
                <w:sz w:val="18"/>
                <w:szCs w:val="18"/>
              </w:rPr>
            </w:pPr>
            <w:r w:rsidRPr="4380C41D">
              <w:rPr>
                <w:sz w:val="18"/>
                <w:szCs w:val="18"/>
              </w:rPr>
              <w:t>No</w:t>
            </w:r>
          </w:p>
          <w:p w14:paraId="1542A314" w14:textId="3405F47E"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72A70D4E" w14:textId="77777777" w:rsidTr="4380C41D">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4380C41D">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7BB8D899" w14:textId="61AD6B57" w:rsidR="00F07AAC" w:rsidRPr="00310835" w:rsidRDefault="36ED1B1E" w:rsidP="4380C41D">
            <w:pPr>
              <w:rPr>
                <w:sz w:val="18"/>
                <w:szCs w:val="18"/>
              </w:rPr>
            </w:pPr>
            <w:r w:rsidRPr="4380C41D">
              <w:rPr>
                <w:sz w:val="18"/>
                <w:szCs w:val="18"/>
              </w:rPr>
              <w:t>No</w:t>
            </w:r>
          </w:p>
          <w:p w14:paraId="26AE8AE7" w14:textId="3AA6F363" w:rsidR="00F07AAC" w:rsidRPr="00310835" w:rsidRDefault="00F07AAC" w:rsidP="4380C41D">
            <w:pPr>
              <w:rPr>
                <w:rFonts w:eastAsia="Times New Roman"/>
                <w:sz w:val="18"/>
                <w:szCs w:val="18"/>
              </w:rPr>
            </w:pPr>
          </w:p>
        </w:tc>
      </w:tr>
      <w:tr w:rsidR="00F07AAC" w:rsidRPr="00310835" w14:paraId="2BB902A4" w14:textId="77777777" w:rsidTr="4380C41D">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4B9D13C8" w14:textId="61AD6B57" w:rsidR="00F07AAC" w:rsidRPr="00310835" w:rsidRDefault="68500F1B" w:rsidP="4380C41D">
            <w:pPr>
              <w:rPr>
                <w:sz w:val="18"/>
                <w:szCs w:val="18"/>
              </w:rPr>
            </w:pPr>
            <w:r w:rsidRPr="4380C41D">
              <w:rPr>
                <w:sz w:val="18"/>
                <w:szCs w:val="18"/>
              </w:rPr>
              <w:t>No</w:t>
            </w:r>
          </w:p>
          <w:p w14:paraId="038BF815" w14:textId="39A736D6" w:rsidR="00F07AAC" w:rsidRPr="00310835" w:rsidRDefault="00F07AAC" w:rsidP="4380C41D">
            <w:pPr>
              <w:rPr>
                <w:rFonts w:eastAsia="Times New Roman"/>
                <w:sz w:val="18"/>
                <w:szCs w:val="18"/>
              </w:rPr>
            </w:pPr>
          </w:p>
        </w:tc>
      </w:tr>
      <w:tr w:rsidR="00F07AAC" w:rsidRPr="00310835" w14:paraId="033ABEF6" w14:textId="77777777" w:rsidTr="4380C41D">
        <w:trPr>
          <w:trHeight w:val="402"/>
        </w:trPr>
        <w:tc>
          <w:tcPr>
            <w:tcW w:w="8635" w:type="dxa"/>
            <w:tcBorders>
              <w:bottom w:val="single" w:sz="4" w:space="0" w:color="auto"/>
            </w:tcBorders>
            <w:shd w:val="clear" w:color="auto" w:fill="auto"/>
          </w:tcPr>
          <w:p w14:paraId="6A8C947C" w14:textId="779E9DB4" w:rsidR="00F07AAC" w:rsidRPr="00310835" w:rsidRDefault="00F07AAC" w:rsidP="00557C84">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tc>
        <w:tc>
          <w:tcPr>
            <w:tcW w:w="833" w:type="dxa"/>
            <w:tcBorders>
              <w:bottom w:val="single" w:sz="4" w:space="0" w:color="auto"/>
            </w:tcBorders>
            <w:shd w:val="clear" w:color="auto" w:fill="auto"/>
          </w:tcPr>
          <w:p w14:paraId="25F2B032" w14:textId="61AD6B57" w:rsidR="00F07AAC" w:rsidRPr="00310835" w:rsidRDefault="70F0AEBF" w:rsidP="4380C41D">
            <w:pPr>
              <w:rPr>
                <w:sz w:val="18"/>
                <w:szCs w:val="18"/>
              </w:rPr>
            </w:pPr>
            <w:r w:rsidRPr="4380C41D">
              <w:rPr>
                <w:sz w:val="18"/>
                <w:szCs w:val="18"/>
              </w:rPr>
              <w:t>No</w:t>
            </w:r>
          </w:p>
          <w:p w14:paraId="2E2958A7" w14:textId="5362EECF" w:rsidR="00F07AAC" w:rsidRPr="00310835" w:rsidRDefault="00F07AAC" w:rsidP="4380C41D">
            <w:pPr>
              <w:rPr>
                <w:rFonts w:eastAsia="Times New Roman"/>
                <w:sz w:val="18"/>
                <w:szCs w:val="18"/>
              </w:rPr>
            </w:pPr>
          </w:p>
        </w:tc>
      </w:tr>
      <w:tr w:rsidR="00F07AAC" w:rsidRPr="00310835" w14:paraId="05F84814" w14:textId="77777777" w:rsidTr="4380C41D">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26690FBE" w14:textId="61AD6B57" w:rsidR="00F07AAC" w:rsidRPr="00310835" w:rsidRDefault="0FB19BEC" w:rsidP="4380C41D">
            <w:pPr>
              <w:tabs>
                <w:tab w:val="left" w:pos="585"/>
              </w:tabs>
              <w:spacing w:before="60" w:after="60"/>
              <w:rPr>
                <w:sz w:val="18"/>
                <w:szCs w:val="18"/>
              </w:rPr>
            </w:pPr>
            <w:r w:rsidRPr="4380C41D">
              <w:rPr>
                <w:sz w:val="18"/>
                <w:szCs w:val="18"/>
              </w:rPr>
              <w:t>No</w:t>
            </w:r>
          </w:p>
          <w:p w14:paraId="0013783C" w14:textId="43122D03" w:rsidR="00F07AAC" w:rsidRPr="00310835" w:rsidRDefault="00F07AAC" w:rsidP="4380C41D">
            <w:pPr>
              <w:tabs>
                <w:tab w:val="left" w:pos="585"/>
              </w:tabs>
              <w:spacing w:before="60" w:after="60"/>
              <w:ind w:left="567" w:hanging="567"/>
              <w:rPr>
                <w:rFonts w:eastAsia="Times New Roman"/>
                <w:sz w:val="18"/>
                <w:szCs w:val="18"/>
              </w:rPr>
            </w:pPr>
          </w:p>
        </w:tc>
      </w:tr>
      <w:tr w:rsidR="00F07AAC" w:rsidRPr="00310835" w14:paraId="673E3722" w14:textId="77777777" w:rsidTr="4380C41D">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59C6DAFB" w14:textId="61AD6B57" w:rsidR="00F07AAC" w:rsidRPr="00310835" w:rsidRDefault="60B9B3C6" w:rsidP="4380C41D">
            <w:pPr>
              <w:tabs>
                <w:tab w:val="left" w:pos="585"/>
              </w:tabs>
              <w:spacing w:before="60" w:after="60"/>
              <w:rPr>
                <w:sz w:val="18"/>
                <w:szCs w:val="18"/>
              </w:rPr>
            </w:pPr>
            <w:r w:rsidRPr="4380C41D">
              <w:rPr>
                <w:sz w:val="18"/>
                <w:szCs w:val="18"/>
              </w:rPr>
              <w:t>No</w:t>
            </w:r>
          </w:p>
          <w:p w14:paraId="78B2323D" w14:textId="52B267AE" w:rsidR="00F07AAC" w:rsidRPr="00310835" w:rsidRDefault="00F07AAC" w:rsidP="4380C41D">
            <w:pPr>
              <w:tabs>
                <w:tab w:val="left" w:pos="585"/>
              </w:tabs>
              <w:spacing w:before="60" w:after="60"/>
              <w:ind w:left="567" w:hanging="567"/>
              <w:rPr>
                <w:rFonts w:eastAsia="Times New Roman"/>
                <w:sz w:val="18"/>
                <w:szCs w:val="18"/>
              </w:rPr>
            </w:pP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7F4A" w14:textId="77777777" w:rsidR="00323356" w:rsidRDefault="00323356" w:rsidP="00323A56">
      <w:r>
        <w:separator/>
      </w:r>
    </w:p>
  </w:endnote>
  <w:endnote w:type="continuationSeparator" w:id="0">
    <w:p w14:paraId="585F17B3" w14:textId="77777777" w:rsidR="00323356" w:rsidRDefault="00323356" w:rsidP="00323A56">
      <w:r>
        <w:continuationSeparator/>
      </w:r>
    </w:p>
  </w:endnote>
  <w:endnote w:type="continuationNotice" w:id="1">
    <w:p w14:paraId="1ABE0D17" w14:textId="77777777" w:rsidR="00323356" w:rsidRDefault="0032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2FE1" w14:textId="77777777" w:rsidR="00323356" w:rsidRDefault="00323356" w:rsidP="00323A56">
      <w:r>
        <w:separator/>
      </w:r>
    </w:p>
  </w:footnote>
  <w:footnote w:type="continuationSeparator" w:id="0">
    <w:p w14:paraId="6977FC1A" w14:textId="77777777" w:rsidR="00323356" w:rsidRDefault="00323356" w:rsidP="00323A56">
      <w:r>
        <w:continuationSeparator/>
      </w:r>
    </w:p>
  </w:footnote>
  <w:footnote w:type="continuationNotice" w:id="1">
    <w:p w14:paraId="55D914E8" w14:textId="77777777" w:rsidR="00323356" w:rsidRDefault="00323356"/>
  </w:footnote>
  <w:footnote w:id="2">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lvlText w:val="%1.%2"/>
      <w:lvlJc w:val="left"/>
      <w:pPr>
        <w:ind w:left="820" w:hanging="460"/>
      </w:pPr>
    </w:lvl>
    <w:lvl w:ilvl="2">
      <w:start w:val="1"/>
      <w:numFmt w:val="decimal"/>
      <w:lvlText w:val="%1.%2.%3"/>
      <w:lvlJc w:val="left"/>
      <w:pPr>
        <w:ind w:left="820" w:hanging="4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076F2"/>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B1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3455"/>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6D23"/>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42F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809"/>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D03"/>
    <w:rsid w:val="00322E8B"/>
    <w:rsid w:val="00323356"/>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4DC8"/>
    <w:rsid w:val="003F5543"/>
    <w:rsid w:val="003F6278"/>
    <w:rsid w:val="003F6D91"/>
    <w:rsid w:val="00400EF7"/>
    <w:rsid w:val="004011B8"/>
    <w:rsid w:val="00401A8D"/>
    <w:rsid w:val="00402913"/>
    <w:rsid w:val="0040318D"/>
    <w:rsid w:val="00403E08"/>
    <w:rsid w:val="00403F25"/>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4B45"/>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7E5"/>
    <w:rsid w:val="004E6B10"/>
    <w:rsid w:val="004F06BB"/>
    <w:rsid w:val="004F180A"/>
    <w:rsid w:val="004F1D9E"/>
    <w:rsid w:val="004F25A6"/>
    <w:rsid w:val="004F2660"/>
    <w:rsid w:val="004F340D"/>
    <w:rsid w:val="004F3714"/>
    <w:rsid w:val="004F4D7B"/>
    <w:rsid w:val="004F5CC7"/>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675F"/>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57C84"/>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0E7A"/>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30"/>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4FB"/>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6D7"/>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196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7B1"/>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3A9"/>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3D27"/>
    <w:rsid w:val="008C405F"/>
    <w:rsid w:val="008C42DE"/>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6B9"/>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0E0D"/>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CDD"/>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2987"/>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6445"/>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4DC7"/>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11E"/>
    <w:rsid w:val="00B02781"/>
    <w:rsid w:val="00B04DF1"/>
    <w:rsid w:val="00B061E3"/>
    <w:rsid w:val="00B061E6"/>
    <w:rsid w:val="00B06D89"/>
    <w:rsid w:val="00B112BD"/>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263"/>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A6"/>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AD3"/>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95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46F5"/>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780"/>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7F8"/>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6B4E"/>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75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235"/>
    <w:rsid w:val="00FF29B8"/>
    <w:rsid w:val="00FF2A3F"/>
    <w:rsid w:val="00FF30ED"/>
    <w:rsid w:val="00FF4830"/>
    <w:rsid w:val="00FF50C7"/>
    <w:rsid w:val="00FF5671"/>
    <w:rsid w:val="00FF5A21"/>
    <w:rsid w:val="00FF7CC1"/>
    <w:rsid w:val="05703276"/>
    <w:rsid w:val="066E4532"/>
    <w:rsid w:val="069C529B"/>
    <w:rsid w:val="06B3EA0F"/>
    <w:rsid w:val="074C47EF"/>
    <w:rsid w:val="09E0C47F"/>
    <w:rsid w:val="0C431DC5"/>
    <w:rsid w:val="0FAFFFF3"/>
    <w:rsid w:val="0FB19BEC"/>
    <w:rsid w:val="10D271B9"/>
    <w:rsid w:val="14675486"/>
    <w:rsid w:val="15D29A25"/>
    <w:rsid w:val="17B37ACB"/>
    <w:rsid w:val="186CB05A"/>
    <w:rsid w:val="1898AC44"/>
    <w:rsid w:val="1965C1BD"/>
    <w:rsid w:val="198F0E3B"/>
    <w:rsid w:val="1A86EC14"/>
    <w:rsid w:val="1CB4B810"/>
    <w:rsid w:val="1D2D405E"/>
    <w:rsid w:val="1F99BC56"/>
    <w:rsid w:val="21219216"/>
    <w:rsid w:val="2136AAEE"/>
    <w:rsid w:val="218652AF"/>
    <w:rsid w:val="240DDB93"/>
    <w:rsid w:val="2533C5C3"/>
    <w:rsid w:val="261ECE54"/>
    <w:rsid w:val="27CB6F4F"/>
    <w:rsid w:val="291B8FCB"/>
    <w:rsid w:val="2F838F2F"/>
    <w:rsid w:val="300A3FE2"/>
    <w:rsid w:val="3290E649"/>
    <w:rsid w:val="34965A7C"/>
    <w:rsid w:val="358A6FB3"/>
    <w:rsid w:val="35E82ECA"/>
    <w:rsid w:val="3601535A"/>
    <w:rsid w:val="36C81531"/>
    <w:rsid w:val="36ED1B1E"/>
    <w:rsid w:val="3A1818CD"/>
    <w:rsid w:val="3A19684E"/>
    <w:rsid w:val="3BB0332F"/>
    <w:rsid w:val="3DFFBC61"/>
    <w:rsid w:val="3E303DC7"/>
    <w:rsid w:val="4208091D"/>
    <w:rsid w:val="434FCE6F"/>
    <w:rsid w:val="4380C41D"/>
    <w:rsid w:val="44315705"/>
    <w:rsid w:val="4441C18E"/>
    <w:rsid w:val="444AE4DE"/>
    <w:rsid w:val="465E001C"/>
    <w:rsid w:val="497FE6FD"/>
    <w:rsid w:val="4A1A041A"/>
    <w:rsid w:val="4C2B05EF"/>
    <w:rsid w:val="4C3BA7C5"/>
    <w:rsid w:val="4D1CF090"/>
    <w:rsid w:val="4E1512A7"/>
    <w:rsid w:val="4E38CF2F"/>
    <w:rsid w:val="4FFD25B8"/>
    <w:rsid w:val="52A3072E"/>
    <w:rsid w:val="53813E8D"/>
    <w:rsid w:val="56C776F3"/>
    <w:rsid w:val="59065F1D"/>
    <w:rsid w:val="5A083A4B"/>
    <w:rsid w:val="5AEF3056"/>
    <w:rsid w:val="5CE24555"/>
    <w:rsid w:val="5D340292"/>
    <w:rsid w:val="5D860C92"/>
    <w:rsid w:val="5D9D1534"/>
    <w:rsid w:val="5EA09D5B"/>
    <w:rsid w:val="5FBAC555"/>
    <w:rsid w:val="6042EF81"/>
    <w:rsid w:val="60A2BDBC"/>
    <w:rsid w:val="60B9B3C6"/>
    <w:rsid w:val="60BE954C"/>
    <w:rsid w:val="613992E9"/>
    <w:rsid w:val="62555DDF"/>
    <w:rsid w:val="64AEA451"/>
    <w:rsid w:val="64E640A8"/>
    <w:rsid w:val="6510A29E"/>
    <w:rsid w:val="66030FD2"/>
    <w:rsid w:val="66376AC7"/>
    <w:rsid w:val="67890B2E"/>
    <w:rsid w:val="68500F1B"/>
    <w:rsid w:val="69DFF985"/>
    <w:rsid w:val="70F0AEBF"/>
    <w:rsid w:val="71A9FD2B"/>
    <w:rsid w:val="74AB9B97"/>
    <w:rsid w:val="775F031B"/>
    <w:rsid w:val="7B963450"/>
    <w:rsid w:val="7C7A7381"/>
    <w:rsid w:val="7D986C57"/>
    <w:rsid w:val="7F4DD55D"/>
    <w:rsid w:val="7F727F3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5D3214C"/>
  <w15:docId w15:val="{9E07D7A2-0F45-4BD8-A9B4-643D4D8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ATLASPDC-4-156114</_dlc_DocId>
    <_dlc_DocIdUrl xmlns="f1161f5b-24a3-4c2d-bc81-44cb9325e8ee">
      <Url>https://info.undp.org/docs/pdc/_layouts/DocIdRedir.aspx?ID=ATLASPDC-4-156114</Url>
      <Description>ATLASPDC-4-156114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F257B813-DA51-4089-BF4D-5AE7D7DE7BFA}">
  <ds:schemaRefs>
    <ds:schemaRef ds:uri="http://schemas.openxmlformats.org/officeDocument/2006/bibliography"/>
  </ds:schemaRefs>
</ds:datastoreItem>
</file>

<file path=customXml/itemProps3.xml><?xml version="1.0" encoding="utf-8"?>
<ds:datastoreItem xmlns:ds="http://schemas.openxmlformats.org/officeDocument/2006/customXml" ds:itemID="{C158C535-0B16-43E7-A251-F06BCADC59EC}">
  <ds:schemaRefs>
    <ds:schemaRef ds:uri="200a9967-79c2-4f32-916b-bf2d048c86ca"/>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1ea23e27-1dd4-44ab-8bd4-d9d73a3ad34f"/>
  </ds:schemaRefs>
</ds:datastoreItem>
</file>

<file path=customXml/itemProps4.xml><?xml version="1.0" encoding="utf-8"?>
<ds:datastoreItem xmlns:ds="http://schemas.openxmlformats.org/officeDocument/2006/customXml" ds:itemID="{E09E07D0-1A71-4E39-9CE4-26F27A344DCE}"/>
</file>

<file path=customXml/itemProps5.xml><?xml version="1.0" encoding="utf-8"?>
<ds:datastoreItem xmlns:ds="http://schemas.openxmlformats.org/officeDocument/2006/customXml" ds:itemID="{7E01A7C8-15C9-489F-AD65-C97D2AC0812F}"/>
</file>

<file path=docProps/app.xml><?xml version="1.0" encoding="utf-8"?>
<Properties xmlns="http://schemas.openxmlformats.org/officeDocument/2006/extended-properties" xmlns:vt="http://schemas.openxmlformats.org/officeDocument/2006/docPropsVTypes">
  <Template>Normal</Template>
  <TotalTime>3</TotalTime>
  <Pages>7</Pages>
  <Words>2888</Words>
  <Characters>16465</Characters>
  <Application>Microsoft Office Word</Application>
  <DocSecurity>0</DocSecurity>
  <Lines>137</Lines>
  <Paragraphs>38</Paragraphs>
  <ScaleCrop>false</ScaleCrop>
  <Company/>
  <LinksUpToDate>false</LinksUpToDate>
  <CharactersWithSpaces>19315</CharactersWithSpaces>
  <SharedDoc>false</SharedDoc>
  <HLinks>
    <vt:vector size="36" baseType="variant">
      <vt:variant>
        <vt:i4>1245198</vt:i4>
      </vt:variant>
      <vt:variant>
        <vt:i4>15</vt:i4>
      </vt:variant>
      <vt:variant>
        <vt:i4>0</vt:i4>
      </vt:variant>
      <vt:variant>
        <vt:i4>5</vt:i4>
      </vt:variant>
      <vt:variant>
        <vt:lpwstr/>
      </vt:variant>
      <vt:variant>
        <vt:lpwstr>TransboundaryImpactsGlossary</vt:lpwstr>
      </vt:variant>
      <vt:variant>
        <vt:i4>7929978</vt:i4>
      </vt:variant>
      <vt:variant>
        <vt:i4>12</vt:i4>
      </vt:variant>
      <vt:variant>
        <vt:i4>0</vt:i4>
      </vt:variant>
      <vt:variant>
        <vt:i4>5</vt:i4>
      </vt:variant>
      <vt:variant>
        <vt:lpwstr/>
      </vt:variant>
      <vt:variant>
        <vt:lpwstr>CCVulnerabilityGlossary</vt:lpwstr>
      </vt:variant>
      <vt:variant>
        <vt:i4>589826</vt:i4>
      </vt:variant>
      <vt:variant>
        <vt:i4>9</vt:i4>
      </vt:variant>
      <vt:variant>
        <vt:i4>0</vt:i4>
      </vt:variant>
      <vt:variant>
        <vt:i4>5</vt:i4>
      </vt:variant>
      <vt:variant>
        <vt:lpwstr/>
      </vt:variant>
      <vt:variant>
        <vt:lpwstr>SustNatResManGlossary</vt:lpwstr>
      </vt:variant>
      <vt:variant>
        <vt:i4>2490468</vt:i4>
      </vt:variant>
      <vt:variant>
        <vt:i4>6</vt:i4>
      </vt:variant>
      <vt:variant>
        <vt:i4>0</vt:i4>
      </vt:variant>
      <vt:variant>
        <vt:i4>5</vt:i4>
      </vt:variant>
      <vt:variant>
        <vt:lpwstr>http://www.undp.org/content/undp/en/home/librarypage/operations1/undp-social-and-environmental-screening-procedure.html</vt:lpwstr>
      </vt:variant>
      <vt:variant>
        <vt:lpwstr/>
      </vt:variant>
      <vt:variant>
        <vt:i4>4128842</vt:i4>
      </vt:variant>
      <vt:variant>
        <vt:i4>3</vt:i4>
      </vt:variant>
      <vt:variant>
        <vt:i4>0</vt:i4>
      </vt:variant>
      <vt:variant>
        <vt:i4>5</vt:i4>
      </vt:variant>
      <vt:variant>
        <vt:lpwstr>https://intranet.undp.org/unit/bpps/DI/SES_Toolkit/</vt:lpwstr>
      </vt:variant>
      <vt:variant>
        <vt:lpwstr/>
      </vt:variant>
      <vt:variant>
        <vt:i4>2490468</vt:i4>
      </vt:variant>
      <vt:variant>
        <vt:i4>0</vt:i4>
      </vt:variant>
      <vt:variant>
        <vt:i4>0</vt:i4>
      </vt:variant>
      <vt:variant>
        <vt:i4>5</vt:i4>
      </vt:variant>
      <vt:variant>
        <vt:lpwstr>http://www.undp.org/content/undp/en/home/librarypage/operations1/undp-social-and-environmental-screening-procedure.html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keywords/>
  <cp:lastModifiedBy>Patrick GREMILLET</cp:lastModifiedBy>
  <cp:revision>2</cp:revision>
  <cp:lastPrinted>2014-12-09T10:35:00Z</cp:lastPrinted>
  <dcterms:created xsi:type="dcterms:W3CDTF">2022-01-04T18:08:00Z</dcterms:created>
  <dcterms:modified xsi:type="dcterms:W3CDTF">2022-01-04T18:08:00Z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23363bf2-d4a4-4676-a12e-7aedce12ba67</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UNDPPublishedDate">
    <vt:filetime>2022-03-19T19:00:00Z</vt:filetime>
  </property>
  <property fmtid="{D5CDD505-2E9C-101B-9397-08002B2CF9AE}" pid="14" name="UndpClassificationLevel">
    <vt:lpwstr>Public</vt:lpwstr>
  </property>
  <property fmtid="{D5CDD505-2E9C-101B-9397-08002B2CF9AE}" pid="15" name="PDC Document Category">
    <vt:lpwstr>Project</vt:lpwstr>
  </property>
  <property fmtid="{D5CDD505-2E9C-101B-9397-08002B2CF9AE}" pid="16" name="UN Languages">
    <vt:lpwstr>1;#English|7f98b732-4b5b-4b70-ba90-a0eff09b5d2d</vt:lpwstr>
  </property>
  <property fmtid="{D5CDD505-2E9C-101B-9397-08002B2CF9AE}" pid="17" name="Atlas Document Status">
    <vt:lpwstr>763;#Draft|121d40a5-e62e-4d42-82e4-d6d12003de0a</vt:lpwstr>
  </property>
  <property fmtid="{D5CDD505-2E9C-101B-9397-08002B2CF9AE}" pid="18" name="UndpProjectNo">
    <vt:lpwstr>127625</vt:lpwstr>
  </property>
  <property fmtid="{D5CDD505-2E9C-101B-9397-08002B2CF9AE}" pid="19" name="Document Coverage Period End Date">
    <vt:filetime>2022-12-31T06:00:00Z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gc6531b704974d528487414686b72f6f">
    <vt:lpwstr/>
  </property>
  <property fmtid="{D5CDD505-2E9C-101B-9397-08002B2CF9AE}" pid="25" name="UndpOUCode">
    <vt:lpwstr/>
  </property>
  <property fmtid="{D5CDD505-2E9C-101B-9397-08002B2CF9AE}" pid="27" name="UNDPCountryTaxHTField0">
    <vt:lpwstr/>
  </property>
  <property fmtid="{D5CDD505-2E9C-101B-9397-08002B2CF9AE}" pid="28" name="DocumentSetDescription">
    <vt:lpwstr/>
  </property>
  <property fmtid="{D5CDD505-2E9C-101B-9397-08002B2CF9AE}" pid="29" name="c4e2ab2cc9354bbf9064eeb465a566ea">
    <vt:lpwstr/>
  </property>
  <property fmtid="{D5CDD505-2E9C-101B-9397-08002B2CF9AE}" pid="30" name="UnitTaxHTField0">
    <vt:lpwstr/>
  </property>
  <property fmtid="{D5CDD505-2E9C-101B-9397-08002B2CF9AE}" pid="31" name="Project Manager">
    <vt:lpwstr/>
  </property>
  <property fmtid="{D5CDD505-2E9C-101B-9397-08002B2CF9AE}" pid="32" name="_Publisher">
    <vt:lpwstr/>
  </property>
  <property fmtid="{D5CDD505-2E9C-101B-9397-08002B2CF9AE}" pid="33" name="UndpDocStatus">
    <vt:lpwstr/>
  </property>
  <property fmtid="{D5CDD505-2E9C-101B-9397-08002B2CF9AE}" pid="34" name="Project Number">
    <vt:lpwstr/>
  </property>
  <property fmtid="{D5CDD505-2E9C-101B-9397-08002B2CF9AE}" pid="35" name="Operating Unit0">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