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138D3" w14:textId="77777777" w:rsidR="006A6165" w:rsidRPr="003C7A64" w:rsidRDefault="006A6165" w:rsidP="006A6165">
      <w:pPr>
        <w:pStyle w:val="Heading1"/>
        <w:numPr>
          <w:ilvl w:val="0"/>
          <w:numId w:val="0"/>
        </w:numPr>
      </w:pPr>
      <w:bookmarkStart w:id="0" w:name="_Toc404528201"/>
      <w:r w:rsidRPr="003C7A64">
        <w:t>Annex [1].  Social and Environmental Screening Template</w:t>
      </w:r>
      <w:bookmarkEnd w:id="0"/>
    </w:p>
    <w:p w14:paraId="2D0DE446" w14:textId="77777777" w:rsidR="006A6165" w:rsidRPr="003C7A64" w:rsidRDefault="006A6165" w:rsidP="006A6165">
      <w:pPr>
        <w:rPr>
          <w:i/>
          <w:szCs w:val="20"/>
        </w:rPr>
      </w:pPr>
    </w:p>
    <w:p w14:paraId="08FB2162" w14:textId="77777777" w:rsidR="006A6165" w:rsidRPr="003C7A64" w:rsidRDefault="006A6165" w:rsidP="006A6165">
      <w:pPr>
        <w:rPr>
          <w:i/>
        </w:rPr>
      </w:pPr>
      <w:r w:rsidRPr="003C7A64">
        <w:rPr>
          <w:i/>
          <w:szCs w:val="20"/>
        </w:rPr>
        <w:t xml:space="preserve">The completed template, which constitutes the Social and Environmental Screening Report, must be included as an annex to the Project Document. Please refer to the </w:t>
      </w:r>
      <w:hyperlink r:id="rId5" w:history="1">
        <w:r w:rsidRPr="003C7A64">
          <w:rPr>
            <w:rStyle w:val="Hyperlink"/>
            <w:i/>
            <w:szCs w:val="20"/>
          </w:rPr>
          <w:t>Social and Environmental Screening Procedure</w:t>
        </w:r>
      </w:hyperlink>
      <w:r w:rsidRPr="00407304">
        <w:rPr>
          <w:i/>
          <w:szCs w:val="20"/>
        </w:rPr>
        <w:t xml:space="preserve"> and </w:t>
      </w:r>
      <w:hyperlink r:id="rId6" w:history="1">
        <w:r w:rsidRPr="003C7A64">
          <w:rPr>
            <w:rStyle w:val="Hyperlink"/>
            <w:i/>
            <w:szCs w:val="20"/>
          </w:rPr>
          <w:t>Toolkit</w:t>
        </w:r>
      </w:hyperlink>
      <w:r w:rsidRPr="00407304">
        <w:rPr>
          <w:i/>
          <w:szCs w:val="20"/>
        </w:rPr>
        <w:t xml:space="preserve"> for guidance on</w:t>
      </w:r>
      <w:r w:rsidRPr="00EC5B16">
        <w:rPr>
          <w:i/>
          <w:szCs w:val="20"/>
        </w:rPr>
        <w:t xml:space="preserve"> how to answ</w:t>
      </w:r>
      <w:r w:rsidRPr="00745FF1">
        <w:rPr>
          <w:i/>
          <w:szCs w:val="20"/>
        </w:rPr>
        <w:t>er the 6 ques</w:t>
      </w:r>
      <w:r w:rsidRPr="003C7A64">
        <w:rPr>
          <w:i/>
          <w:szCs w:val="20"/>
        </w:rPr>
        <w:t>tions.</w:t>
      </w:r>
    </w:p>
    <w:p w14:paraId="253C58D0" w14:textId="77777777" w:rsidR="006A6165" w:rsidRPr="003C7A64" w:rsidRDefault="006A6165" w:rsidP="006A6165">
      <w:pPr>
        <w:spacing w:before="200"/>
        <w:ind w:left="360"/>
        <w:rPr>
          <w:b/>
          <w:sz w:val="24"/>
        </w:rPr>
      </w:pPr>
      <w:r w:rsidRPr="003C7A64">
        <w:rPr>
          <w:b/>
          <w:sz w:val="24"/>
        </w:rPr>
        <w:t>Project Information</w:t>
      </w:r>
    </w:p>
    <w:p w14:paraId="1727DD7C" w14:textId="77777777" w:rsidR="006A6165" w:rsidRPr="00407304" w:rsidRDefault="006A6165" w:rsidP="006A6165"/>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6A6165" w:rsidRPr="003C7A64" w14:paraId="3AD5304F" w14:textId="77777777" w:rsidTr="00BB514B">
        <w:tc>
          <w:tcPr>
            <w:tcW w:w="3325" w:type="dxa"/>
            <w:shd w:val="clear" w:color="auto" w:fill="D5DCE4"/>
            <w:vAlign w:val="center"/>
          </w:tcPr>
          <w:p w14:paraId="6F68A12E" w14:textId="77777777" w:rsidR="006A6165" w:rsidRPr="003C7A64" w:rsidRDefault="006A6165" w:rsidP="00BB514B">
            <w:pPr>
              <w:tabs>
                <w:tab w:val="left" w:pos="360"/>
              </w:tabs>
              <w:rPr>
                <w:b/>
                <w:i/>
                <w:szCs w:val="20"/>
              </w:rPr>
            </w:pPr>
            <w:r w:rsidRPr="003C7A64">
              <w:rPr>
                <w:b/>
                <w:i/>
                <w:szCs w:val="20"/>
              </w:rPr>
              <w:t xml:space="preserve">Project Information </w:t>
            </w:r>
          </w:p>
        </w:tc>
        <w:tc>
          <w:tcPr>
            <w:tcW w:w="9923" w:type="dxa"/>
            <w:shd w:val="clear" w:color="auto" w:fill="D5DCE4"/>
            <w:vAlign w:val="center"/>
          </w:tcPr>
          <w:p w14:paraId="1BFC5853" w14:textId="77777777" w:rsidR="006A6165" w:rsidRPr="003C7A64" w:rsidRDefault="006A6165" w:rsidP="00BB514B">
            <w:pPr>
              <w:rPr>
                <w:i/>
                <w:szCs w:val="20"/>
              </w:rPr>
            </w:pPr>
          </w:p>
        </w:tc>
      </w:tr>
      <w:tr w:rsidR="006A6165" w:rsidRPr="003C7A64" w14:paraId="59E605B5" w14:textId="77777777" w:rsidTr="00BB514B">
        <w:trPr>
          <w:trHeight w:val="288"/>
        </w:trPr>
        <w:tc>
          <w:tcPr>
            <w:tcW w:w="3325" w:type="dxa"/>
            <w:shd w:val="clear" w:color="auto" w:fill="auto"/>
            <w:vAlign w:val="center"/>
          </w:tcPr>
          <w:p w14:paraId="1FAB1D78" w14:textId="77777777" w:rsidR="006A6165" w:rsidRPr="003C7A64" w:rsidRDefault="006A6165" w:rsidP="006A6165">
            <w:pPr>
              <w:pStyle w:val="ListParagraph"/>
              <w:numPr>
                <w:ilvl w:val="0"/>
                <w:numId w:val="2"/>
              </w:numPr>
              <w:spacing w:after="0"/>
              <w:ind w:left="360"/>
              <w:contextualSpacing/>
              <w:jc w:val="left"/>
              <w:rPr>
                <w:sz w:val="18"/>
                <w:szCs w:val="18"/>
              </w:rPr>
            </w:pPr>
            <w:r w:rsidRPr="003C7A64">
              <w:rPr>
                <w:sz w:val="18"/>
                <w:szCs w:val="18"/>
              </w:rPr>
              <w:t>Project Title</w:t>
            </w:r>
          </w:p>
        </w:tc>
        <w:tc>
          <w:tcPr>
            <w:tcW w:w="9923" w:type="dxa"/>
            <w:shd w:val="clear" w:color="auto" w:fill="auto"/>
            <w:vAlign w:val="center"/>
          </w:tcPr>
          <w:p w14:paraId="0296451C" w14:textId="77777777" w:rsidR="006A6165" w:rsidRPr="00407304" w:rsidRDefault="006A6165" w:rsidP="00BB514B">
            <w:pPr>
              <w:rPr>
                <w:sz w:val="18"/>
                <w:szCs w:val="18"/>
              </w:rPr>
            </w:pPr>
            <w:r w:rsidRPr="003C7A64">
              <w:rPr>
                <w:szCs w:val="22"/>
                <w:lang w:val="en-US"/>
              </w:rPr>
              <w:t xml:space="preserve">Strengthening Namibia food systems to recover from emergencies and disease-related shocks through the Build Back Better (BBB) </w:t>
            </w:r>
            <w:proofErr w:type="spellStart"/>
            <w:r w:rsidRPr="003C7A64">
              <w:rPr>
                <w:szCs w:val="22"/>
                <w:lang w:val="en-US"/>
              </w:rPr>
              <w:t>programme</w:t>
            </w:r>
            <w:proofErr w:type="spellEnd"/>
          </w:p>
        </w:tc>
      </w:tr>
      <w:tr w:rsidR="006A6165" w:rsidRPr="003C7A64" w14:paraId="6D8C2DE5" w14:textId="77777777" w:rsidTr="00BB514B">
        <w:trPr>
          <w:trHeight w:val="288"/>
        </w:trPr>
        <w:tc>
          <w:tcPr>
            <w:tcW w:w="3325" w:type="dxa"/>
            <w:shd w:val="clear" w:color="auto" w:fill="auto"/>
            <w:vAlign w:val="center"/>
          </w:tcPr>
          <w:p w14:paraId="6875D5FB" w14:textId="77777777" w:rsidR="006A6165" w:rsidRPr="003C7A64" w:rsidRDefault="006A6165" w:rsidP="006A6165">
            <w:pPr>
              <w:pStyle w:val="ListParagraph"/>
              <w:numPr>
                <w:ilvl w:val="0"/>
                <w:numId w:val="2"/>
              </w:numPr>
              <w:spacing w:after="0"/>
              <w:ind w:left="360"/>
              <w:contextualSpacing/>
              <w:jc w:val="left"/>
              <w:rPr>
                <w:sz w:val="18"/>
                <w:szCs w:val="18"/>
              </w:rPr>
            </w:pPr>
            <w:r w:rsidRPr="003C7A64">
              <w:rPr>
                <w:sz w:val="18"/>
                <w:szCs w:val="18"/>
              </w:rPr>
              <w:t>Project Number</w:t>
            </w:r>
          </w:p>
        </w:tc>
        <w:tc>
          <w:tcPr>
            <w:tcW w:w="9923" w:type="dxa"/>
            <w:shd w:val="clear" w:color="auto" w:fill="auto"/>
            <w:vAlign w:val="center"/>
          </w:tcPr>
          <w:p w14:paraId="0B9EFE3D" w14:textId="77777777" w:rsidR="006A6165" w:rsidRPr="003C7A64" w:rsidRDefault="006A6165" w:rsidP="00BB514B">
            <w:pPr>
              <w:rPr>
                <w:b/>
                <w:bCs/>
                <w:sz w:val="18"/>
                <w:szCs w:val="18"/>
              </w:rPr>
            </w:pPr>
            <w:r w:rsidRPr="003C7A64">
              <w:rPr>
                <w:rFonts w:cs="Arial"/>
                <w:b/>
                <w:sz w:val="20"/>
                <w:szCs w:val="20"/>
              </w:rPr>
              <w:t>Proposal Atlas ID: 00129047</w:t>
            </w:r>
          </w:p>
        </w:tc>
      </w:tr>
      <w:tr w:rsidR="006A6165" w:rsidRPr="003C7A64" w14:paraId="4E1D03A7" w14:textId="77777777" w:rsidTr="00BB514B">
        <w:trPr>
          <w:trHeight w:val="288"/>
        </w:trPr>
        <w:tc>
          <w:tcPr>
            <w:tcW w:w="3325" w:type="dxa"/>
            <w:shd w:val="clear" w:color="auto" w:fill="auto"/>
            <w:vAlign w:val="center"/>
          </w:tcPr>
          <w:p w14:paraId="35C98BD3" w14:textId="77777777" w:rsidR="006A6165" w:rsidRPr="003C7A64" w:rsidRDefault="006A6165" w:rsidP="006A6165">
            <w:pPr>
              <w:pStyle w:val="ListParagraph"/>
              <w:numPr>
                <w:ilvl w:val="0"/>
                <w:numId w:val="2"/>
              </w:numPr>
              <w:spacing w:after="0"/>
              <w:ind w:left="360"/>
              <w:contextualSpacing/>
              <w:jc w:val="left"/>
              <w:rPr>
                <w:sz w:val="18"/>
                <w:szCs w:val="18"/>
              </w:rPr>
            </w:pPr>
            <w:r w:rsidRPr="003C7A64">
              <w:rPr>
                <w:sz w:val="18"/>
                <w:szCs w:val="18"/>
              </w:rPr>
              <w:t>Location (Global/Region/Country)</w:t>
            </w:r>
          </w:p>
        </w:tc>
        <w:tc>
          <w:tcPr>
            <w:tcW w:w="9923" w:type="dxa"/>
            <w:shd w:val="clear" w:color="auto" w:fill="auto"/>
            <w:vAlign w:val="center"/>
          </w:tcPr>
          <w:p w14:paraId="1005EB35" w14:textId="77777777" w:rsidR="006A6165" w:rsidRPr="003C7A64" w:rsidRDefault="006A6165" w:rsidP="00BB514B">
            <w:pPr>
              <w:rPr>
                <w:sz w:val="18"/>
                <w:szCs w:val="18"/>
              </w:rPr>
            </w:pPr>
            <w:r w:rsidRPr="003C7A64">
              <w:rPr>
                <w:sz w:val="18"/>
                <w:szCs w:val="18"/>
              </w:rPr>
              <w:t>RBA, Namibia</w:t>
            </w:r>
          </w:p>
        </w:tc>
      </w:tr>
    </w:tbl>
    <w:p w14:paraId="4A220EBC" w14:textId="77777777" w:rsidR="006A6165" w:rsidRPr="003C7A64" w:rsidRDefault="006A6165" w:rsidP="006A6165">
      <w:pPr>
        <w:tabs>
          <w:tab w:val="left" w:pos="360"/>
        </w:tabs>
        <w:rPr>
          <w:szCs w:val="20"/>
        </w:rPr>
      </w:pPr>
    </w:p>
    <w:p w14:paraId="179C1FCF" w14:textId="77777777" w:rsidR="006A6165" w:rsidRPr="003C7A64" w:rsidRDefault="006A6165" w:rsidP="006A6165">
      <w:pPr>
        <w:spacing w:before="200"/>
        <w:ind w:left="360"/>
        <w:rPr>
          <w:b/>
          <w:sz w:val="24"/>
        </w:rPr>
      </w:pPr>
      <w:r w:rsidRPr="003C7A64">
        <w:rPr>
          <w:b/>
          <w:sz w:val="24"/>
        </w:rPr>
        <w:t>Part A. Integrating Overarching Principles to Strengthen Social and Environmental Sustainability</w:t>
      </w:r>
    </w:p>
    <w:p w14:paraId="5B7D160C" w14:textId="77777777" w:rsidR="006A6165" w:rsidRPr="00407304" w:rsidRDefault="006A6165" w:rsidP="006A6165">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6A6165" w:rsidRPr="003C7A64" w14:paraId="38A97A38" w14:textId="77777777" w:rsidTr="00BB514B">
        <w:trPr>
          <w:trHeight w:val="449"/>
        </w:trPr>
        <w:tc>
          <w:tcPr>
            <w:tcW w:w="13248" w:type="dxa"/>
            <w:shd w:val="clear" w:color="auto" w:fill="222A35"/>
            <w:vAlign w:val="center"/>
          </w:tcPr>
          <w:p w14:paraId="68C3BFFF" w14:textId="77777777" w:rsidR="006A6165" w:rsidRPr="003C7A64" w:rsidRDefault="006A6165" w:rsidP="00BB514B">
            <w:pPr>
              <w:rPr>
                <w:szCs w:val="20"/>
              </w:rPr>
            </w:pPr>
            <w:r w:rsidRPr="00407304">
              <w:rPr>
                <w:b/>
                <w:szCs w:val="20"/>
              </w:rPr>
              <w:t>QUESTION 1: Ho</w:t>
            </w:r>
            <w:r w:rsidRPr="00EC5B16">
              <w:rPr>
                <w:b/>
                <w:szCs w:val="20"/>
              </w:rPr>
              <w:t xml:space="preserve">w Does the Project </w:t>
            </w:r>
            <w:r w:rsidRPr="00745FF1">
              <w:rPr>
                <w:b/>
                <w:szCs w:val="20"/>
              </w:rPr>
              <w:t>Integrate the Overarching Princi</w:t>
            </w:r>
            <w:r w:rsidRPr="003C7A64">
              <w:rPr>
                <w:b/>
                <w:szCs w:val="20"/>
              </w:rPr>
              <w:t xml:space="preserve">ples </w:t>
            </w:r>
            <w:proofErr w:type="gramStart"/>
            <w:r w:rsidRPr="003C7A64">
              <w:rPr>
                <w:b/>
                <w:szCs w:val="20"/>
              </w:rPr>
              <w:t>in order to</w:t>
            </w:r>
            <w:proofErr w:type="gramEnd"/>
            <w:r w:rsidRPr="003C7A64">
              <w:rPr>
                <w:b/>
                <w:szCs w:val="20"/>
              </w:rPr>
              <w:t xml:space="preserve"> Strengthen Social and Environmental Sustainability?</w:t>
            </w:r>
          </w:p>
        </w:tc>
      </w:tr>
      <w:tr w:rsidR="006A6165" w:rsidRPr="003C7A64" w14:paraId="3BE883D3" w14:textId="77777777" w:rsidTr="00BB514B">
        <w:tc>
          <w:tcPr>
            <w:tcW w:w="13248" w:type="dxa"/>
            <w:shd w:val="clear" w:color="auto" w:fill="D5DCE4"/>
          </w:tcPr>
          <w:p w14:paraId="58C2955A" w14:textId="77777777" w:rsidR="006A6165" w:rsidRPr="003C7A64" w:rsidRDefault="006A6165" w:rsidP="00BB514B">
            <w:pPr>
              <w:tabs>
                <w:tab w:val="left" w:pos="432"/>
              </w:tabs>
              <w:spacing w:before="60"/>
              <w:rPr>
                <w:b/>
                <w:i/>
                <w:sz w:val="18"/>
                <w:szCs w:val="18"/>
              </w:rPr>
            </w:pPr>
            <w:r w:rsidRPr="003C7A64">
              <w:rPr>
                <w:b/>
                <w:i/>
                <w:sz w:val="18"/>
                <w:szCs w:val="18"/>
              </w:rPr>
              <w:t xml:space="preserve">Briefly describe in the space below how the Project mainstreams the human-rights based approach </w:t>
            </w:r>
          </w:p>
        </w:tc>
      </w:tr>
      <w:tr w:rsidR="006A6165" w:rsidRPr="003C7A64" w14:paraId="2DE8FA88" w14:textId="77777777" w:rsidTr="00BB514B">
        <w:tc>
          <w:tcPr>
            <w:tcW w:w="13248" w:type="dxa"/>
            <w:shd w:val="clear" w:color="auto" w:fill="auto"/>
          </w:tcPr>
          <w:p w14:paraId="6215FF3B" w14:textId="77777777" w:rsidR="006A6165" w:rsidRPr="003C7A64" w:rsidRDefault="006A6165" w:rsidP="00BB514B">
            <w:pPr>
              <w:keepNext/>
              <w:keepLines/>
              <w:tabs>
                <w:tab w:val="left" w:pos="432"/>
              </w:tabs>
              <w:spacing w:before="60"/>
              <w:outlineLvl w:val="7"/>
              <w:rPr>
                <w:b/>
                <w:bCs/>
                <w:sz w:val="18"/>
                <w:szCs w:val="18"/>
              </w:rPr>
            </w:pPr>
            <w:r w:rsidRPr="003C7A64">
              <w:rPr>
                <w:szCs w:val="22"/>
              </w:rPr>
              <w:t xml:space="preserve">In accordance with the Universal Declaration of Human Rights (UDHR) article 22 on the right to Social Security and the priorities of the NDP5 and Blue Print on Wealth Redistribution and Poverty Eradication,  social assistance will be provided through cash transfers to create social safety nets for the poor and vulnerable to be able to cope with the shock presented by COVID19. To address persistent poverty, </w:t>
            </w:r>
            <w:proofErr w:type="gramStart"/>
            <w:r w:rsidRPr="003C7A64">
              <w:rPr>
                <w:szCs w:val="22"/>
              </w:rPr>
              <w:t>inequality</w:t>
            </w:r>
            <w:proofErr w:type="gramEnd"/>
            <w:r w:rsidRPr="003C7A64">
              <w:rPr>
                <w:szCs w:val="22"/>
              </w:rPr>
              <w:t xml:space="preserve"> and vulnerability this project will ensure diversification and continuation of employment for informal vendors and small-scale producers in urban settings. To increase participation in decision making at design level and throughout implementation the vendors and </w:t>
            </w:r>
            <w:proofErr w:type="gramStart"/>
            <w:r w:rsidRPr="003C7A64">
              <w:rPr>
                <w:szCs w:val="22"/>
              </w:rPr>
              <w:t>small scale</w:t>
            </w:r>
            <w:proofErr w:type="gramEnd"/>
            <w:r w:rsidRPr="003C7A64">
              <w:rPr>
                <w:szCs w:val="22"/>
              </w:rPr>
              <w:t xml:space="preserve"> farmers will be engaged by the respective municipalities for input in the project design.</w:t>
            </w:r>
          </w:p>
          <w:p w14:paraId="00ED6283" w14:textId="77777777" w:rsidR="006A6165" w:rsidRPr="003C7A64" w:rsidRDefault="006A6165" w:rsidP="00BB514B">
            <w:pPr>
              <w:keepNext/>
              <w:keepLines/>
              <w:tabs>
                <w:tab w:val="left" w:pos="432"/>
              </w:tabs>
              <w:spacing w:before="60"/>
              <w:outlineLvl w:val="7"/>
              <w:rPr>
                <w:b/>
                <w:bCs/>
                <w:sz w:val="18"/>
                <w:szCs w:val="18"/>
              </w:rPr>
            </w:pPr>
          </w:p>
        </w:tc>
      </w:tr>
      <w:tr w:rsidR="006A6165" w:rsidRPr="003C7A64" w14:paraId="74FC22FE" w14:textId="77777777" w:rsidTr="00BB514B">
        <w:trPr>
          <w:trHeight w:val="296"/>
        </w:trPr>
        <w:tc>
          <w:tcPr>
            <w:tcW w:w="13248" w:type="dxa"/>
            <w:shd w:val="clear" w:color="auto" w:fill="D5DCE4"/>
          </w:tcPr>
          <w:p w14:paraId="5DDFFD0F" w14:textId="77777777" w:rsidR="006A6165" w:rsidRPr="003C7A64" w:rsidRDefault="006A6165" w:rsidP="00BB514B">
            <w:pPr>
              <w:spacing w:after="120"/>
              <w:contextualSpacing/>
              <w:rPr>
                <w:b/>
                <w:i/>
                <w:sz w:val="18"/>
                <w:szCs w:val="18"/>
              </w:rPr>
            </w:pPr>
            <w:r w:rsidRPr="003C7A64">
              <w:rPr>
                <w:b/>
                <w:i/>
                <w:sz w:val="18"/>
                <w:szCs w:val="18"/>
              </w:rPr>
              <w:t>Briefly describe in the space below how the Project is likely to improve gender equality and women’s empowerment</w:t>
            </w:r>
          </w:p>
        </w:tc>
      </w:tr>
      <w:tr w:rsidR="006A6165" w:rsidRPr="003C7A64" w14:paraId="045CA29D" w14:textId="77777777" w:rsidTr="00BB514B">
        <w:tc>
          <w:tcPr>
            <w:tcW w:w="13248" w:type="dxa"/>
            <w:shd w:val="clear" w:color="auto" w:fill="auto"/>
          </w:tcPr>
          <w:p w14:paraId="07D75A12" w14:textId="77777777" w:rsidR="006A6165" w:rsidRPr="003C7A64" w:rsidRDefault="006A6165" w:rsidP="00BB514B">
            <w:pPr>
              <w:keepNext/>
              <w:keepLines/>
              <w:tabs>
                <w:tab w:val="left" w:pos="432"/>
              </w:tabs>
              <w:spacing w:before="60"/>
              <w:outlineLvl w:val="7"/>
              <w:rPr>
                <w:rFonts w:cs="Calibri"/>
              </w:rPr>
            </w:pPr>
            <w:r w:rsidRPr="003C7A64">
              <w:rPr>
                <w:szCs w:val="22"/>
              </w:rPr>
              <w:lastRenderedPageBreak/>
              <w:t xml:space="preserve">The project is its design will focus on improving sustainable livelihoods especially of women and youth and persons with disabilities population (SP signature solutions 1&amp;6). </w:t>
            </w:r>
            <w:r w:rsidRPr="003C7A64">
              <w:rPr>
                <w:rFonts w:cs="Calibri"/>
                <w:szCs w:val="22"/>
              </w:rPr>
              <w:t>The project will seek to increase the number of opportunities by creating jobs within the agriculture sector for women from vulnerable and marginalized communities. Furthermore, capacities build through training and skills transferred will   increase the employability rates for these women. Gender will be mainstreamed across all activities through the collection of age and sex-disaggregated data and gender statistics that will be carried out with an aim of achieving 40% representation of women benefiting from interventions in this project</w:t>
            </w:r>
            <w:r w:rsidRPr="003C7A64">
              <w:rPr>
                <w:rFonts w:cs="Calibri"/>
                <w:bCs/>
              </w:rPr>
              <w:t xml:space="preserve">. </w:t>
            </w:r>
          </w:p>
          <w:p w14:paraId="6BA71850" w14:textId="77777777" w:rsidR="006A6165" w:rsidRPr="003C7A64" w:rsidRDefault="006A6165" w:rsidP="00BB514B">
            <w:pPr>
              <w:tabs>
                <w:tab w:val="left" w:pos="432"/>
              </w:tabs>
              <w:spacing w:before="60"/>
              <w:rPr>
                <w:sz w:val="18"/>
                <w:szCs w:val="18"/>
              </w:rPr>
            </w:pPr>
          </w:p>
        </w:tc>
      </w:tr>
      <w:tr w:rsidR="006A6165" w:rsidRPr="003C7A64" w14:paraId="03B6D43C" w14:textId="77777777" w:rsidTr="00BB514B">
        <w:trPr>
          <w:trHeight w:val="305"/>
        </w:trPr>
        <w:tc>
          <w:tcPr>
            <w:tcW w:w="13248" w:type="dxa"/>
            <w:shd w:val="clear" w:color="auto" w:fill="D5DCE4"/>
          </w:tcPr>
          <w:p w14:paraId="70D703B9" w14:textId="77777777" w:rsidR="006A6165" w:rsidRPr="003C7A64" w:rsidRDefault="006A6165" w:rsidP="00BB514B">
            <w:pPr>
              <w:spacing w:after="120"/>
              <w:contextualSpacing/>
              <w:rPr>
                <w:b/>
                <w:i/>
                <w:sz w:val="18"/>
                <w:szCs w:val="18"/>
                <w:u w:val="single"/>
              </w:rPr>
            </w:pPr>
            <w:r w:rsidRPr="003C7A64">
              <w:rPr>
                <w:b/>
                <w:i/>
                <w:sz w:val="18"/>
                <w:szCs w:val="18"/>
              </w:rPr>
              <w:t>Briefly describe in the space below how the Project mainstreams environmental sustainability</w:t>
            </w:r>
          </w:p>
        </w:tc>
      </w:tr>
      <w:tr w:rsidR="006A6165" w:rsidRPr="003C7A64" w14:paraId="1A7E8031" w14:textId="77777777" w:rsidTr="00BB514B">
        <w:tc>
          <w:tcPr>
            <w:tcW w:w="13248" w:type="dxa"/>
            <w:shd w:val="clear" w:color="auto" w:fill="auto"/>
          </w:tcPr>
          <w:p w14:paraId="17F8B760" w14:textId="77777777" w:rsidR="006A6165" w:rsidRPr="003C7A64" w:rsidRDefault="006A6165" w:rsidP="00BB514B">
            <w:pPr>
              <w:keepNext/>
              <w:keepLines/>
              <w:tabs>
                <w:tab w:val="left" w:pos="432"/>
              </w:tabs>
              <w:spacing w:before="60" w:line="276" w:lineRule="auto"/>
              <w:outlineLvl w:val="7"/>
              <w:rPr>
                <w:rFonts w:cs="Calibri"/>
                <w:szCs w:val="22"/>
              </w:rPr>
            </w:pPr>
            <w:r w:rsidRPr="003C7A64">
              <w:rPr>
                <w:szCs w:val="22"/>
              </w:rPr>
              <w:t xml:space="preserve">The establishment of the gardens is aimed at </w:t>
            </w:r>
            <w:r w:rsidRPr="003C7A64">
              <w:rPr>
                <w:rFonts w:cs="Calibri"/>
                <w:szCs w:val="22"/>
              </w:rPr>
              <w:t xml:space="preserve">enhancing the countries capacities of modern agriculture and contributing to the long run socio-economic benefits such as; </w:t>
            </w:r>
            <w:r w:rsidRPr="003C7A64">
              <w:rPr>
                <w:rFonts w:cs="Calibri"/>
                <w:szCs w:val="22"/>
                <w:shd w:val="clear" w:color="auto" w:fill="FFFFFF"/>
              </w:rPr>
              <w:t xml:space="preserve">ecological through the restoration of biodiversity, achieving green goals, </w:t>
            </w:r>
            <w:r w:rsidRPr="003C7A64">
              <w:rPr>
                <w:rFonts w:eastAsia="Calibri"/>
                <w:szCs w:val="22"/>
                <w:lang w:val="en-ZA"/>
              </w:rPr>
              <w:t xml:space="preserve">improving individual health </w:t>
            </w:r>
            <w:r w:rsidRPr="003C7A64">
              <w:rPr>
                <w:rFonts w:cs="Calibri"/>
                <w:szCs w:val="22"/>
                <w:shd w:val="clear" w:color="auto" w:fill="FFFFFF"/>
              </w:rPr>
              <w:t>through improvement nutrition of vulnerable urban household, economic through employment creation while maximizing reliance of the local food system on local produce.</w:t>
            </w:r>
            <w:r w:rsidRPr="003C7A64">
              <w:rPr>
                <w:rFonts w:ascii="Lato" w:hAnsi="Lato"/>
                <w:szCs w:val="22"/>
                <w:shd w:val="clear" w:color="auto" w:fill="FFFFFF"/>
              </w:rPr>
              <w:t xml:space="preserve"> </w:t>
            </w:r>
            <w:r w:rsidRPr="003C7A64">
              <w:rPr>
                <w:rFonts w:cs="Calibri"/>
                <w:szCs w:val="22"/>
              </w:rPr>
              <w:t>To improve nutrition and minimize environmental footprint of food systems, the production of fruit, vegetables and semi-arid nutritious crops that use less water and are more tolerant of heat will be the focus of this project.</w:t>
            </w:r>
          </w:p>
          <w:p w14:paraId="3B9F8C7B" w14:textId="77777777" w:rsidR="006A6165" w:rsidRPr="003C7A64" w:rsidRDefault="006A6165" w:rsidP="00BB514B">
            <w:pPr>
              <w:keepNext/>
              <w:keepLines/>
              <w:tabs>
                <w:tab w:val="left" w:pos="432"/>
              </w:tabs>
              <w:spacing w:before="60" w:line="276" w:lineRule="auto"/>
              <w:outlineLvl w:val="7"/>
              <w:rPr>
                <w:rFonts w:cs="Calibri"/>
                <w:szCs w:val="22"/>
              </w:rPr>
            </w:pPr>
          </w:p>
          <w:p w14:paraId="72DD23C5" w14:textId="77777777" w:rsidR="006A6165" w:rsidRPr="003C7A64" w:rsidRDefault="006A6165" w:rsidP="00BB514B">
            <w:pPr>
              <w:spacing w:line="276" w:lineRule="auto"/>
              <w:rPr>
                <w:szCs w:val="22"/>
              </w:rPr>
            </w:pPr>
            <w:r w:rsidRPr="003C7A64">
              <w:rPr>
                <w:szCs w:val="22"/>
              </w:rPr>
              <w:t>The project will support sustainable environment management and resilience to shocks and crises (SP signature solution 3,4, 5&amp; 6) by ensuring that all target municipalities employ environmentally friendly methods of agriculture. Furthermore, the project will ensure that all municipalities have urban agriculture policies and financial models to sustain the project moving forward.</w:t>
            </w:r>
          </w:p>
          <w:p w14:paraId="28B23BA6" w14:textId="77777777" w:rsidR="006A6165" w:rsidRPr="003C7A64" w:rsidRDefault="006A6165" w:rsidP="00BB514B">
            <w:pPr>
              <w:spacing w:line="276" w:lineRule="auto"/>
              <w:rPr>
                <w:rFonts w:cs="Calibri"/>
                <w:szCs w:val="22"/>
              </w:rPr>
            </w:pPr>
          </w:p>
          <w:p w14:paraId="58A7052D" w14:textId="77777777" w:rsidR="006A6165" w:rsidRPr="003C7A64" w:rsidRDefault="006A6165" w:rsidP="00BB514B">
            <w:pPr>
              <w:spacing w:line="276" w:lineRule="auto"/>
              <w:rPr>
                <w:sz w:val="18"/>
                <w:szCs w:val="18"/>
              </w:rPr>
            </w:pPr>
            <w:r w:rsidRPr="003C7A64">
              <w:rPr>
                <w:szCs w:val="22"/>
              </w:rPr>
              <w:t xml:space="preserve">Additionally, education and awareness raising activities on improved understanding of food productivity, malnutrition, </w:t>
            </w:r>
            <w:proofErr w:type="gramStart"/>
            <w:r w:rsidRPr="003C7A64">
              <w:rPr>
                <w:szCs w:val="22"/>
              </w:rPr>
              <w:t>recycling</w:t>
            </w:r>
            <w:proofErr w:type="gramEnd"/>
            <w:r w:rsidRPr="003C7A64">
              <w:rPr>
                <w:szCs w:val="22"/>
              </w:rPr>
              <w:t xml:space="preserve"> and waste management for horticulture through circular economy principles will be introduced to the groups and their respective communities.</w:t>
            </w:r>
          </w:p>
        </w:tc>
      </w:tr>
    </w:tbl>
    <w:p w14:paraId="0208A069" w14:textId="77777777" w:rsidR="006A6165" w:rsidRPr="003C7A64" w:rsidRDefault="006A6165" w:rsidP="006A6165">
      <w:pPr>
        <w:rPr>
          <w:b/>
          <w:szCs w:val="20"/>
        </w:rPr>
      </w:pPr>
    </w:p>
    <w:p w14:paraId="1FFE8FFF" w14:textId="77777777" w:rsidR="006A6165" w:rsidRPr="003C7A64" w:rsidRDefault="006A6165" w:rsidP="006A6165">
      <w:pPr>
        <w:keepNext/>
        <w:spacing w:before="200"/>
        <w:ind w:left="360"/>
        <w:rPr>
          <w:b/>
          <w:sz w:val="24"/>
        </w:rPr>
      </w:pPr>
      <w:r w:rsidRPr="003C7A64">
        <w:rPr>
          <w:b/>
          <w:sz w:val="24"/>
        </w:rPr>
        <w:lastRenderedPageBreak/>
        <w:t xml:space="preserve">Part B. Identifying and Managing Social and Environmental </w:t>
      </w:r>
      <w:r w:rsidRPr="003C7A64">
        <w:rPr>
          <w:b/>
          <w:sz w:val="24"/>
          <w:u w:val="single"/>
        </w:rPr>
        <w:t>Risks</w:t>
      </w:r>
    </w:p>
    <w:p w14:paraId="03E6F7CB" w14:textId="77777777" w:rsidR="006A6165" w:rsidRPr="00407304" w:rsidRDefault="006A6165" w:rsidP="006A6165">
      <w:pPr>
        <w:keepNext/>
        <w:rPr>
          <w:b/>
          <w:szCs w:val="20"/>
        </w:rPr>
      </w:pP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1170"/>
        <w:gridCol w:w="2093"/>
        <w:gridCol w:w="517"/>
        <w:gridCol w:w="23"/>
        <w:gridCol w:w="4747"/>
      </w:tblGrid>
      <w:tr w:rsidR="006A6165" w:rsidRPr="003C7A64" w14:paraId="1894A358" w14:textId="77777777" w:rsidTr="00BB514B">
        <w:trPr>
          <w:trHeight w:val="1061"/>
        </w:trPr>
        <w:tc>
          <w:tcPr>
            <w:tcW w:w="3510" w:type="dxa"/>
            <w:shd w:val="clear" w:color="auto" w:fill="222A35"/>
          </w:tcPr>
          <w:p w14:paraId="4EBCDC2B" w14:textId="77777777" w:rsidR="006A6165" w:rsidRPr="003C7A64" w:rsidRDefault="006A6165" w:rsidP="00BB514B">
            <w:pPr>
              <w:keepNext/>
              <w:tabs>
                <w:tab w:val="left" w:pos="101"/>
              </w:tabs>
              <w:ind w:right="252" w:firstLine="11"/>
              <w:rPr>
                <w:b/>
                <w:szCs w:val="20"/>
              </w:rPr>
            </w:pPr>
            <w:r w:rsidRPr="00407304">
              <w:rPr>
                <w:b/>
                <w:szCs w:val="20"/>
              </w:rPr>
              <w:t xml:space="preserve">QUESTION </w:t>
            </w:r>
            <w:r w:rsidRPr="00EC5B16">
              <w:rPr>
                <w:b/>
                <w:szCs w:val="20"/>
              </w:rPr>
              <w:t xml:space="preserve">2: </w:t>
            </w:r>
            <w:r w:rsidRPr="00745FF1">
              <w:rPr>
                <w:b/>
                <w:szCs w:val="20"/>
              </w:rPr>
              <w:t xml:space="preserve">What </w:t>
            </w:r>
            <w:r w:rsidRPr="003C7A64">
              <w:rPr>
                <w:b/>
                <w:szCs w:val="20"/>
              </w:rPr>
              <w:t xml:space="preserve">are the Potential Social and Environmental Risks? </w:t>
            </w:r>
          </w:p>
          <w:p w14:paraId="3E574B04" w14:textId="77777777" w:rsidR="006A6165" w:rsidRPr="003C7A64" w:rsidRDefault="006A6165" w:rsidP="00BB514B">
            <w:pPr>
              <w:keepNext/>
              <w:tabs>
                <w:tab w:val="left" w:pos="101"/>
              </w:tabs>
              <w:ind w:right="252" w:firstLine="11"/>
              <w:rPr>
                <w:b/>
                <w:szCs w:val="20"/>
              </w:rPr>
            </w:pPr>
            <w:r w:rsidRPr="003C7A64">
              <w:rPr>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cPr>
          <w:p w14:paraId="35E5B9C9" w14:textId="77777777" w:rsidR="006A6165" w:rsidRPr="003C7A64" w:rsidRDefault="006A6165" w:rsidP="00BB514B">
            <w:pPr>
              <w:keepNext/>
              <w:tabs>
                <w:tab w:val="left" w:pos="101"/>
              </w:tabs>
              <w:ind w:right="252" w:firstLine="11"/>
              <w:rPr>
                <w:b/>
                <w:szCs w:val="20"/>
              </w:rPr>
            </w:pPr>
            <w:r w:rsidRPr="003C7A64">
              <w:rPr>
                <w:b/>
                <w:szCs w:val="20"/>
              </w:rPr>
              <w:t>QUESTION 3: What is the level of significance of the potential social and environmental risks?</w:t>
            </w:r>
          </w:p>
          <w:p w14:paraId="49152BFC" w14:textId="77777777" w:rsidR="006A6165" w:rsidRPr="003C7A64" w:rsidRDefault="006A6165" w:rsidP="00BB514B">
            <w:pPr>
              <w:keepNext/>
              <w:tabs>
                <w:tab w:val="left" w:pos="432"/>
              </w:tabs>
              <w:rPr>
                <w:b/>
                <w:szCs w:val="20"/>
              </w:rPr>
            </w:pPr>
            <w:r w:rsidRPr="003C7A64">
              <w:rPr>
                <w:i/>
                <w:sz w:val="18"/>
                <w:szCs w:val="18"/>
              </w:rPr>
              <w:t>Note: Respond to Questions 4 and 5 below before proceeding to Question 6</w:t>
            </w:r>
          </w:p>
        </w:tc>
        <w:tc>
          <w:tcPr>
            <w:tcW w:w="4770" w:type="dxa"/>
            <w:gridSpan w:val="2"/>
            <w:shd w:val="clear" w:color="auto" w:fill="222A35"/>
          </w:tcPr>
          <w:p w14:paraId="4C4545D4" w14:textId="77777777" w:rsidR="006A6165" w:rsidRPr="003C7A64" w:rsidRDefault="006A6165" w:rsidP="00BB514B">
            <w:pPr>
              <w:keepNext/>
              <w:tabs>
                <w:tab w:val="left" w:pos="432"/>
              </w:tabs>
              <w:rPr>
                <w:b/>
                <w:szCs w:val="20"/>
              </w:rPr>
            </w:pPr>
            <w:r w:rsidRPr="003C7A64">
              <w:rPr>
                <w:b/>
                <w:szCs w:val="20"/>
              </w:rPr>
              <w:t>QUESTION 6: What social and environmental assessment and management measures have been conducted and/or are required to address potential risks (for Risks with Moderate and High Significance)?</w:t>
            </w:r>
          </w:p>
        </w:tc>
      </w:tr>
      <w:tr w:rsidR="006A6165" w:rsidRPr="003C7A64" w14:paraId="4CF9B16A" w14:textId="77777777" w:rsidTr="00BB514B">
        <w:tc>
          <w:tcPr>
            <w:tcW w:w="3510" w:type="dxa"/>
            <w:shd w:val="clear" w:color="auto" w:fill="D5DCE4"/>
          </w:tcPr>
          <w:p w14:paraId="194B2BD5" w14:textId="77777777" w:rsidR="006A6165" w:rsidRPr="003C7A64" w:rsidRDefault="006A6165" w:rsidP="00BB514B">
            <w:pPr>
              <w:rPr>
                <w:b/>
                <w:i/>
                <w:sz w:val="18"/>
                <w:szCs w:val="18"/>
              </w:rPr>
            </w:pPr>
            <w:r w:rsidRPr="003C7A64">
              <w:rPr>
                <w:b/>
                <w:i/>
                <w:sz w:val="18"/>
                <w:szCs w:val="18"/>
              </w:rPr>
              <w:t>Risk Description</w:t>
            </w:r>
          </w:p>
        </w:tc>
        <w:tc>
          <w:tcPr>
            <w:tcW w:w="1080" w:type="dxa"/>
            <w:shd w:val="clear" w:color="auto" w:fill="D5DCE4"/>
          </w:tcPr>
          <w:p w14:paraId="73DD3B14" w14:textId="77777777" w:rsidR="006A6165" w:rsidRPr="003C7A64" w:rsidRDefault="006A6165" w:rsidP="00BB514B">
            <w:pPr>
              <w:rPr>
                <w:b/>
                <w:i/>
                <w:sz w:val="18"/>
                <w:szCs w:val="18"/>
              </w:rPr>
            </w:pPr>
            <w:r w:rsidRPr="003C7A64">
              <w:rPr>
                <w:b/>
                <w:i/>
                <w:sz w:val="18"/>
                <w:szCs w:val="18"/>
              </w:rPr>
              <w:t xml:space="preserve">Impact and </w:t>
            </w:r>
            <w:proofErr w:type="gramStart"/>
            <w:r w:rsidRPr="003C7A64">
              <w:rPr>
                <w:b/>
                <w:i/>
                <w:sz w:val="18"/>
                <w:szCs w:val="18"/>
              </w:rPr>
              <w:t>Probability  (</w:t>
            </w:r>
            <w:proofErr w:type="gramEnd"/>
            <w:r w:rsidRPr="003C7A64">
              <w:rPr>
                <w:b/>
                <w:i/>
                <w:sz w:val="18"/>
                <w:szCs w:val="18"/>
              </w:rPr>
              <w:t>1-5)</w:t>
            </w:r>
          </w:p>
        </w:tc>
        <w:tc>
          <w:tcPr>
            <w:tcW w:w="1170" w:type="dxa"/>
            <w:shd w:val="clear" w:color="auto" w:fill="D5DCE4"/>
          </w:tcPr>
          <w:p w14:paraId="09307105" w14:textId="77777777" w:rsidR="006A6165" w:rsidRPr="003C7A64" w:rsidRDefault="006A6165" w:rsidP="00BB514B">
            <w:pPr>
              <w:rPr>
                <w:b/>
                <w:i/>
                <w:sz w:val="18"/>
                <w:szCs w:val="18"/>
              </w:rPr>
            </w:pPr>
            <w:r w:rsidRPr="003C7A64">
              <w:rPr>
                <w:b/>
                <w:i/>
                <w:sz w:val="18"/>
                <w:szCs w:val="18"/>
              </w:rPr>
              <w:t>Significance</w:t>
            </w:r>
          </w:p>
          <w:p w14:paraId="226C7EF2" w14:textId="77777777" w:rsidR="006A6165" w:rsidRPr="003C7A64" w:rsidRDefault="006A6165" w:rsidP="00BB514B">
            <w:pPr>
              <w:rPr>
                <w:b/>
                <w:i/>
                <w:sz w:val="18"/>
                <w:szCs w:val="18"/>
              </w:rPr>
            </w:pPr>
            <w:r w:rsidRPr="003C7A64">
              <w:rPr>
                <w:b/>
                <w:i/>
                <w:sz w:val="18"/>
                <w:szCs w:val="18"/>
              </w:rPr>
              <w:t>(Low, Moderate, High)</w:t>
            </w:r>
          </w:p>
        </w:tc>
        <w:tc>
          <w:tcPr>
            <w:tcW w:w="2610" w:type="dxa"/>
            <w:gridSpan w:val="2"/>
            <w:shd w:val="clear" w:color="auto" w:fill="D5DCE4"/>
          </w:tcPr>
          <w:p w14:paraId="374ED13F" w14:textId="77777777" w:rsidR="006A6165" w:rsidRPr="003C7A64" w:rsidRDefault="006A6165" w:rsidP="00BB514B">
            <w:pPr>
              <w:rPr>
                <w:b/>
                <w:i/>
                <w:sz w:val="18"/>
                <w:szCs w:val="18"/>
              </w:rPr>
            </w:pPr>
            <w:r w:rsidRPr="003C7A64">
              <w:rPr>
                <w:b/>
                <w:i/>
                <w:sz w:val="18"/>
                <w:szCs w:val="18"/>
              </w:rPr>
              <w:t>Comments</w:t>
            </w:r>
          </w:p>
        </w:tc>
        <w:tc>
          <w:tcPr>
            <w:tcW w:w="4770" w:type="dxa"/>
            <w:gridSpan w:val="2"/>
            <w:shd w:val="clear" w:color="auto" w:fill="D5DCE4"/>
          </w:tcPr>
          <w:p w14:paraId="65BE34BA" w14:textId="77777777" w:rsidR="006A6165" w:rsidRPr="003C7A64" w:rsidRDefault="006A6165" w:rsidP="00BB514B">
            <w:pPr>
              <w:rPr>
                <w:b/>
                <w:i/>
                <w:sz w:val="18"/>
                <w:szCs w:val="18"/>
              </w:rPr>
            </w:pPr>
            <w:r w:rsidRPr="003C7A64">
              <w:rPr>
                <w:b/>
                <w:i/>
                <w:sz w:val="18"/>
                <w:szCs w:val="18"/>
              </w:rPr>
              <w:t>Description of assessment and management measures as reflected in the Project design.  If ESIA or SESA is required note that the assessment should consider all potential impacts and risks.</w:t>
            </w:r>
          </w:p>
        </w:tc>
      </w:tr>
      <w:tr w:rsidR="006A6165" w:rsidRPr="003C7A64" w14:paraId="5D63AC44" w14:textId="77777777" w:rsidTr="00BB514B">
        <w:tc>
          <w:tcPr>
            <w:tcW w:w="3510" w:type="dxa"/>
            <w:shd w:val="clear" w:color="auto" w:fill="auto"/>
            <w:vAlign w:val="center"/>
          </w:tcPr>
          <w:p w14:paraId="2218144A" w14:textId="77777777" w:rsidR="006A6165" w:rsidRPr="003C7A64" w:rsidRDefault="006A6165" w:rsidP="00BB514B">
            <w:pPr>
              <w:rPr>
                <w:sz w:val="18"/>
                <w:szCs w:val="18"/>
              </w:rPr>
            </w:pPr>
            <w:r w:rsidRPr="003C7A64">
              <w:rPr>
                <w:sz w:val="18"/>
                <w:szCs w:val="18"/>
              </w:rPr>
              <w:t>Risk 1: The use of environmentally unfriendly materials as part of inputs….</w:t>
            </w:r>
          </w:p>
        </w:tc>
        <w:tc>
          <w:tcPr>
            <w:tcW w:w="1080" w:type="dxa"/>
            <w:shd w:val="clear" w:color="auto" w:fill="auto"/>
          </w:tcPr>
          <w:p w14:paraId="10CF1A20" w14:textId="77777777" w:rsidR="006A6165" w:rsidRPr="003C7A64" w:rsidRDefault="006A6165" w:rsidP="00BB514B">
            <w:pPr>
              <w:rPr>
                <w:rFonts w:cs="Minion Pro"/>
                <w:sz w:val="18"/>
                <w:szCs w:val="18"/>
              </w:rPr>
            </w:pPr>
            <w:r w:rsidRPr="003C7A64">
              <w:rPr>
                <w:rFonts w:cs="Minion Pro"/>
                <w:sz w:val="18"/>
                <w:szCs w:val="18"/>
              </w:rPr>
              <w:t xml:space="preserve">I = High </w:t>
            </w:r>
          </w:p>
          <w:p w14:paraId="7429FCC9" w14:textId="77777777" w:rsidR="006A6165" w:rsidRPr="003C7A64" w:rsidRDefault="006A6165" w:rsidP="00BB514B">
            <w:pPr>
              <w:rPr>
                <w:rFonts w:cs="Minion Pro"/>
                <w:sz w:val="18"/>
                <w:szCs w:val="18"/>
              </w:rPr>
            </w:pPr>
            <w:r w:rsidRPr="003C7A64">
              <w:rPr>
                <w:rFonts w:cs="Minion Pro"/>
                <w:sz w:val="18"/>
                <w:szCs w:val="18"/>
              </w:rPr>
              <w:t xml:space="preserve">P = moderate </w:t>
            </w:r>
          </w:p>
        </w:tc>
        <w:tc>
          <w:tcPr>
            <w:tcW w:w="1170" w:type="dxa"/>
            <w:shd w:val="clear" w:color="auto" w:fill="auto"/>
          </w:tcPr>
          <w:p w14:paraId="09D3AFF2" w14:textId="77777777" w:rsidR="006A6165" w:rsidRPr="003C7A64" w:rsidRDefault="006A6165" w:rsidP="00BB514B">
            <w:pPr>
              <w:rPr>
                <w:b/>
                <w:sz w:val="18"/>
                <w:szCs w:val="18"/>
              </w:rPr>
            </w:pPr>
            <w:r w:rsidRPr="003C7A64">
              <w:rPr>
                <w:b/>
                <w:sz w:val="18"/>
                <w:szCs w:val="18"/>
              </w:rPr>
              <w:t>High</w:t>
            </w:r>
          </w:p>
        </w:tc>
        <w:tc>
          <w:tcPr>
            <w:tcW w:w="2610" w:type="dxa"/>
            <w:gridSpan w:val="2"/>
            <w:shd w:val="clear" w:color="auto" w:fill="auto"/>
          </w:tcPr>
          <w:p w14:paraId="19119362" w14:textId="77777777" w:rsidR="006A6165" w:rsidRPr="003C7A64" w:rsidRDefault="006A6165" w:rsidP="00BB514B">
            <w:pPr>
              <w:rPr>
                <w:bCs/>
                <w:sz w:val="18"/>
                <w:szCs w:val="18"/>
              </w:rPr>
            </w:pPr>
            <w:r w:rsidRPr="003C7A64">
              <w:rPr>
                <w:bCs/>
                <w:sz w:val="18"/>
                <w:szCs w:val="18"/>
              </w:rPr>
              <w:t xml:space="preserve">List of prohibited inputs for gardening to be developed and provided to respective municipalities. </w:t>
            </w:r>
          </w:p>
        </w:tc>
        <w:tc>
          <w:tcPr>
            <w:tcW w:w="4770" w:type="dxa"/>
            <w:gridSpan w:val="2"/>
            <w:shd w:val="clear" w:color="auto" w:fill="auto"/>
          </w:tcPr>
          <w:p w14:paraId="524FE07B" w14:textId="77777777" w:rsidR="006A6165" w:rsidRPr="003C7A64" w:rsidRDefault="006A6165" w:rsidP="00BB514B">
            <w:pPr>
              <w:rPr>
                <w:bCs/>
                <w:sz w:val="18"/>
                <w:szCs w:val="18"/>
              </w:rPr>
            </w:pPr>
            <w:r w:rsidRPr="003C7A64">
              <w:rPr>
                <w:bCs/>
                <w:sz w:val="18"/>
                <w:szCs w:val="18"/>
              </w:rPr>
              <w:t xml:space="preserve">Assessment of input materials prior to procurement bids being issued by implementing agents/UNDP. </w:t>
            </w:r>
          </w:p>
        </w:tc>
      </w:tr>
      <w:tr w:rsidR="006A6165" w:rsidRPr="003C7A64" w14:paraId="262E208E" w14:textId="77777777" w:rsidTr="00BB514B">
        <w:tc>
          <w:tcPr>
            <w:tcW w:w="3510" w:type="dxa"/>
            <w:shd w:val="clear" w:color="auto" w:fill="auto"/>
            <w:vAlign w:val="center"/>
          </w:tcPr>
          <w:p w14:paraId="53D4A7E2" w14:textId="77777777" w:rsidR="006A6165" w:rsidRPr="003C7A64" w:rsidRDefault="006A6165" w:rsidP="00BB514B">
            <w:pPr>
              <w:rPr>
                <w:b/>
                <w:sz w:val="18"/>
                <w:szCs w:val="18"/>
              </w:rPr>
            </w:pPr>
            <w:r w:rsidRPr="003C7A64">
              <w:rPr>
                <w:sz w:val="18"/>
                <w:szCs w:val="18"/>
              </w:rPr>
              <w:t xml:space="preserve">Risk 2: </w:t>
            </w:r>
            <w:r w:rsidRPr="003C7A64">
              <w:rPr>
                <w:rFonts w:cs="Calibri Light"/>
                <w:sz w:val="16"/>
                <w:szCs w:val="20"/>
              </w:rPr>
              <w:t>The COVID19 is evolving and may change over time in unpredicted ways</w:t>
            </w:r>
          </w:p>
        </w:tc>
        <w:tc>
          <w:tcPr>
            <w:tcW w:w="1080" w:type="dxa"/>
            <w:shd w:val="clear" w:color="auto" w:fill="auto"/>
          </w:tcPr>
          <w:p w14:paraId="20397A9F" w14:textId="77777777" w:rsidR="006A6165" w:rsidRPr="003C7A64" w:rsidRDefault="006A6165" w:rsidP="00BB514B">
            <w:pPr>
              <w:rPr>
                <w:rFonts w:cs="Minion Pro"/>
                <w:sz w:val="18"/>
                <w:szCs w:val="18"/>
              </w:rPr>
            </w:pPr>
            <w:r w:rsidRPr="003C7A64">
              <w:rPr>
                <w:rFonts w:cs="Minion Pro"/>
                <w:sz w:val="18"/>
                <w:szCs w:val="18"/>
              </w:rPr>
              <w:t xml:space="preserve">I = High </w:t>
            </w:r>
          </w:p>
          <w:p w14:paraId="5821E05B" w14:textId="77777777" w:rsidR="006A6165" w:rsidRPr="003C7A64" w:rsidRDefault="006A6165" w:rsidP="00BB514B">
            <w:pPr>
              <w:rPr>
                <w:sz w:val="18"/>
                <w:szCs w:val="18"/>
              </w:rPr>
            </w:pPr>
            <w:r w:rsidRPr="003C7A64">
              <w:rPr>
                <w:rFonts w:cs="Minion Pro"/>
                <w:sz w:val="18"/>
                <w:szCs w:val="18"/>
              </w:rPr>
              <w:t xml:space="preserve">P = High </w:t>
            </w:r>
          </w:p>
        </w:tc>
        <w:tc>
          <w:tcPr>
            <w:tcW w:w="1170" w:type="dxa"/>
            <w:shd w:val="clear" w:color="auto" w:fill="auto"/>
          </w:tcPr>
          <w:p w14:paraId="26A8DE8C" w14:textId="77777777" w:rsidR="006A6165" w:rsidRPr="003C7A64" w:rsidRDefault="006A6165" w:rsidP="00BB514B">
            <w:pPr>
              <w:rPr>
                <w:b/>
                <w:sz w:val="18"/>
                <w:szCs w:val="18"/>
              </w:rPr>
            </w:pPr>
            <w:r w:rsidRPr="003C7A64">
              <w:rPr>
                <w:b/>
                <w:sz w:val="18"/>
                <w:szCs w:val="18"/>
              </w:rPr>
              <w:t xml:space="preserve">Low </w:t>
            </w:r>
          </w:p>
        </w:tc>
        <w:tc>
          <w:tcPr>
            <w:tcW w:w="2610" w:type="dxa"/>
            <w:gridSpan w:val="2"/>
            <w:shd w:val="clear" w:color="auto" w:fill="auto"/>
          </w:tcPr>
          <w:p w14:paraId="376E7262" w14:textId="77777777" w:rsidR="006A6165" w:rsidRPr="003C7A64" w:rsidRDefault="006A6165" w:rsidP="00BB514B">
            <w:pPr>
              <w:rPr>
                <w:bCs/>
                <w:sz w:val="18"/>
                <w:szCs w:val="18"/>
              </w:rPr>
            </w:pPr>
            <w:r w:rsidRPr="003C7A64">
              <w:rPr>
                <w:bCs/>
                <w:sz w:val="18"/>
                <w:szCs w:val="18"/>
              </w:rPr>
              <w:t xml:space="preserve">Sanitation and Hygiene standards to be applied across all activities. </w:t>
            </w:r>
          </w:p>
        </w:tc>
        <w:tc>
          <w:tcPr>
            <w:tcW w:w="4770" w:type="dxa"/>
            <w:gridSpan w:val="2"/>
            <w:shd w:val="clear" w:color="auto" w:fill="auto"/>
          </w:tcPr>
          <w:p w14:paraId="2326E50E" w14:textId="77777777" w:rsidR="006A6165" w:rsidRPr="003C7A64" w:rsidRDefault="006A6165" w:rsidP="00BB514B">
            <w:pPr>
              <w:rPr>
                <w:bCs/>
                <w:sz w:val="18"/>
                <w:szCs w:val="18"/>
              </w:rPr>
            </w:pPr>
          </w:p>
        </w:tc>
      </w:tr>
      <w:tr w:rsidR="006A6165" w:rsidRPr="003C7A64" w14:paraId="4511FE1B" w14:textId="77777777" w:rsidTr="00BB514B">
        <w:trPr>
          <w:trHeight w:val="593"/>
        </w:trPr>
        <w:tc>
          <w:tcPr>
            <w:tcW w:w="3510" w:type="dxa"/>
            <w:vMerge w:val="restart"/>
            <w:shd w:val="clear" w:color="auto" w:fill="auto"/>
          </w:tcPr>
          <w:p w14:paraId="52A3B297" w14:textId="77777777" w:rsidR="006A6165" w:rsidRPr="003C7A64" w:rsidRDefault="006A6165" w:rsidP="00BB514B">
            <w:pPr>
              <w:rPr>
                <w:b/>
                <w:szCs w:val="20"/>
              </w:rPr>
            </w:pPr>
          </w:p>
        </w:tc>
        <w:tc>
          <w:tcPr>
            <w:tcW w:w="9630" w:type="dxa"/>
            <w:gridSpan w:val="6"/>
            <w:shd w:val="clear" w:color="auto" w:fill="222A35"/>
          </w:tcPr>
          <w:p w14:paraId="6D071DE0" w14:textId="77777777" w:rsidR="006A6165" w:rsidRPr="003C7A64" w:rsidRDefault="006A6165" w:rsidP="00BB514B">
            <w:pPr>
              <w:rPr>
                <w:b/>
                <w:sz w:val="18"/>
                <w:szCs w:val="18"/>
              </w:rPr>
            </w:pPr>
            <w:r w:rsidRPr="003C7A64">
              <w:rPr>
                <w:b/>
                <w:szCs w:val="20"/>
              </w:rPr>
              <w:t xml:space="preserve">QUESTION 4: What is the overall Project risk categorization? </w:t>
            </w:r>
          </w:p>
        </w:tc>
      </w:tr>
      <w:tr w:rsidR="006A6165" w:rsidRPr="003C7A64" w14:paraId="75DA2D95" w14:textId="77777777" w:rsidTr="00BB514B">
        <w:tc>
          <w:tcPr>
            <w:tcW w:w="3510" w:type="dxa"/>
            <w:vMerge/>
            <w:shd w:val="clear" w:color="auto" w:fill="auto"/>
          </w:tcPr>
          <w:p w14:paraId="5E4E22A8" w14:textId="77777777" w:rsidR="006A6165" w:rsidRPr="003C7A64" w:rsidRDefault="006A6165" w:rsidP="00BB514B">
            <w:pPr>
              <w:rPr>
                <w:sz w:val="18"/>
                <w:szCs w:val="18"/>
                <w:u w:val="single"/>
              </w:rPr>
            </w:pPr>
          </w:p>
        </w:tc>
        <w:tc>
          <w:tcPr>
            <w:tcW w:w="4883" w:type="dxa"/>
            <w:gridSpan w:val="5"/>
            <w:shd w:val="clear" w:color="auto" w:fill="auto"/>
          </w:tcPr>
          <w:p w14:paraId="7694607E" w14:textId="77777777" w:rsidR="006A6165" w:rsidRPr="00407304" w:rsidRDefault="006A6165" w:rsidP="00BB514B">
            <w:pPr>
              <w:jc w:val="center"/>
              <w:rPr>
                <w:b/>
                <w:sz w:val="18"/>
                <w:szCs w:val="18"/>
              </w:rPr>
            </w:pPr>
            <w:r w:rsidRPr="003C7A64">
              <w:rPr>
                <w:b/>
                <w:sz w:val="18"/>
                <w:szCs w:val="18"/>
              </w:rPr>
              <w:t xml:space="preserve">Select one (see </w:t>
            </w:r>
            <w:hyperlink r:id="rId7" w:history="1">
              <w:r w:rsidRPr="003C7A64">
                <w:rPr>
                  <w:rStyle w:val="Hyperlink"/>
                  <w:b/>
                  <w:sz w:val="18"/>
                  <w:szCs w:val="18"/>
                </w:rPr>
                <w:t>SESP</w:t>
              </w:r>
            </w:hyperlink>
            <w:r w:rsidRPr="00407304">
              <w:rPr>
                <w:b/>
                <w:sz w:val="18"/>
                <w:szCs w:val="18"/>
              </w:rPr>
              <w:t xml:space="preserve"> for guidance)</w:t>
            </w:r>
          </w:p>
        </w:tc>
        <w:tc>
          <w:tcPr>
            <w:tcW w:w="4747" w:type="dxa"/>
            <w:shd w:val="clear" w:color="auto" w:fill="auto"/>
          </w:tcPr>
          <w:p w14:paraId="3546BD55" w14:textId="77777777" w:rsidR="006A6165" w:rsidRPr="00EC5B16" w:rsidRDefault="006A6165" w:rsidP="00BB514B">
            <w:pPr>
              <w:jc w:val="center"/>
              <w:rPr>
                <w:b/>
                <w:sz w:val="18"/>
                <w:szCs w:val="18"/>
              </w:rPr>
            </w:pPr>
            <w:r w:rsidRPr="00407304">
              <w:rPr>
                <w:b/>
                <w:sz w:val="18"/>
                <w:szCs w:val="18"/>
              </w:rPr>
              <w:t>Comments</w:t>
            </w:r>
          </w:p>
        </w:tc>
      </w:tr>
      <w:tr w:rsidR="006A6165" w:rsidRPr="003C7A64" w14:paraId="5598D2FD" w14:textId="77777777" w:rsidTr="00BB514B">
        <w:trPr>
          <w:trHeight w:val="251"/>
        </w:trPr>
        <w:tc>
          <w:tcPr>
            <w:tcW w:w="3510" w:type="dxa"/>
            <w:vMerge/>
            <w:shd w:val="clear" w:color="auto" w:fill="auto"/>
          </w:tcPr>
          <w:p w14:paraId="4E13A6D0" w14:textId="77777777" w:rsidR="006A6165" w:rsidRPr="003C7A64" w:rsidRDefault="006A6165" w:rsidP="00BB514B">
            <w:pPr>
              <w:rPr>
                <w:rFonts w:cs="Minion Pro"/>
                <w:sz w:val="18"/>
                <w:szCs w:val="18"/>
              </w:rPr>
            </w:pPr>
          </w:p>
        </w:tc>
        <w:tc>
          <w:tcPr>
            <w:tcW w:w="4343" w:type="dxa"/>
            <w:gridSpan w:val="3"/>
            <w:shd w:val="clear" w:color="auto" w:fill="auto"/>
          </w:tcPr>
          <w:p w14:paraId="62F352CD" w14:textId="77777777" w:rsidR="006A6165" w:rsidRPr="003C7A64" w:rsidRDefault="006A6165" w:rsidP="00BB514B">
            <w:pPr>
              <w:jc w:val="right"/>
              <w:rPr>
                <w:rFonts w:cs="Minion Pro"/>
                <w:b/>
                <w:i/>
                <w:sz w:val="18"/>
                <w:szCs w:val="18"/>
              </w:rPr>
            </w:pPr>
            <w:r w:rsidRPr="003C7A64">
              <w:rPr>
                <w:rFonts w:cs="Minion Pro"/>
                <w:b/>
                <w:i/>
                <w:sz w:val="18"/>
                <w:szCs w:val="18"/>
              </w:rPr>
              <w:t>Low Risk</w:t>
            </w:r>
          </w:p>
        </w:tc>
        <w:tc>
          <w:tcPr>
            <w:tcW w:w="540" w:type="dxa"/>
            <w:gridSpan w:val="2"/>
            <w:shd w:val="clear" w:color="auto" w:fill="auto"/>
          </w:tcPr>
          <w:p w14:paraId="2BBC6920" w14:textId="77777777" w:rsidR="006A6165" w:rsidRPr="003C7A64" w:rsidRDefault="006A6165" w:rsidP="00BB514B">
            <w:pPr>
              <w:ind w:left="-2230" w:firstLine="2230"/>
              <w:rPr>
                <w:b/>
                <w:sz w:val="18"/>
                <w:szCs w:val="18"/>
              </w:rPr>
            </w:pPr>
            <w:r w:rsidRPr="003C7A64">
              <w:rPr>
                <w:rFonts w:ascii="Segoe UI Symbol" w:hAnsi="Segoe UI Symbol" w:cs="Segoe UI Symbol"/>
                <w:b/>
                <w:szCs w:val="20"/>
              </w:rPr>
              <w:t>☐</w:t>
            </w:r>
          </w:p>
        </w:tc>
        <w:tc>
          <w:tcPr>
            <w:tcW w:w="4747" w:type="dxa"/>
            <w:shd w:val="clear" w:color="auto" w:fill="auto"/>
          </w:tcPr>
          <w:p w14:paraId="7619C49E" w14:textId="77777777" w:rsidR="006A6165" w:rsidRPr="003C7A64" w:rsidRDefault="006A6165" w:rsidP="00BB514B">
            <w:pPr>
              <w:rPr>
                <w:b/>
                <w:sz w:val="18"/>
                <w:szCs w:val="18"/>
              </w:rPr>
            </w:pPr>
          </w:p>
        </w:tc>
      </w:tr>
      <w:tr w:rsidR="006A6165" w:rsidRPr="003C7A64" w14:paraId="2C58F1D2" w14:textId="77777777" w:rsidTr="00BB514B">
        <w:tc>
          <w:tcPr>
            <w:tcW w:w="3510" w:type="dxa"/>
            <w:vMerge/>
            <w:shd w:val="clear" w:color="auto" w:fill="auto"/>
          </w:tcPr>
          <w:p w14:paraId="62E31BD5" w14:textId="77777777" w:rsidR="006A6165" w:rsidRPr="003C7A64" w:rsidRDefault="006A6165" w:rsidP="00BB514B">
            <w:pPr>
              <w:rPr>
                <w:rFonts w:cs="Minion Pro"/>
                <w:sz w:val="18"/>
                <w:szCs w:val="18"/>
              </w:rPr>
            </w:pPr>
          </w:p>
        </w:tc>
        <w:tc>
          <w:tcPr>
            <w:tcW w:w="4343" w:type="dxa"/>
            <w:gridSpan w:val="3"/>
            <w:shd w:val="clear" w:color="auto" w:fill="auto"/>
          </w:tcPr>
          <w:p w14:paraId="3DAFB81C" w14:textId="77777777" w:rsidR="006A6165" w:rsidRPr="003C7A64" w:rsidRDefault="006A6165" w:rsidP="00BB514B">
            <w:pPr>
              <w:jc w:val="right"/>
              <w:rPr>
                <w:rFonts w:cs="Minion Pro"/>
                <w:b/>
                <w:i/>
                <w:sz w:val="18"/>
                <w:szCs w:val="18"/>
              </w:rPr>
            </w:pPr>
            <w:r w:rsidRPr="003C7A64">
              <w:rPr>
                <w:rFonts w:cs="Minion Pro"/>
                <w:b/>
                <w:i/>
                <w:sz w:val="18"/>
                <w:szCs w:val="18"/>
              </w:rPr>
              <w:t>Moderate Risk</w:t>
            </w:r>
          </w:p>
        </w:tc>
        <w:tc>
          <w:tcPr>
            <w:tcW w:w="540" w:type="dxa"/>
            <w:gridSpan w:val="2"/>
            <w:shd w:val="clear" w:color="auto" w:fill="auto"/>
          </w:tcPr>
          <w:p w14:paraId="1936DC12" w14:textId="77777777" w:rsidR="006A6165" w:rsidRPr="003C7A64" w:rsidRDefault="006A6165" w:rsidP="00BB514B">
            <w:pPr>
              <w:ind w:left="-2230" w:firstLine="2230"/>
              <w:rPr>
                <w:b/>
                <w:sz w:val="18"/>
                <w:szCs w:val="18"/>
              </w:rPr>
            </w:pPr>
            <w:r w:rsidRPr="003C7A64">
              <w:rPr>
                <w:rFonts w:ascii="Segoe UI Symbol" w:hAnsi="Segoe UI Symbol" w:cs="Segoe UI Symbol"/>
                <w:b/>
                <w:szCs w:val="20"/>
              </w:rPr>
              <w:t>X ☐</w:t>
            </w:r>
          </w:p>
        </w:tc>
        <w:tc>
          <w:tcPr>
            <w:tcW w:w="4747" w:type="dxa"/>
            <w:shd w:val="clear" w:color="auto" w:fill="auto"/>
          </w:tcPr>
          <w:p w14:paraId="68A56678" w14:textId="77777777" w:rsidR="006A6165" w:rsidRPr="003C7A64" w:rsidRDefault="006A6165" w:rsidP="00BB514B">
            <w:pPr>
              <w:rPr>
                <w:bCs/>
                <w:sz w:val="18"/>
                <w:szCs w:val="18"/>
              </w:rPr>
            </w:pPr>
            <w:r w:rsidRPr="003C7A64">
              <w:rPr>
                <w:bCs/>
                <w:sz w:val="18"/>
                <w:szCs w:val="18"/>
              </w:rPr>
              <w:t xml:space="preserve">The COVID 19 pandemic is presents with it volatile, uncertainties and complexities that would need to be taken into consideration and managed at each step of the project planning and implementation. </w:t>
            </w:r>
          </w:p>
        </w:tc>
      </w:tr>
      <w:tr w:rsidR="006A6165" w:rsidRPr="003C7A64" w14:paraId="32169EB2" w14:textId="77777777" w:rsidTr="00BB514B">
        <w:tc>
          <w:tcPr>
            <w:tcW w:w="3510" w:type="dxa"/>
            <w:vMerge/>
            <w:shd w:val="clear" w:color="auto" w:fill="auto"/>
          </w:tcPr>
          <w:p w14:paraId="6B41D22A" w14:textId="77777777" w:rsidR="006A6165" w:rsidRPr="003C7A64" w:rsidRDefault="006A6165" w:rsidP="00BB514B">
            <w:pPr>
              <w:rPr>
                <w:rFonts w:cs="Minion Pro"/>
                <w:sz w:val="18"/>
                <w:szCs w:val="18"/>
              </w:rPr>
            </w:pPr>
          </w:p>
        </w:tc>
        <w:tc>
          <w:tcPr>
            <w:tcW w:w="4343" w:type="dxa"/>
            <w:gridSpan w:val="3"/>
            <w:shd w:val="clear" w:color="auto" w:fill="auto"/>
          </w:tcPr>
          <w:p w14:paraId="57287D08" w14:textId="77777777" w:rsidR="006A6165" w:rsidRPr="003C7A64" w:rsidRDefault="006A6165" w:rsidP="00BB514B">
            <w:pPr>
              <w:jc w:val="right"/>
              <w:rPr>
                <w:rFonts w:cs="Minion Pro"/>
                <w:b/>
                <w:i/>
                <w:sz w:val="18"/>
                <w:szCs w:val="18"/>
              </w:rPr>
            </w:pPr>
            <w:r w:rsidRPr="003C7A64">
              <w:rPr>
                <w:rFonts w:cs="Minion Pro"/>
                <w:b/>
                <w:i/>
                <w:sz w:val="18"/>
                <w:szCs w:val="18"/>
              </w:rPr>
              <w:t>High Risk</w:t>
            </w:r>
          </w:p>
        </w:tc>
        <w:tc>
          <w:tcPr>
            <w:tcW w:w="540" w:type="dxa"/>
            <w:gridSpan w:val="2"/>
            <w:shd w:val="clear" w:color="auto" w:fill="auto"/>
          </w:tcPr>
          <w:p w14:paraId="47518BC6" w14:textId="77777777" w:rsidR="006A6165" w:rsidRPr="003C7A64" w:rsidRDefault="006A6165" w:rsidP="00BB514B">
            <w:pPr>
              <w:ind w:left="-2230" w:firstLine="2230"/>
              <w:rPr>
                <w:b/>
                <w:sz w:val="18"/>
                <w:szCs w:val="18"/>
              </w:rPr>
            </w:pPr>
            <w:r w:rsidRPr="003C7A64">
              <w:rPr>
                <w:rFonts w:ascii="Segoe UI Symbol" w:hAnsi="Segoe UI Symbol" w:cs="Segoe UI Symbol"/>
                <w:b/>
                <w:szCs w:val="20"/>
              </w:rPr>
              <w:t>☐</w:t>
            </w:r>
          </w:p>
        </w:tc>
        <w:tc>
          <w:tcPr>
            <w:tcW w:w="4747" w:type="dxa"/>
            <w:shd w:val="clear" w:color="auto" w:fill="auto"/>
          </w:tcPr>
          <w:p w14:paraId="1E6C0C0A" w14:textId="77777777" w:rsidR="006A6165" w:rsidRPr="003C7A64" w:rsidRDefault="006A6165" w:rsidP="00BB514B">
            <w:pPr>
              <w:rPr>
                <w:b/>
                <w:sz w:val="18"/>
                <w:szCs w:val="18"/>
              </w:rPr>
            </w:pPr>
          </w:p>
        </w:tc>
      </w:tr>
      <w:tr w:rsidR="006A6165" w:rsidRPr="003C7A64" w14:paraId="0C826550" w14:textId="77777777" w:rsidTr="00BB514B">
        <w:trPr>
          <w:trHeight w:val="782"/>
        </w:trPr>
        <w:tc>
          <w:tcPr>
            <w:tcW w:w="3510" w:type="dxa"/>
            <w:vMerge w:val="restart"/>
            <w:shd w:val="clear" w:color="auto" w:fill="FFFFFF"/>
          </w:tcPr>
          <w:p w14:paraId="28D2DBF2" w14:textId="77777777" w:rsidR="006A6165" w:rsidRPr="003C7A64" w:rsidRDefault="006A6165" w:rsidP="00BB514B">
            <w:pPr>
              <w:ind w:hanging="18"/>
              <w:rPr>
                <w:b/>
                <w:szCs w:val="20"/>
              </w:rPr>
            </w:pPr>
          </w:p>
        </w:tc>
        <w:tc>
          <w:tcPr>
            <w:tcW w:w="4883" w:type="dxa"/>
            <w:gridSpan w:val="5"/>
            <w:shd w:val="clear" w:color="auto" w:fill="222A35"/>
            <w:vAlign w:val="center"/>
          </w:tcPr>
          <w:p w14:paraId="3C4C9F1E" w14:textId="77777777" w:rsidR="006A6165" w:rsidRPr="003C7A64" w:rsidRDefault="006A6165" w:rsidP="00BB514B">
            <w:pPr>
              <w:tabs>
                <w:tab w:val="left" w:pos="360"/>
              </w:tabs>
              <w:rPr>
                <w:szCs w:val="20"/>
              </w:rPr>
            </w:pPr>
            <w:r w:rsidRPr="003C7A64">
              <w:rPr>
                <w:b/>
                <w:szCs w:val="20"/>
              </w:rPr>
              <w:t>QUESTION 5: Based on the identified risks and risk categorization, what requirements of the SES are relevant?</w:t>
            </w:r>
          </w:p>
        </w:tc>
        <w:tc>
          <w:tcPr>
            <w:tcW w:w="4747" w:type="dxa"/>
            <w:shd w:val="clear" w:color="auto" w:fill="222A35"/>
            <w:vAlign w:val="center"/>
          </w:tcPr>
          <w:p w14:paraId="62811152" w14:textId="77777777" w:rsidR="006A6165" w:rsidRPr="003C7A64" w:rsidRDefault="006A6165" w:rsidP="00BB514B">
            <w:pPr>
              <w:tabs>
                <w:tab w:val="left" w:pos="360"/>
              </w:tabs>
              <w:jc w:val="center"/>
              <w:rPr>
                <w:b/>
                <w:szCs w:val="20"/>
              </w:rPr>
            </w:pPr>
          </w:p>
        </w:tc>
      </w:tr>
      <w:tr w:rsidR="006A6165" w:rsidRPr="003C7A64" w14:paraId="6731267B" w14:textId="77777777" w:rsidTr="00BB514B">
        <w:trPr>
          <w:trHeight w:val="296"/>
        </w:trPr>
        <w:tc>
          <w:tcPr>
            <w:tcW w:w="3510" w:type="dxa"/>
            <w:vMerge/>
            <w:shd w:val="clear" w:color="auto" w:fill="FFFFFF"/>
          </w:tcPr>
          <w:p w14:paraId="01755E78" w14:textId="77777777" w:rsidR="006A6165" w:rsidRPr="003C7A64" w:rsidRDefault="006A6165" w:rsidP="00BB514B">
            <w:pPr>
              <w:rPr>
                <w:sz w:val="18"/>
                <w:szCs w:val="18"/>
                <w:u w:val="single"/>
              </w:rPr>
            </w:pPr>
          </w:p>
        </w:tc>
        <w:tc>
          <w:tcPr>
            <w:tcW w:w="4883" w:type="dxa"/>
            <w:gridSpan w:val="5"/>
            <w:shd w:val="clear" w:color="auto" w:fill="auto"/>
          </w:tcPr>
          <w:p w14:paraId="0EB5E21C" w14:textId="77777777" w:rsidR="006A6165" w:rsidRPr="003C7A64" w:rsidRDefault="006A6165" w:rsidP="00BB514B">
            <w:pPr>
              <w:tabs>
                <w:tab w:val="left" w:pos="360"/>
              </w:tabs>
              <w:jc w:val="center"/>
              <w:rPr>
                <w:rFonts w:ascii="Menlo Bold" w:hAnsi="Menlo Bold" w:cs="Menlo Bold"/>
                <w:b/>
                <w:szCs w:val="20"/>
              </w:rPr>
            </w:pPr>
            <w:r w:rsidRPr="003C7A64">
              <w:rPr>
                <w:sz w:val="18"/>
                <w:szCs w:val="18"/>
              </w:rPr>
              <w:t>Check all that apply</w:t>
            </w:r>
          </w:p>
        </w:tc>
        <w:tc>
          <w:tcPr>
            <w:tcW w:w="4747" w:type="dxa"/>
            <w:shd w:val="clear" w:color="auto" w:fill="auto"/>
          </w:tcPr>
          <w:p w14:paraId="72B00EB5" w14:textId="77777777" w:rsidR="006A6165" w:rsidRPr="003C7A64" w:rsidRDefault="006A6165" w:rsidP="00BB514B">
            <w:pPr>
              <w:tabs>
                <w:tab w:val="left" w:pos="360"/>
              </w:tabs>
              <w:jc w:val="center"/>
              <w:rPr>
                <w:b/>
                <w:sz w:val="18"/>
                <w:szCs w:val="18"/>
              </w:rPr>
            </w:pPr>
            <w:r w:rsidRPr="003C7A64">
              <w:rPr>
                <w:b/>
                <w:sz w:val="18"/>
                <w:szCs w:val="18"/>
              </w:rPr>
              <w:t>Comments</w:t>
            </w:r>
          </w:p>
        </w:tc>
      </w:tr>
      <w:tr w:rsidR="006A6165" w:rsidRPr="003C7A64" w14:paraId="0E851FB3" w14:textId="77777777" w:rsidTr="00BB514B">
        <w:tc>
          <w:tcPr>
            <w:tcW w:w="3510" w:type="dxa"/>
            <w:vMerge/>
            <w:shd w:val="clear" w:color="auto" w:fill="FFFFFF"/>
          </w:tcPr>
          <w:p w14:paraId="639E347E" w14:textId="77777777" w:rsidR="006A6165" w:rsidRPr="003C7A64" w:rsidRDefault="006A6165" w:rsidP="00BB514B">
            <w:pPr>
              <w:tabs>
                <w:tab w:val="left" w:pos="270"/>
              </w:tabs>
              <w:ind w:left="270" w:hanging="270"/>
              <w:rPr>
                <w:sz w:val="18"/>
                <w:szCs w:val="18"/>
              </w:rPr>
            </w:pPr>
          </w:p>
        </w:tc>
        <w:tc>
          <w:tcPr>
            <w:tcW w:w="4343" w:type="dxa"/>
            <w:gridSpan w:val="3"/>
            <w:shd w:val="clear" w:color="auto" w:fill="auto"/>
          </w:tcPr>
          <w:p w14:paraId="4750B09F" w14:textId="77777777" w:rsidR="006A6165" w:rsidRPr="003C7A64" w:rsidRDefault="006A6165" w:rsidP="00BB514B">
            <w:pPr>
              <w:tabs>
                <w:tab w:val="left" w:pos="270"/>
              </w:tabs>
              <w:ind w:left="270" w:hanging="270"/>
              <w:rPr>
                <w:b/>
                <w:i/>
                <w:sz w:val="18"/>
                <w:szCs w:val="18"/>
              </w:rPr>
            </w:pPr>
            <w:r w:rsidRPr="003C7A64">
              <w:rPr>
                <w:b/>
                <w:i/>
                <w:sz w:val="18"/>
                <w:szCs w:val="18"/>
              </w:rPr>
              <w:t>Principle 1: Human Rights</w:t>
            </w:r>
          </w:p>
        </w:tc>
        <w:tc>
          <w:tcPr>
            <w:tcW w:w="540" w:type="dxa"/>
            <w:gridSpan w:val="2"/>
            <w:shd w:val="clear" w:color="auto" w:fill="auto"/>
            <w:vAlign w:val="center"/>
          </w:tcPr>
          <w:p w14:paraId="7D949E59" w14:textId="77777777" w:rsidR="006A6165" w:rsidRPr="003C7A64" w:rsidRDefault="006A6165" w:rsidP="00BB514B">
            <w:pPr>
              <w:tabs>
                <w:tab w:val="left" w:pos="360"/>
              </w:tabs>
              <w:rPr>
                <w:sz w:val="18"/>
                <w:szCs w:val="18"/>
              </w:rPr>
            </w:pPr>
            <w:r w:rsidRPr="003C7A64">
              <w:rPr>
                <w:rFonts w:ascii="Segoe UI Symbol" w:hAnsi="Segoe UI Symbol" w:cs="Segoe UI Symbol"/>
                <w:b/>
                <w:szCs w:val="20"/>
              </w:rPr>
              <w:t>☐</w:t>
            </w:r>
          </w:p>
        </w:tc>
        <w:tc>
          <w:tcPr>
            <w:tcW w:w="4747" w:type="dxa"/>
            <w:shd w:val="clear" w:color="auto" w:fill="auto"/>
          </w:tcPr>
          <w:p w14:paraId="498BAD53" w14:textId="77777777" w:rsidR="006A6165" w:rsidRPr="003C7A64" w:rsidRDefault="006A6165" w:rsidP="00BB514B">
            <w:pPr>
              <w:tabs>
                <w:tab w:val="left" w:pos="360"/>
              </w:tabs>
              <w:rPr>
                <w:sz w:val="18"/>
                <w:szCs w:val="18"/>
              </w:rPr>
            </w:pPr>
          </w:p>
        </w:tc>
      </w:tr>
      <w:tr w:rsidR="006A6165" w:rsidRPr="003C7A64" w14:paraId="69606244" w14:textId="77777777" w:rsidTr="00BB514B">
        <w:tc>
          <w:tcPr>
            <w:tcW w:w="3510" w:type="dxa"/>
            <w:vMerge/>
            <w:shd w:val="clear" w:color="auto" w:fill="FFFFFF"/>
          </w:tcPr>
          <w:p w14:paraId="241DC1A3" w14:textId="77777777" w:rsidR="006A6165" w:rsidRPr="003C7A64" w:rsidRDefault="006A6165" w:rsidP="00BB514B">
            <w:pPr>
              <w:tabs>
                <w:tab w:val="left" w:pos="270"/>
              </w:tabs>
              <w:ind w:left="270" w:hanging="270"/>
              <w:rPr>
                <w:sz w:val="18"/>
                <w:szCs w:val="18"/>
              </w:rPr>
            </w:pPr>
          </w:p>
        </w:tc>
        <w:tc>
          <w:tcPr>
            <w:tcW w:w="4343" w:type="dxa"/>
            <w:gridSpan w:val="3"/>
            <w:shd w:val="clear" w:color="auto" w:fill="auto"/>
          </w:tcPr>
          <w:p w14:paraId="249A591E" w14:textId="77777777" w:rsidR="006A6165" w:rsidRPr="003C7A64" w:rsidRDefault="006A6165" w:rsidP="00BB514B">
            <w:pPr>
              <w:tabs>
                <w:tab w:val="left" w:pos="270"/>
              </w:tabs>
              <w:ind w:left="270" w:hanging="270"/>
              <w:rPr>
                <w:b/>
                <w:i/>
                <w:sz w:val="18"/>
                <w:szCs w:val="18"/>
              </w:rPr>
            </w:pPr>
            <w:r w:rsidRPr="003C7A64">
              <w:rPr>
                <w:b/>
                <w:i/>
                <w:sz w:val="18"/>
                <w:szCs w:val="18"/>
              </w:rPr>
              <w:t>Principle 2: Gender Equality and Women’s Empowerment</w:t>
            </w:r>
          </w:p>
        </w:tc>
        <w:tc>
          <w:tcPr>
            <w:tcW w:w="540" w:type="dxa"/>
            <w:gridSpan w:val="2"/>
            <w:shd w:val="clear" w:color="auto" w:fill="auto"/>
            <w:vAlign w:val="center"/>
          </w:tcPr>
          <w:p w14:paraId="505991A4" w14:textId="77777777" w:rsidR="006A6165" w:rsidRPr="003C7A64" w:rsidRDefault="006A6165" w:rsidP="00BB514B">
            <w:pPr>
              <w:tabs>
                <w:tab w:val="left" w:pos="360"/>
              </w:tabs>
              <w:rPr>
                <w:sz w:val="18"/>
                <w:szCs w:val="18"/>
              </w:rPr>
            </w:pPr>
            <w:r w:rsidRPr="003C7A64">
              <w:rPr>
                <w:rFonts w:ascii="Segoe UI Symbol" w:hAnsi="Segoe UI Symbol" w:cs="Segoe UI Symbol"/>
                <w:b/>
                <w:szCs w:val="20"/>
              </w:rPr>
              <w:t>☐</w:t>
            </w:r>
          </w:p>
        </w:tc>
        <w:tc>
          <w:tcPr>
            <w:tcW w:w="4747" w:type="dxa"/>
            <w:shd w:val="clear" w:color="auto" w:fill="auto"/>
          </w:tcPr>
          <w:p w14:paraId="17350DD5" w14:textId="77777777" w:rsidR="006A6165" w:rsidRPr="003C7A64" w:rsidRDefault="006A6165" w:rsidP="00BB514B">
            <w:pPr>
              <w:tabs>
                <w:tab w:val="left" w:pos="360"/>
              </w:tabs>
              <w:rPr>
                <w:sz w:val="18"/>
                <w:szCs w:val="18"/>
              </w:rPr>
            </w:pPr>
          </w:p>
        </w:tc>
      </w:tr>
      <w:tr w:rsidR="006A6165" w:rsidRPr="003C7A64" w14:paraId="4D7272BF" w14:textId="77777777" w:rsidTr="00BB514B">
        <w:tc>
          <w:tcPr>
            <w:tcW w:w="3510" w:type="dxa"/>
            <w:vMerge/>
            <w:shd w:val="clear" w:color="auto" w:fill="FFFFFF"/>
          </w:tcPr>
          <w:p w14:paraId="31A6CC41" w14:textId="77777777" w:rsidR="006A6165" w:rsidRPr="003C7A64" w:rsidRDefault="006A6165" w:rsidP="00BB514B">
            <w:pPr>
              <w:tabs>
                <w:tab w:val="left" w:pos="270"/>
              </w:tabs>
              <w:ind w:left="270" w:hanging="270"/>
              <w:rPr>
                <w:sz w:val="18"/>
                <w:szCs w:val="18"/>
              </w:rPr>
            </w:pPr>
          </w:p>
        </w:tc>
        <w:tc>
          <w:tcPr>
            <w:tcW w:w="4343" w:type="dxa"/>
            <w:gridSpan w:val="3"/>
            <w:shd w:val="clear" w:color="auto" w:fill="auto"/>
          </w:tcPr>
          <w:p w14:paraId="66F6B5A0" w14:textId="77777777" w:rsidR="006A6165" w:rsidRPr="003C7A64" w:rsidRDefault="006A6165" w:rsidP="00BB514B">
            <w:pPr>
              <w:tabs>
                <w:tab w:val="left" w:pos="270"/>
              </w:tabs>
              <w:ind w:left="270" w:hanging="270"/>
              <w:rPr>
                <w:b/>
                <w:i/>
                <w:sz w:val="18"/>
                <w:szCs w:val="18"/>
              </w:rPr>
            </w:pPr>
            <w:r w:rsidRPr="003C7A64">
              <w:rPr>
                <w:b/>
                <w:i/>
                <w:sz w:val="18"/>
                <w:szCs w:val="18"/>
              </w:rPr>
              <w:t>1.</w:t>
            </w:r>
            <w:r w:rsidRPr="003C7A64">
              <w:rPr>
                <w:b/>
                <w:i/>
                <w:sz w:val="18"/>
                <w:szCs w:val="18"/>
              </w:rPr>
              <w:tab/>
              <w:t>Biodiversity Conservation and Natural Resource Management</w:t>
            </w:r>
          </w:p>
        </w:tc>
        <w:tc>
          <w:tcPr>
            <w:tcW w:w="540" w:type="dxa"/>
            <w:gridSpan w:val="2"/>
            <w:shd w:val="clear" w:color="auto" w:fill="auto"/>
            <w:vAlign w:val="center"/>
          </w:tcPr>
          <w:p w14:paraId="21A29710" w14:textId="77777777" w:rsidR="006A6165" w:rsidRPr="003C7A64" w:rsidRDefault="006A6165" w:rsidP="00BB514B">
            <w:pPr>
              <w:tabs>
                <w:tab w:val="left" w:pos="360"/>
              </w:tabs>
              <w:rPr>
                <w:sz w:val="18"/>
                <w:szCs w:val="18"/>
              </w:rPr>
            </w:pPr>
            <w:r w:rsidRPr="003C7A64">
              <w:rPr>
                <w:rFonts w:ascii="Segoe UI Symbol" w:hAnsi="Segoe UI Symbol" w:cs="Segoe UI Symbol"/>
                <w:b/>
                <w:szCs w:val="20"/>
              </w:rPr>
              <w:t>☐</w:t>
            </w:r>
          </w:p>
        </w:tc>
        <w:tc>
          <w:tcPr>
            <w:tcW w:w="4747" w:type="dxa"/>
            <w:shd w:val="clear" w:color="auto" w:fill="auto"/>
          </w:tcPr>
          <w:p w14:paraId="758A15C7" w14:textId="77777777" w:rsidR="006A6165" w:rsidRPr="003C7A64" w:rsidRDefault="006A6165" w:rsidP="00BB514B">
            <w:pPr>
              <w:tabs>
                <w:tab w:val="left" w:pos="360"/>
              </w:tabs>
              <w:rPr>
                <w:sz w:val="18"/>
                <w:szCs w:val="18"/>
              </w:rPr>
            </w:pPr>
            <w:r w:rsidRPr="003C7A64">
              <w:rPr>
                <w:sz w:val="18"/>
                <w:szCs w:val="18"/>
              </w:rPr>
              <w:t xml:space="preserve">Given that Swakopmund municipality lies within the Namib desert which have unique habitat. Closer monitoring by an environmentalist of the selected area to be used will be conducted. </w:t>
            </w:r>
          </w:p>
        </w:tc>
      </w:tr>
      <w:tr w:rsidR="006A6165" w:rsidRPr="003C7A64" w14:paraId="0F193FC2" w14:textId="77777777" w:rsidTr="00BB514B">
        <w:tc>
          <w:tcPr>
            <w:tcW w:w="3510" w:type="dxa"/>
            <w:vMerge/>
            <w:shd w:val="clear" w:color="auto" w:fill="FFFFFF"/>
          </w:tcPr>
          <w:p w14:paraId="3AA8E22D" w14:textId="77777777" w:rsidR="006A6165" w:rsidRPr="003C7A64" w:rsidRDefault="006A6165" w:rsidP="00BB514B">
            <w:pPr>
              <w:tabs>
                <w:tab w:val="left" w:pos="270"/>
              </w:tabs>
              <w:ind w:left="270" w:hanging="270"/>
              <w:rPr>
                <w:sz w:val="18"/>
                <w:szCs w:val="18"/>
              </w:rPr>
            </w:pPr>
          </w:p>
        </w:tc>
        <w:tc>
          <w:tcPr>
            <w:tcW w:w="4343" w:type="dxa"/>
            <w:gridSpan w:val="3"/>
            <w:shd w:val="clear" w:color="auto" w:fill="auto"/>
          </w:tcPr>
          <w:p w14:paraId="7BF9BB8D" w14:textId="77777777" w:rsidR="006A6165" w:rsidRPr="003C7A64" w:rsidRDefault="006A6165" w:rsidP="00BB514B">
            <w:pPr>
              <w:tabs>
                <w:tab w:val="left" w:pos="270"/>
              </w:tabs>
              <w:ind w:left="270" w:hanging="270"/>
              <w:rPr>
                <w:b/>
                <w:i/>
                <w:sz w:val="18"/>
                <w:szCs w:val="18"/>
              </w:rPr>
            </w:pPr>
            <w:r w:rsidRPr="003C7A64">
              <w:rPr>
                <w:b/>
                <w:i/>
                <w:sz w:val="18"/>
                <w:szCs w:val="18"/>
              </w:rPr>
              <w:t>2.</w:t>
            </w:r>
            <w:r w:rsidRPr="003C7A64">
              <w:rPr>
                <w:b/>
                <w:i/>
                <w:sz w:val="18"/>
                <w:szCs w:val="18"/>
              </w:rPr>
              <w:tab/>
              <w:t>Climate Change Mitigation and Adaptation</w:t>
            </w:r>
          </w:p>
        </w:tc>
        <w:tc>
          <w:tcPr>
            <w:tcW w:w="540" w:type="dxa"/>
            <w:gridSpan w:val="2"/>
            <w:shd w:val="clear" w:color="auto" w:fill="auto"/>
            <w:vAlign w:val="center"/>
          </w:tcPr>
          <w:p w14:paraId="369CFCF2" w14:textId="77777777" w:rsidR="006A6165" w:rsidRPr="003C7A64" w:rsidRDefault="006A6165" w:rsidP="00BB514B">
            <w:pPr>
              <w:tabs>
                <w:tab w:val="left" w:pos="360"/>
              </w:tabs>
              <w:rPr>
                <w:sz w:val="18"/>
                <w:szCs w:val="18"/>
              </w:rPr>
            </w:pPr>
            <w:r w:rsidRPr="003C7A64">
              <w:rPr>
                <w:rFonts w:ascii="Segoe UI Symbol" w:hAnsi="Segoe UI Symbol" w:cs="Segoe UI Symbol"/>
                <w:b/>
                <w:szCs w:val="20"/>
              </w:rPr>
              <w:t>☐</w:t>
            </w:r>
          </w:p>
        </w:tc>
        <w:tc>
          <w:tcPr>
            <w:tcW w:w="4747" w:type="dxa"/>
            <w:shd w:val="clear" w:color="auto" w:fill="auto"/>
          </w:tcPr>
          <w:p w14:paraId="3FA098F8" w14:textId="77777777" w:rsidR="006A6165" w:rsidRPr="003C7A64" w:rsidRDefault="006A6165" w:rsidP="00BB514B">
            <w:pPr>
              <w:tabs>
                <w:tab w:val="left" w:pos="360"/>
              </w:tabs>
              <w:rPr>
                <w:sz w:val="18"/>
                <w:szCs w:val="18"/>
              </w:rPr>
            </w:pPr>
          </w:p>
        </w:tc>
      </w:tr>
      <w:tr w:rsidR="006A6165" w:rsidRPr="003C7A64" w14:paraId="42495A77" w14:textId="77777777" w:rsidTr="00BB514B">
        <w:tc>
          <w:tcPr>
            <w:tcW w:w="3510" w:type="dxa"/>
            <w:vMerge/>
            <w:shd w:val="clear" w:color="auto" w:fill="FFFFFF"/>
          </w:tcPr>
          <w:p w14:paraId="56AFAAE6" w14:textId="77777777" w:rsidR="006A6165" w:rsidRPr="003C7A64" w:rsidRDefault="006A6165" w:rsidP="00BB514B">
            <w:pPr>
              <w:tabs>
                <w:tab w:val="left" w:pos="270"/>
              </w:tabs>
              <w:ind w:left="270" w:hanging="270"/>
              <w:rPr>
                <w:sz w:val="18"/>
                <w:szCs w:val="18"/>
              </w:rPr>
            </w:pPr>
          </w:p>
        </w:tc>
        <w:tc>
          <w:tcPr>
            <w:tcW w:w="4343" w:type="dxa"/>
            <w:gridSpan w:val="3"/>
            <w:shd w:val="clear" w:color="auto" w:fill="auto"/>
          </w:tcPr>
          <w:p w14:paraId="2C3C26F4" w14:textId="77777777" w:rsidR="006A6165" w:rsidRPr="003C7A64" w:rsidRDefault="006A6165" w:rsidP="00BB514B">
            <w:pPr>
              <w:tabs>
                <w:tab w:val="left" w:pos="270"/>
              </w:tabs>
              <w:ind w:left="270" w:hanging="270"/>
              <w:rPr>
                <w:b/>
                <w:i/>
                <w:sz w:val="18"/>
                <w:szCs w:val="18"/>
              </w:rPr>
            </w:pPr>
            <w:r w:rsidRPr="003C7A64">
              <w:rPr>
                <w:b/>
                <w:i/>
                <w:sz w:val="18"/>
                <w:szCs w:val="18"/>
              </w:rPr>
              <w:t>3.</w:t>
            </w:r>
            <w:r w:rsidRPr="003C7A64">
              <w:rPr>
                <w:b/>
                <w:i/>
                <w:sz w:val="18"/>
                <w:szCs w:val="18"/>
              </w:rPr>
              <w:tab/>
              <w:t>Community Health, Safety and Working Conditions</w:t>
            </w:r>
          </w:p>
        </w:tc>
        <w:tc>
          <w:tcPr>
            <w:tcW w:w="540" w:type="dxa"/>
            <w:gridSpan w:val="2"/>
            <w:shd w:val="clear" w:color="auto" w:fill="auto"/>
            <w:vAlign w:val="center"/>
          </w:tcPr>
          <w:p w14:paraId="1AAF199D" w14:textId="77777777" w:rsidR="006A6165" w:rsidRPr="003C7A64" w:rsidRDefault="006A6165" w:rsidP="00BB514B">
            <w:pPr>
              <w:tabs>
                <w:tab w:val="left" w:pos="360"/>
              </w:tabs>
              <w:rPr>
                <w:sz w:val="18"/>
                <w:szCs w:val="18"/>
              </w:rPr>
            </w:pPr>
            <w:r w:rsidRPr="003C7A64">
              <w:rPr>
                <w:rFonts w:ascii="Segoe UI Symbol" w:hAnsi="Segoe UI Symbol" w:cs="Segoe UI Symbol"/>
                <w:b/>
                <w:szCs w:val="20"/>
              </w:rPr>
              <w:t>X</w:t>
            </w:r>
          </w:p>
        </w:tc>
        <w:tc>
          <w:tcPr>
            <w:tcW w:w="4747" w:type="dxa"/>
            <w:shd w:val="clear" w:color="auto" w:fill="auto"/>
          </w:tcPr>
          <w:p w14:paraId="4A764DA3" w14:textId="77777777" w:rsidR="006A6165" w:rsidRPr="003C7A64" w:rsidRDefault="006A6165" w:rsidP="00BB514B">
            <w:pPr>
              <w:tabs>
                <w:tab w:val="left" w:pos="360"/>
              </w:tabs>
              <w:rPr>
                <w:sz w:val="18"/>
                <w:szCs w:val="18"/>
              </w:rPr>
            </w:pPr>
            <w:r w:rsidRPr="003C7A64">
              <w:rPr>
                <w:sz w:val="18"/>
                <w:szCs w:val="18"/>
              </w:rPr>
              <w:t xml:space="preserve">COVID 19 health risk that is current and can be mitigated in operations. The project will ensure sanitation and hygiene measures are adhered to as recommended by authorities. </w:t>
            </w:r>
          </w:p>
          <w:p w14:paraId="378D497F" w14:textId="77777777" w:rsidR="006A6165" w:rsidRPr="003C7A64" w:rsidRDefault="006A6165" w:rsidP="00BB514B">
            <w:pPr>
              <w:tabs>
                <w:tab w:val="left" w:pos="360"/>
              </w:tabs>
              <w:rPr>
                <w:sz w:val="18"/>
                <w:szCs w:val="18"/>
              </w:rPr>
            </w:pPr>
            <w:r w:rsidRPr="003C7A64">
              <w:rPr>
                <w:sz w:val="18"/>
                <w:szCs w:val="18"/>
              </w:rPr>
              <w:t xml:space="preserve">Risks will be lowered by ensuring less travel between regions and application of virtual meetings. </w:t>
            </w:r>
          </w:p>
        </w:tc>
      </w:tr>
      <w:tr w:rsidR="006A6165" w:rsidRPr="003C7A64" w14:paraId="60263D13" w14:textId="77777777" w:rsidTr="00BB514B">
        <w:tc>
          <w:tcPr>
            <w:tcW w:w="3510" w:type="dxa"/>
            <w:vMerge/>
            <w:shd w:val="clear" w:color="auto" w:fill="FFFFFF"/>
          </w:tcPr>
          <w:p w14:paraId="13204C18" w14:textId="77777777" w:rsidR="006A6165" w:rsidRPr="003C7A64" w:rsidRDefault="006A6165" w:rsidP="00BB514B">
            <w:pPr>
              <w:tabs>
                <w:tab w:val="left" w:pos="270"/>
              </w:tabs>
              <w:ind w:left="270" w:hanging="270"/>
              <w:rPr>
                <w:sz w:val="18"/>
                <w:szCs w:val="18"/>
              </w:rPr>
            </w:pPr>
          </w:p>
        </w:tc>
        <w:tc>
          <w:tcPr>
            <w:tcW w:w="4343" w:type="dxa"/>
            <w:gridSpan w:val="3"/>
            <w:shd w:val="clear" w:color="auto" w:fill="auto"/>
          </w:tcPr>
          <w:p w14:paraId="5913E56C" w14:textId="77777777" w:rsidR="006A6165" w:rsidRPr="003C7A64" w:rsidRDefault="006A6165" w:rsidP="00BB514B">
            <w:pPr>
              <w:tabs>
                <w:tab w:val="left" w:pos="270"/>
              </w:tabs>
              <w:ind w:left="270" w:hanging="270"/>
              <w:rPr>
                <w:b/>
                <w:i/>
                <w:sz w:val="18"/>
                <w:szCs w:val="18"/>
              </w:rPr>
            </w:pPr>
            <w:r w:rsidRPr="003C7A64">
              <w:rPr>
                <w:b/>
                <w:i/>
                <w:sz w:val="18"/>
                <w:szCs w:val="18"/>
              </w:rPr>
              <w:t>4.</w:t>
            </w:r>
            <w:r w:rsidRPr="003C7A64">
              <w:rPr>
                <w:b/>
                <w:i/>
                <w:sz w:val="18"/>
                <w:szCs w:val="18"/>
              </w:rPr>
              <w:tab/>
              <w:t>Cultural Heritage</w:t>
            </w:r>
          </w:p>
        </w:tc>
        <w:tc>
          <w:tcPr>
            <w:tcW w:w="540" w:type="dxa"/>
            <w:gridSpan w:val="2"/>
            <w:shd w:val="clear" w:color="auto" w:fill="auto"/>
            <w:vAlign w:val="center"/>
          </w:tcPr>
          <w:p w14:paraId="6B553C9E" w14:textId="77777777" w:rsidR="006A6165" w:rsidRPr="003C7A64" w:rsidRDefault="006A6165" w:rsidP="00BB514B">
            <w:pPr>
              <w:tabs>
                <w:tab w:val="left" w:pos="360"/>
              </w:tabs>
              <w:rPr>
                <w:sz w:val="18"/>
                <w:szCs w:val="18"/>
              </w:rPr>
            </w:pPr>
            <w:r w:rsidRPr="003C7A64">
              <w:rPr>
                <w:rFonts w:ascii="Segoe UI Symbol" w:hAnsi="Segoe UI Symbol" w:cs="Segoe UI Symbol"/>
                <w:b/>
                <w:szCs w:val="20"/>
              </w:rPr>
              <w:t>☐</w:t>
            </w:r>
          </w:p>
        </w:tc>
        <w:tc>
          <w:tcPr>
            <w:tcW w:w="4747" w:type="dxa"/>
            <w:shd w:val="clear" w:color="auto" w:fill="auto"/>
          </w:tcPr>
          <w:p w14:paraId="4003782D" w14:textId="77777777" w:rsidR="006A6165" w:rsidRPr="003C7A64" w:rsidRDefault="006A6165" w:rsidP="00BB514B">
            <w:pPr>
              <w:tabs>
                <w:tab w:val="left" w:pos="360"/>
              </w:tabs>
              <w:rPr>
                <w:sz w:val="18"/>
                <w:szCs w:val="18"/>
              </w:rPr>
            </w:pPr>
          </w:p>
        </w:tc>
      </w:tr>
      <w:tr w:rsidR="006A6165" w:rsidRPr="003C7A64" w14:paraId="016ED0D1" w14:textId="77777777" w:rsidTr="00BB514B">
        <w:tc>
          <w:tcPr>
            <w:tcW w:w="3510" w:type="dxa"/>
            <w:vMerge/>
            <w:shd w:val="clear" w:color="auto" w:fill="FFFFFF"/>
          </w:tcPr>
          <w:p w14:paraId="3601DCDE" w14:textId="77777777" w:rsidR="006A6165" w:rsidRPr="003C7A64" w:rsidRDefault="006A6165" w:rsidP="00BB514B">
            <w:pPr>
              <w:tabs>
                <w:tab w:val="left" w:pos="270"/>
              </w:tabs>
              <w:ind w:left="270" w:hanging="270"/>
              <w:rPr>
                <w:sz w:val="18"/>
                <w:szCs w:val="18"/>
              </w:rPr>
            </w:pPr>
          </w:p>
        </w:tc>
        <w:tc>
          <w:tcPr>
            <w:tcW w:w="4343" w:type="dxa"/>
            <w:gridSpan w:val="3"/>
            <w:shd w:val="clear" w:color="auto" w:fill="auto"/>
          </w:tcPr>
          <w:p w14:paraId="0082F7C2" w14:textId="77777777" w:rsidR="006A6165" w:rsidRPr="003C7A64" w:rsidRDefault="006A6165" w:rsidP="00BB514B">
            <w:pPr>
              <w:tabs>
                <w:tab w:val="left" w:pos="270"/>
              </w:tabs>
              <w:ind w:left="270" w:hanging="270"/>
              <w:rPr>
                <w:b/>
                <w:i/>
                <w:sz w:val="18"/>
                <w:szCs w:val="18"/>
              </w:rPr>
            </w:pPr>
            <w:r w:rsidRPr="003C7A64">
              <w:rPr>
                <w:b/>
                <w:i/>
                <w:sz w:val="18"/>
                <w:szCs w:val="18"/>
              </w:rPr>
              <w:t>5.</w:t>
            </w:r>
            <w:r w:rsidRPr="003C7A64">
              <w:rPr>
                <w:b/>
                <w:i/>
                <w:sz w:val="18"/>
                <w:szCs w:val="18"/>
              </w:rPr>
              <w:tab/>
              <w:t>Displacement and Resettlement</w:t>
            </w:r>
          </w:p>
        </w:tc>
        <w:tc>
          <w:tcPr>
            <w:tcW w:w="540" w:type="dxa"/>
            <w:gridSpan w:val="2"/>
            <w:shd w:val="clear" w:color="auto" w:fill="auto"/>
            <w:vAlign w:val="center"/>
          </w:tcPr>
          <w:p w14:paraId="3B678F6A" w14:textId="77777777" w:rsidR="006A6165" w:rsidRPr="003C7A64" w:rsidRDefault="006A6165" w:rsidP="00BB514B">
            <w:pPr>
              <w:tabs>
                <w:tab w:val="left" w:pos="360"/>
              </w:tabs>
              <w:rPr>
                <w:sz w:val="18"/>
                <w:szCs w:val="18"/>
              </w:rPr>
            </w:pPr>
            <w:r w:rsidRPr="003C7A64">
              <w:rPr>
                <w:rFonts w:ascii="Segoe UI Symbol" w:hAnsi="Segoe UI Symbol" w:cs="Segoe UI Symbol"/>
                <w:b/>
                <w:szCs w:val="20"/>
              </w:rPr>
              <w:t>☐</w:t>
            </w:r>
          </w:p>
        </w:tc>
        <w:tc>
          <w:tcPr>
            <w:tcW w:w="4747" w:type="dxa"/>
            <w:shd w:val="clear" w:color="auto" w:fill="auto"/>
          </w:tcPr>
          <w:p w14:paraId="0EF5A95B" w14:textId="77777777" w:rsidR="006A6165" w:rsidRPr="003C7A64" w:rsidRDefault="006A6165" w:rsidP="00BB514B">
            <w:pPr>
              <w:tabs>
                <w:tab w:val="left" w:pos="360"/>
              </w:tabs>
              <w:rPr>
                <w:sz w:val="18"/>
                <w:szCs w:val="18"/>
              </w:rPr>
            </w:pPr>
          </w:p>
        </w:tc>
      </w:tr>
      <w:tr w:rsidR="006A6165" w:rsidRPr="003C7A64" w14:paraId="3360E67C" w14:textId="77777777" w:rsidTr="00BB514B">
        <w:tc>
          <w:tcPr>
            <w:tcW w:w="3510" w:type="dxa"/>
            <w:vMerge/>
            <w:shd w:val="clear" w:color="auto" w:fill="FFFFFF"/>
          </w:tcPr>
          <w:p w14:paraId="134DA3B7" w14:textId="77777777" w:rsidR="006A6165" w:rsidRPr="003C7A64" w:rsidRDefault="006A6165" w:rsidP="00BB514B">
            <w:pPr>
              <w:tabs>
                <w:tab w:val="left" w:pos="270"/>
              </w:tabs>
              <w:ind w:left="270" w:hanging="270"/>
              <w:rPr>
                <w:sz w:val="18"/>
                <w:szCs w:val="18"/>
              </w:rPr>
            </w:pPr>
          </w:p>
        </w:tc>
        <w:tc>
          <w:tcPr>
            <w:tcW w:w="4343" w:type="dxa"/>
            <w:gridSpan w:val="3"/>
            <w:shd w:val="clear" w:color="auto" w:fill="auto"/>
          </w:tcPr>
          <w:p w14:paraId="248E6964" w14:textId="77777777" w:rsidR="006A6165" w:rsidRPr="003C7A64" w:rsidRDefault="006A6165" w:rsidP="00BB514B">
            <w:pPr>
              <w:tabs>
                <w:tab w:val="left" w:pos="270"/>
              </w:tabs>
              <w:ind w:left="270" w:hanging="270"/>
              <w:rPr>
                <w:b/>
                <w:i/>
                <w:sz w:val="18"/>
                <w:szCs w:val="18"/>
              </w:rPr>
            </w:pPr>
            <w:r w:rsidRPr="003C7A64">
              <w:rPr>
                <w:b/>
                <w:i/>
                <w:sz w:val="18"/>
                <w:szCs w:val="18"/>
              </w:rPr>
              <w:t>6.</w:t>
            </w:r>
            <w:r w:rsidRPr="003C7A64">
              <w:rPr>
                <w:b/>
                <w:i/>
                <w:sz w:val="18"/>
                <w:szCs w:val="18"/>
              </w:rPr>
              <w:tab/>
              <w:t>Indigenous Peoples</w:t>
            </w:r>
          </w:p>
        </w:tc>
        <w:tc>
          <w:tcPr>
            <w:tcW w:w="540" w:type="dxa"/>
            <w:gridSpan w:val="2"/>
            <w:shd w:val="clear" w:color="auto" w:fill="auto"/>
            <w:vAlign w:val="center"/>
          </w:tcPr>
          <w:p w14:paraId="066DF25E" w14:textId="77777777" w:rsidR="006A6165" w:rsidRPr="003C7A64" w:rsidRDefault="006A6165" w:rsidP="00BB514B">
            <w:pPr>
              <w:tabs>
                <w:tab w:val="left" w:pos="360"/>
              </w:tabs>
              <w:rPr>
                <w:sz w:val="18"/>
                <w:szCs w:val="18"/>
              </w:rPr>
            </w:pPr>
            <w:r w:rsidRPr="003C7A64">
              <w:rPr>
                <w:rFonts w:ascii="Segoe UI Symbol" w:hAnsi="Segoe UI Symbol" w:cs="Segoe UI Symbol"/>
                <w:b/>
                <w:szCs w:val="20"/>
              </w:rPr>
              <w:t>☐</w:t>
            </w:r>
          </w:p>
        </w:tc>
        <w:tc>
          <w:tcPr>
            <w:tcW w:w="4747" w:type="dxa"/>
            <w:shd w:val="clear" w:color="auto" w:fill="auto"/>
          </w:tcPr>
          <w:p w14:paraId="42F7B17D" w14:textId="77777777" w:rsidR="006A6165" w:rsidRPr="003C7A64" w:rsidRDefault="006A6165" w:rsidP="00BB514B">
            <w:pPr>
              <w:tabs>
                <w:tab w:val="left" w:pos="360"/>
              </w:tabs>
              <w:rPr>
                <w:sz w:val="18"/>
                <w:szCs w:val="18"/>
              </w:rPr>
            </w:pPr>
          </w:p>
        </w:tc>
      </w:tr>
      <w:tr w:rsidR="006A6165" w:rsidRPr="003C7A64" w14:paraId="6A1FC6BB" w14:textId="77777777" w:rsidTr="00BB514B">
        <w:tc>
          <w:tcPr>
            <w:tcW w:w="3510" w:type="dxa"/>
            <w:vMerge/>
            <w:shd w:val="clear" w:color="auto" w:fill="FFFFFF"/>
          </w:tcPr>
          <w:p w14:paraId="2776EB94" w14:textId="77777777" w:rsidR="006A6165" w:rsidRPr="003C7A64" w:rsidRDefault="006A6165" w:rsidP="00BB514B">
            <w:pPr>
              <w:tabs>
                <w:tab w:val="left" w:pos="270"/>
              </w:tabs>
              <w:ind w:left="270" w:hanging="270"/>
              <w:rPr>
                <w:sz w:val="18"/>
                <w:szCs w:val="18"/>
              </w:rPr>
            </w:pPr>
          </w:p>
        </w:tc>
        <w:tc>
          <w:tcPr>
            <w:tcW w:w="4343" w:type="dxa"/>
            <w:gridSpan w:val="3"/>
            <w:shd w:val="clear" w:color="auto" w:fill="auto"/>
          </w:tcPr>
          <w:p w14:paraId="18386004" w14:textId="77777777" w:rsidR="006A6165" w:rsidRPr="003C7A64" w:rsidRDefault="006A6165" w:rsidP="00BB514B">
            <w:pPr>
              <w:tabs>
                <w:tab w:val="left" w:pos="270"/>
              </w:tabs>
              <w:ind w:left="270" w:hanging="270"/>
              <w:rPr>
                <w:b/>
                <w:i/>
                <w:sz w:val="18"/>
                <w:szCs w:val="18"/>
              </w:rPr>
            </w:pPr>
            <w:r w:rsidRPr="003C7A64">
              <w:rPr>
                <w:b/>
                <w:i/>
                <w:sz w:val="18"/>
                <w:szCs w:val="18"/>
              </w:rPr>
              <w:t>7.</w:t>
            </w:r>
            <w:r w:rsidRPr="003C7A64">
              <w:rPr>
                <w:b/>
                <w:i/>
                <w:sz w:val="18"/>
                <w:szCs w:val="18"/>
              </w:rPr>
              <w:tab/>
              <w:t>Pollution Prevention and Resource Efficiency</w:t>
            </w:r>
          </w:p>
        </w:tc>
        <w:tc>
          <w:tcPr>
            <w:tcW w:w="540" w:type="dxa"/>
            <w:gridSpan w:val="2"/>
            <w:shd w:val="clear" w:color="auto" w:fill="auto"/>
            <w:vAlign w:val="center"/>
          </w:tcPr>
          <w:p w14:paraId="45C8255C" w14:textId="77777777" w:rsidR="006A6165" w:rsidRPr="003C7A64" w:rsidRDefault="006A6165" w:rsidP="00BB514B">
            <w:pPr>
              <w:tabs>
                <w:tab w:val="left" w:pos="360"/>
              </w:tabs>
              <w:rPr>
                <w:sz w:val="18"/>
                <w:szCs w:val="18"/>
              </w:rPr>
            </w:pPr>
            <w:r w:rsidRPr="003C7A64">
              <w:rPr>
                <w:rFonts w:ascii="Segoe UI Symbol" w:hAnsi="Segoe UI Symbol" w:cs="Segoe UI Symbol"/>
                <w:b/>
                <w:szCs w:val="20"/>
              </w:rPr>
              <w:t>X</w:t>
            </w:r>
          </w:p>
        </w:tc>
        <w:tc>
          <w:tcPr>
            <w:tcW w:w="4747" w:type="dxa"/>
            <w:shd w:val="clear" w:color="auto" w:fill="auto"/>
          </w:tcPr>
          <w:p w14:paraId="2A4E2532" w14:textId="77777777" w:rsidR="006A6165" w:rsidRPr="003C7A64" w:rsidRDefault="006A6165" w:rsidP="00BB514B">
            <w:pPr>
              <w:tabs>
                <w:tab w:val="left" w:pos="360"/>
              </w:tabs>
              <w:rPr>
                <w:sz w:val="18"/>
                <w:szCs w:val="18"/>
              </w:rPr>
            </w:pPr>
            <w:r w:rsidRPr="003C7A64">
              <w:rPr>
                <w:sz w:val="18"/>
                <w:szCs w:val="18"/>
              </w:rPr>
              <w:t xml:space="preserve">Predictable risk that can mitigated through thorough guidance provided to municipalities on acceptable environmentally friendly inputs and methods that can be used for the project. </w:t>
            </w:r>
          </w:p>
          <w:p w14:paraId="12F5C2CA" w14:textId="77777777" w:rsidR="006A6165" w:rsidRPr="003C7A64" w:rsidRDefault="006A6165" w:rsidP="00BB514B">
            <w:pPr>
              <w:tabs>
                <w:tab w:val="left" w:pos="360"/>
              </w:tabs>
              <w:rPr>
                <w:sz w:val="18"/>
                <w:szCs w:val="18"/>
              </w:rPr>
            </w:pPr>
          </w:p>
          <w:p w14:paraId="793E67C4" w14:textId="77777777" w:rsidR="006A6165" w:rsidRPr="003C7A64" w:rsidRDefault="006A6165" w:rsidP="00BB514B">
            <w:pPr>
              <w:tabs>
                <w:tab w:val="left" w:pos="360"/>
              </w:tabs>
              <w:rPr>
                <w:sz w:val="18"/>
                <w:szCs w:val="18"/>
              </w:rPr>
            </w:pPr>
          </w:p>
        </w:tc>
      </w:tr>
    </w:tbl>
    <w:p w14:paraId="6017EFF0" w14:textId="77777777" w:rsidR="006A6165" w:rsidRPr="003C7A64" w:rsidRDefault="006A6165" w:rsidP="006A6165">
      <w:pPr>
        <w:tabs>
          <w:tab w:val="left" w:pos="360"/>
        </w:tabs>
        <w:rPr>
          <w:b/>
          <w:i/>
          <w:sz w:val="18"/>
          <w:szCs w:val="18"/>
        </w:rPr>
      </w:pPr>
    </w:p>
    <w:p w14:paraId="115CBBA2" w14:textId="77777777" w:rsidR="006A6165" w:rsidRPr="003C7A64" w:rsidRDefault="006A6165" w:rsidP="006A6165">
      <w:pPr>
        <w:tabs>
          <w:tab w:val="left" w:pos="360"/>
        </w:tabs>
        <w:rPr>
          <w:sz w:val="18"/>
          <w:szCs w:val="18"/>
        </w:rPr>
      </w:pPr>
    </w:p>
    <w:p w14:paraId="166FE427" w14:textId="77777777" w:rsidR="00E3559B" w:rsidRDefault="00E3559B"/>
    <w:sectPr w:rsidR="00E3559B" w:rsidSect="006A616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altName w:val="Segoe UI"/>
    <w:panose1 w:val="00000000000000000000"/>
    <w:charset w:val="00"/>
    <w:family w:val="roman"/>
    <w:notTrueType/>
    <w:pitch w:val="default"/>
  </w:font>
  <w:font w:name="Minion Pr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65"/>
    <w:rsid w:val="006A6165"/>
    <w:rsid w:val="00E3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7A63"/>
  <w15:chartTrackingRefBased/>
  <w15:docId w15:val="{130359C9-11C8-4C5C-98E5-57124958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65"/>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6A6165"/>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165"/>
    <w:rPr>
      <w:rFonts w:ascii="Century Gothic" w:eastAsia="Times New Roman" w:hAnsi="Century Gothic" w:cs="Times New Roman"/>
      <w:b/>
      <w:smallCaps/>
      <w:spacing w:val="-2"/>
      <w:sz w:val="28"/>
      <w:szCs w:val="20"/>
      <w:lang w:val="en-GB"/>
    </w:rPr>
  </w:style>
  <w:style w:type="character" w:styleId="Hyperlink">
    <w:name w:val="Hyperlink"/>
    <w:uiPriority w:val="99"/>
    <w:rsid w:val="006A6165"/>
    <w:rPr>
      <w:color w:val="0000FF"/>
      <w:u w:val="single"/>
    </w:rPr>
  </w:style>
  <w:style w:type="paragraph" w:styleId="ListParagraph">
    <w:name w:val="List Paragraph"/>
    <w:aliases w:val="List Paragraph1,numbers normal cal,Riana Table Bullets 1,Recommendation,Bullet List Paragraph,Use Case List Paragraph,Ref,List Paragraph11,List Paragraph111,FooterText,numbered,Paragraphe de liste,Normal Sentence,b1,Figure_name,lp1,List1"/>
    <w:basedOn w:val="Normal"/>
    <w:link w:val="ListParagraphChar"/>
    <w:uiPriority w:val="34"/>
    <w:qFormat/>
    <w:rsid w:val="006A6165"/>
    <w:pPr>
      <w:ind w:left="720"/>
    </w:pPr>
  </w:style>
  <w:style w:type="character" w:customStyle="1" w:styleId="ListParagraphChar">
    <w:name w:val="List Paragraph Char"/>
    <w:aliases w:val="List Paragraph1 Char,numbers normal cal Char,Riana Table Bullets 1 Char,Recommendation Char,Bullet List Paragraph Char,Use Case List Paragraph Char,Ref Char,List Paragraph11 Char,List Paragraph111 Char,FooterText Char,numbered Char"/>
    <w:link w:val="ListParagraph"/>
    <w:uiPriority w:val="34"/>
    <w:rsid w:val="006A6165"/>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ndp.org/sites/bpps/ses_toolkit/default.aspx" TargetMode="External"/><Relationship Id="rId11" Type="http://schemas.openxmlformats.org/officeDocument/2006/relationships/customXml" Target="../customXml/item2.xml"/><Relationship Id="rId5" Type="http://schemas.openxmlformats.org/officeDocument/2006/relationships/hyperlink" Target="http://www.undp.org/content/undp/en/home/librarypage/operations1/undp-social-and-environmental-screening-procedure.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ATLASPDC-4-156330</_dlc_DocId>
    <_dlc_DocIdUrl xmlns="f1161f5b-24a3-4c2d-bc81-44cb9325e8ee">
      <Url>https://info.undp.org/docs/pdc/_layouts/DocIdRedir.aspx?ID=ATLASPDC-4-156330</Url>
      <Description>ATLASPDC-4-156330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7C9D48-C79E-474D-BB4E-64AA2DEE6020}"/>
</file>

<file path=customXml/itemProps2.xml><?xml version="1.0" encoding="utf-8"?>
<ds:datastoreItem xmlns:ds="http://schemas.openxmlformats.org/officeDocument/2006/customXml" ds:itemID="{50518B68-B458-40B7-8722-652AAC20237F}"/>
</file>

<file path=customXml/itemProps3.xml><?xml version="1.0" encoding="utf-8"?>
<ds:datastoreItem xmlns:ds="http://schemas.openxmlformats.org/officeDocument/2006/customXml" ds:itemID="{A9A1FC01-2A8A-4D20-B84B-7AC48B9F66D2}"/>
</file>

<file path=customXml/itemProps4.xml><?xml version="1.0" encoding="utf-8"?>
<ds:datastoreItem xmlns:ds="http://schemas.openxmlformats.org/officeDocument/2006/customXml" ds:itemID="{8CA17187-0931-4BE5-86A0-782DDDF2FC4F}"/>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Maano Shimanda</dc:creator>
  <cp:keywords/>
  <dc:description/>
  <cp:lastModifiedBy>Maano Shimanda</cp:lastModifiedBy>
  <cp:revision>1</cp:revision>
  <dcterms:created xsi:type="dcterms:W3CDTF">2021-06-29T15:26:00Z</dcterms:created>
  <dcterms:modified xsi:type="dcterms:W3CDTF">2021-06-29T15:28:00Z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(SES)|7a9dffd9-0b1f-4966-9938-9886c04c9893;#1552;#NAM|c25d75bf-6998-42d7-a2ea-f5ed1b3ef599;#1;#English|7f98b732-4b5b-4b70-ba90-a0eff09b5d2d;#763;#Draft|121d40a5-e62e-4d42-82e4-d6d12003de0a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NAM|c25d75bf-6998-42d7-a2ea-f5ed1b3ef599</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1552;#NAM|c25d75bf-6998-42d7-a2ea-f5ed1b3ef599</vt:lpwstr>
  </property>
  <property fmtid="{D5CDD505-2E9C-101B-9397-08002B2CF9AE}" pid="14" name="_dlc_DocIdItemGuid">
    <vt:lpwstr>ba70fb20-3414-40a4-b01e-e0e272512880</vt:lpwstr>
  </property>
  <property fmtid="{D5CDD505-2E9C-101B-9397-08002B2CF9AE}" pid="15" name="Atlas Document Type">
    <vt:lpwstr>1189;#Social and Environmental Standards (SES)|7a9dffd9-0b1f-4966-9938-9886c04c9893</vt:lpwstr>
  </property>
  <property fmtid="{D5CDD505-2E9C-101B-9397-08002B2CF9AE}" pid="16" name="UndpProjectNo">
    <vt:lpwstr>129047</vt:lpwstr>
  </property>
  <property fmtid="{D5CDD505-2E9C-101B-9397-08002B2CF9AE}" pid="17" name="Document Coverage Period End Date">
    <vt:filetime>2022-03-31T06:00:00Z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