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D32537" w14:textId="14BF6090" w:rsidR="00AA3F1B" w:rsidRDefault="00AA3F1B" w:rsidP="00AA3F1B">
      <w:pPr>
        <w:outlineLvl w:val="0"/>
        <w:rPr>
          <w:lang w:val="es-ES"/>
        </w:rPr>
      </w:pPr>
      <w:r>
        <w:rPr>
          <w:b/>
          <w:bCs/>
          <w:lang w:val="es-ES"/>
        </w:rPr>
        <w:t>De:</w:t>
      </w:r>
      <w:r>
        <w:rPr>
          <w:lang w:val="es-ES"/>
        </w:rPr>
        <w:t xml:space="preserve"> </w:t>
      </w:r>
      <w:r>
        <w:rPr>
          <w:lang w:val="es-ES"/>
        </w:rPr>
        <w:br/>
      </w:r>
      <w:r>
        <w:rPr>
          <w:b/>
          <w:bCs/>
          <w:lang w:val="es-ES"/>
        </w:rPr>
        <w:t>Enviado el:</w:t>
      </w:r>
      <w:r>
        <w:rPr>
          <w:lang w:val="es-ES"/>
        </w:rPr>
        <w:t xml:space="preserve"> lunes, 21 de septiembre de 2015 07:13 p.m.</w:t>
      </w:r>
      <w:r>
        <w:rPr>
          <w:lang w:val="es-ES"/>
        </w:rPr>
        <w:br/>
      </w:r>
      <w:r>
        <w:rPr>
          <w:b/>
          <w:bCs/>
          <w:lang w:val="es-ES"/>
        </w:rPr>
        <w:t>Para:</w:t>
      </w:r>
      <w:r>
        <w:rPr>
          <w:lang w:val="es-ES"/>
        </w:rPr>
        <w:t xml:space="preserve"> </w:t>
      </w:r>
      <w:r>
        <w:rPr>
          <w:lang w:val="es-ES"/>
        </w:rPr>
        <w:br/>
      </w:r>
      <w:r>
        <w:rPr>
          <w:b/>
          <w:bCs/>
          <w:lang w:val="es-ES"/>
        </w:rPr>
        <w:t>Asunto:</w:t>
      </w:r>
      <w:r>
        <w:rPr>
          <w:lang w:val="es-ES"/>
        </w:rPr>
        <w:t xml:space="preserve"> </w:t>
      </w:r>
      <w:proofErr w:type="spellStart"/>
      <w:r>
        <w:rPr>
          <w:lang w:val="es-ES"/>
        </w:rPr>
        <w:t>Revised</w:t>
      </w:r>
      <w:proofErr w:type="spellEnd"/>
      <w:r>
        <w:rPr>
          <w:lang w:val="es-ES"/>
        </w:rPr>
        <w:t xml:space="preserve"> </w:t>
      </w:r>
      <w:proofErr w:type="spellStart"/>
      <w:r>
        <w:rPr>
          <w:lang w:val="es-ES"/>
        </w:rPr>
        <w:t>leave</w:t>
      </w:r>
      <w:proofErr w:type="spellEnd"/>
      <w:r>
        <w:rPr>
          <w:lang w:val="es-ES"/>
        </w:rPr>
        <w:t xml:space="preserve"> </w:t>
      </w:r>
      <w:proofErr w:type="spellStart"/>
      <w:r>
        <w:rPr>
          <w:lang w:val="es-ES"/>
        </w:rPr>
        <w:t>management</w:t>
      </w:r>
      <w:proofErr w:type="spellEnd"/>
      <w:r>
        <w:rPr>
          <w:lang w:val="es-ES"/>
        </w:rPr>
        <w:t xml:space="preserve"> </w:t>
      </w:r>
      <w:proofErr w:type="spellStart"/>
      <w:r>
        <w:rPr>
          <w:lang w:val="es-ES"/>
        </w:rPr>
        <w:t>procedures</w:t>
      </w:r>
      <w:proofErr w:type="spellEnd"/>
      <w:r>
        <w:rPr>
          <w:lang w:val="es-ES"/>
        </w:rPr>
        <w:t xml:space="preserve">, </w:t>
      </w:r>
      <w:proofErr w:type="spellStart"/>
      <w:r>
        <w:rPr>
          <w:lang w:val="es-ES"/>
        </w:rPr>
        <w:t>functions</w:t>
      </w:r>
      <w:proofErr w:type="spellEnd"/>
      <w:r>
        <w:rPr>
          <w:lang w:val="es-ES"/>
        </w:rPr>
        <w:t xml:space="preserve"> and roles </w:t>
      </w:r>
      <w:proofErr w:type="spellStart"/>
      <w:r>
        <w:rPr>
          <w:lang w:val="es-ES"/>
        </w:rPr>
        <w:t>of</w:t>
      </w:r>
      <w:proofErr w:type="spellEnd"/>
      <w:r>
        <w:rPr>
          <w:lang w:val="es-ES"/>
        </w:rPr>
        <w:t xml:space="preserve"> </w:t>
      </w:r>
      <w:proofErr w:type="spellStart"/>
      <w:r>
        <w:rPr>
          <w:lang w:val="es-ES"/>
        </w:rPr>
        <w:t>Leave</w:t>
      </w:r>
      <w:proofErr w:type="spellEnd"/>
      <w:r>
        <w:rPr>
          <w:lang w:val="es-ES"/>
        </w:rPr>
        <w:t xml:space="preserve"> </w:t>
      </w:r>
      <w:proofErr w:type="spellStart"/>
      <w:r>
        <w:rPr>
          <w:lang w:val="es-ES"/>
        </w:rPr>
        <w:t>Monitors</w:t>
      </w:r>
      <w:proofErr w:type="spellEnd"/>
      <w:r>
        <w:rPr>
          <w:lang w:val="es-ES"/>
        </w:rPr>
        <w:t xml:space="preserve"> </w:t>
      </w:r>
    </w:p>
    <w:p w14:paraId="7A47ADD5" w14:textId="77777777" w:rsidR="00AA3F1B" w:rsidRDefault="00AA3F1B" w:rsidP="00AA3F1B">
      <w:pPr>
        <w:rPr>
          <w:lang w:val="es-AR"/>
        </w:rPr>
      </w:pPr>
    </w:p>
    <w:p w14:paraId="2AE4B227" w14:textId="77777777" w:rsidR="00AA3F1B" w:rsidRDefault="00AA3F1B" w:rsidP="00AA3F1B">
      <w:pPr>
        <w:rPr>
          <w:color w:val="1F497D"/>
          <w:lang w:val="en-US"/>
        </w:rPr>
      </w:pPr>
    </w:p>
    <w:tbl>
      <w:tblPr>
        <w:tblW w:w="0" w:type="auto"/>
        <w:jc w:val="center"/>
        <w:tblCellMar>
          <w:left w:w="0" w:type="dxa"/>
          <w:right w:w="0" w:type="dxa"/>
        </w:tblCellMar>
        <w:tblLook w:val="04A0" w:firstRow="1" w:lastRow="0" w:firstColumn="1" w:lastColumn="0" w:noHBand="0" w:noVBand="1"/>
      </w:tblPr>
      <w:tblGrid>
        <w:gridCol w:w="10752"/>
      </w:tblGrid>
      <w:tr w:rsidR="00AA3F1B" w14:paraId="46E71009" w14:textId="77777777" w:rsidTr="00AA3F1B">
        <w:trPr>
          <w:trHeight w:val="530"/>
          <w:jc w:val="center"/>
        </w:trPr>
        <w:tc>
          <w:tcPr>
            <w:tcW w:w="12862" w:type="dxa"/>
            <w:tcBorders>
              <w:top w:val="single" w:sz="8" w:space="0" w:color="1F497D"/>
              <w:left w:val="single" w:sz="8" w:space="0" w:color="1F497D"/>
              <w:bottom w:val="single" w:sz="8" w:space="0" w:color="1F497D"/>
              <w:right w:val="single" w:sz="8" w:space="0" w:color="1F497D"/>
            </w:tcBorders>
            <w:tcMar>
              <w:top w:w="0" w:type="dxa"/>
              <w:left w:w="108" w:type="dxa"/>
              <w:bottom w:w="0" w:type="dxa"/>
              <w:right w:w="108" w:type="dxa"/>
            </w:tcMar>
          </w:tcPr>
          <w:p w14:paraId="229339B1" w14:textId="77777777" w:rsidR="00AA3F1B" w:rsidRDefault="00AA3F1B">
            <w:pPr>
              <w:spacing w:after="120" w:line="276" w:lineRule="auto"/>
              <w:rPr>
                <w:color w:val="1F497D"/>
              </w:rPr>
            </w:pPr>
          </w:p>
          <w:p w14:paraId="051905A2" w14:textId="3A85818E" w:rsidR="00AA3F1B" w:rsidRDefault="00AA3F1B">
            <w:pPr>
              <w:spacing w:after="120" w:line="276" w:lineRule="auto"/>
              <w:jc w:val="center"/>
              <w:rPr>
                <w:color w:val="1F497D"/>
              </w:rPr>
            </w:pPr>
            <w:r>
              <w:rPr>
                <w:noProof/>
              </w:rPr>
              <w:drawing>
                <wp:inline distT="0" distB="0" distL="0" distR="0" wp14:anchorId="032FA272" wp14:editId="14FFF5CD">
                  <wp:extent cx="7108190" cy="1296035"/>
                  <wp:effectExtent l="0" t="0" r="0" b="0"/>
                  <wp:docPr id="5" name="Picture 5" descr="cid:image006.png@01CF5732.EC9039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6.png@01CF5732.EC9039D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7108190" cy="1296035"/>
                          </a:xfrm>
                          <a:prstGeom prst="rect">
                            <a:avLst/>
                          </a:prstGeom>
                          <a:noFill/>
                          <a:ln>
                            <a:noFill/>
                          </a:ln>
                        </pic:spPr>
                      </pic:pic>
                    </a:graphicData>
                  </a:graphic>
                </wp:inline>
              </w:drawing>
            </w:r>
          </w:p>
          <w:p w14:paraId="2BF9D286" w14:textId="77777777" w:rsidR="00AA3F1B" w:rsidRDefault="00AA3F1B">
            <w:pPr>
              <w:spacing w:line="276" w:lineRule="auto"/>
              <w:jc w:val="both"/>
              <w:rPr>
                <w:color w:val="1F497D"/>
              </w:rPr>
            </w:pPr>
          </w:p>
          <w:p w14:paraId="2A0E1AC6" w14:textId="77777777" w:rsidR="00AA3F1B" w:rsidRDefault="00AA3F1B">
            <w:pPr>
              <w:spacing w:line="276" w:lineRule="auto"/>
              <w:jc w:val="center"/>
              <w:rPr>
                <w:color w:val="1F497D"/>
              </w:rPr>
            </w:pPr>
            <w:r>
              <w:rPr>
                <w:b/>
                <w:bCs/>
                <w:color w:val="1F497D"/>
                <w:sz w:val="26"/>
                <w:szCs w:val="26"/>
              </w:rPr>
              <w:t>Revised leave management procedures, functions and roles of Leave Monitors</w:t>
            </w:r>
          </w:p>
          <w:p w14:paraId="7A25EB54" w14:textId="77777777" w:rsidR="00AA3F1B" w:rsidRDefault="00AA3F1B">
            <w:pPr>
              <w:spacing w:line="276" w:lineRule="auto"/>
              <w:jc w:val="both"/>
              <w:rPr>
                <w:color w:val="1F497D"/>
              </w:rPr>
            </w:pPr>
          </w:p>
          <w:p w14:paraId="1BC1E7B5" w14:textId="77777777" w:rsidR="00AA3F1B" w:rsidRDefault="00AA3F1B">
            <w:pPr>
              <w:spacing w:before="240" w:after="240" w:line="276" w:lineRule="auto"/>
              <w:ind w:left="720"/>
              <w:rPr>
                <w:color w:val="1F497D"/>
                <w:lang w:val="en-CA"/>
              </w:rPr>
            </w:pPr>
            <w:proofErr w:type="gramStart"/>
            <w:r>
              <w:rPr>
                <w:color w:val="1F497D"/>
                <w:lang w:val="en-CA"/>
              </w:rPr>
              <w:t>In order to</w:t>
            </w:r>
            <w:proofErr w:type="gramEnd"/>
            <w:r>
              <w:rPr>
                <w:color w:val="1F497D"/>
                <w:lang w:val="en-CA"/>
              </w:rPr>
              <w:t xml:space="preserve"> further benefit from the improvements in HR processes brought by eServices, I am pleased to share with you the updated procedures and guidelines on the functions and roles of Leave Monitors. These come into immediate effect, with POPP having been updated to reflect the changes. </w:t>
            </w:r>
          </w:p>
          <w:p w14:paraId="78E2DDB2" w14:textId="77777777" w:rsidR="00AA3F1B" w:rsidRDefault="00AA3F1B">
            <w:pPr>
              <w:spacing w:before="240" w:after="240" w:line="276" w:lineRule="auto"/>
              <w:ind w:left="720"/>
              <w:rPr>
                <w:color w:val="1F497D"/>
                <w:lang w:val="en-CA"/>
              </w:rPr>
            </w:pPr>
            <w:r w:rsidRPr="00AA3F1B">
              <w:rPr>
                <w:color w:val="1F497D"/>
                <w:highlight w:val="yellow"/>
                <w:lang w:val="en-CA"/>
              </w:rPr>
              <w:t>Annual leave records are now exclusively maintained in Atlas and there is no requirement for the monthly hardcopy certification.</w:t>
            </w:r>
            <w:r>
              <w:rPr>
                <w:color w:val="1F497D"/>
                <w:lang w:val="en-CA"/>
              </w:rPr>
              <w:t xml:space="preserve"> However, certain authorized absences have not yet been converted into eServices (such as Compensatory Time Off and Jury Duty) and these will need to be entered by leave monitors in the Atlas Absence module.</w:t>
            </w:r>
          </w:p>
          <w:p w14:paraId="325FF8CA" w14:textId="77777777" w:rsidR="00AA3F1B" w:rsidRDefault="00AA3F1B">
            <w:pPr>
              <w:spacing w:before="240" w:after="240" w:line="276" w:lineRule="auto"/>
              <w:ind w:left="720"/>
              <w:rPr>
                <w:color w:val="1F497D"/>
                <w:lang w:val="en-CA"/>
              </w:rPr>
            </w:pPr>
            <w:r>
              <w:rPr>
                <w:color w:val="1F497D"/>
                <w:lang w:val="en-CA"/>
              </w:rPr>
              <w:t xml:space="preserve">In January 2016, OHR will update you regarding the </w:t>
            </w:r>
            <w:r w:rsidRPr="00AA3F1B">
              <w:rPr>
                <w:color w:val="1F497D"/>
                <w:highlight w:val="yellow"/>
                <w:lang w:val="en-CA"/>
              </w:rPr>
              <w:t xml:space="preserve">annual sign </w:t>
            </w:r>
            <w:proofErr w:type="gramStart"/>
            <w:r w:rsidRPr="00AA3F1B">
              <w:rPr>
                <w:color w:val="1F497D"/>
                <w:highlight w:val="yellow"/>
                <w:lang w:val="en-CA"/>
              </w:rPr>
              <w:t>off of</w:t>
            </w:r>
            <w:proofErr w:type="gramEnd"/>
            <w:r w:rsidRPr="00AA3F1B">
              <w:rPr>
                <w:color w:val="1F497D"/>
                <w:highlight w:val="yellow"/>
                <w:lang w:val="en-CA"/>
              </w:rPr>
              <w:t xml:space="preserve"> leave balance cards.</w:t>
            </w:r>
            <w:bookmarkStart w:id="0" w:name="_GoBack"/>
            <w:bookmarkEnd w:id="0"/>
          </w:p>
          <w:p w14:paraId="26D8326E" w14:textId="77777777" w:rsidR="00AA3F1B" w:rsidRDefault="00AA3F1B">
            <w:pPr>
              <w:spacing w:before="240" w:after="240" w:line="276" w:lineRule="auto"/>
              <w:ind w:left="720"/>
              <w:rPr>
                <w:color w:val="1F497D"/>
                <w:lang w:val="en-CA"/>
              </w:rPr>
            </w:pPr>
            <w:r>
              <w:rPr>
                <w:color w:val="1F497D"/>
                <w:lang w:val="en-CA"/>
              </w:rPr>
              <w:t xml:space="preserve">I am also pleased to inform you of enhancements that have been made to the </w:t>
            </w:r>
            <w:hyperlink r:id="rId7" w:history="1">
              <w:r>
                <w:rPr>
                  <w:rStyle w:val="Hyperlink"/>
                  <w:lang w:val="en-CA"/>
                </w:rPr>
                <w:t>My Leave module</w:t>
              </w:r>
            </w:hyperlink>
            <w:r>
              <w:rPr>
                <w:color w:val="1F497D"/>
                <w:lang w:val="en-CA"/>
              </w:rPr>
              <w:t xml:space="preserve"> in eServices which include the following:</w:t>
            </w:r>
          </w:p>
          <w:p w14:paraId="4F135FA8" w14:textId="77777777" w:rsidR="00AA3F1B" w:rsidRDefault="00AA3F1B" w:rsidP="0006222D">
            <w:pPr>
              <w:numPr>
                <w:ilvl w:val="0"/>
                <w:numId w:val="1"/>
              </w:numPr>
              <w:spacing w:before="240" w:after="240" w:line="276" w:lineRule="auto"/>
              <w:contextualSpacing/>
              <w:rPr>
                <w:color w:val="1F497D"/>
                <w:lang w:val="en-CA"/>
              </w:rPr>
            </w:pPr>
            <w:r>
              <w:rPr>
                <w:color w:val="1F497D"/>
                <w:lang w:val="en-CA"/>
              </w:rPr>
              <w:t>an automated Absence Record Card</w:t>
            </w:r>
          </w:p>
          <w:p w14:paraId="354984A0" w14:textId="77777777" w:rsidR="00AA3F1B" w:rsidRDefault="00AA3F1B" w:rsidP="0006222D">
            <w:pPr>
              <w:numPr>
                <w:ilvl w:val="0"/>
                <w:numId w:val="1"/>
              </w:numPr>
              <w:spacing w:before="240" w:after="240" w:line="276" w:lineRule="auto"/>
              <w:contextualSpacing/>
              <w:rPr>
                <w:color w:val="1F497D"/>
                <w:lang w:val="en-CA"/>
              </w:rPr>
            </w:pPr>
            <w:r>
              <w:rPr>
                <w:color w:val="1F497D"/>
                <w:lang w:val="en-CA"/>
              </w:rPr>
              <w:t xml:space="preserve">automatic notification in case of Advanced Annual Leave </w:t>
            </w:r>
          </w:p>
          <w:p w14:paraId="6071CABC" w14:textId="77777777" w:rsidR="00AA3F1B" w:rsidRDefault="00AA3F1B" w:rsidP="0006222D">
            <w:pPr>
              <w:numPr>
                <w:ilvl w:val="0"/>
                <w:numId w:val="1"/>
              </w:numPr>
              <w:spacing w:before="240" w:after="240" w:line="276" w:lineRule="auto"/>
              <w:contextualSpacing/>
              <w:rPr>
                <w:color w:val="1F497D"/>
                <w:lang w:val="en-CA"/>
              </w:rPr>
            </w:pPr>
            <w:r>
              <w:rPr>
                <w:color w:val="1F497D"/>
                <w:lang w:val="en-CA"/>
              </w:rPr>
              <w:t xml:space="preserve">automatic notification in case of Sick Leave exceeding 20 days in a </w:t>
            </w:r>
            <w:proofErr w:type="gramStart"/>
            <w:r>
              <w:rPr>
                <w:color w:val="1F497D"/>
                <w:lang w:val="en-CA"/>
              </w:rPr>
              <w:t>12 month</w:t>
            </w:r>
            <w:proofErr w:type="gramEnd"/>
            <w:r>
              <w:rPr>
                <w:color w:val="1F497D"/>
                <w:lang w:val="en-CA"/>
              </w:rPr>
              <w:t xml:space="preserve"> period</w:t>
            </w:r>
          </w:p>
          <w:p w14:paraId="087B7B9F" w14:textId="77777777" w:rsidR="00AA3F1B" w:rsidRDefault="00AA3F1B" w:rsidP="0006222D">
            <w:pPr>
              <w:numPr>
                <w:ilvl w:val="0"/>
                <w:numId w:val="1"/>
              </w:numPr>
              <w:spacing w:before="240" w:after="240" w:line="276" w:lineRule="auto"/>
              <w:contextualSpacing/>
              <w:rPr>
                <w:color w:val="1F497D"/>
                <w:lang w:val="en-CA"/>
              </w:rPr>
            </w:pPr>
            <w:r>
              <w:rPr>
                <w:color w:val="1F497D"/>
                <w:lang w:val="en-CA"/>
              </w:rPr>
              <w:t xml:space="preserve">automation of Travel Days for Home Leave </w:t>
            </w:r>
          </w:p>
          <w:p w14:paraId="044236C4" w14:textId="77777777" w:rsidR="00AA3F1B" w:rsidRDefault="00AA3F1B" w:rsidP="0006222D">
            <w:pPr>
              <w:numPr>
                <w:ilvl w:val="0"/>
                <w:numId w:val="1"/>
              </w:numPr>
              <w:spacing w:before="240" w:after="240" w:line="276" w:lineRule="auto"/>
              <w:contextualSpacing/>
              <w:rPr>
                <w:color w:val="1F497D"/>
                <w:lang w:val="en-CA"/>
              </w:rPr>
            </w:pPr>
            <w:r>
              <w:rPr>
                <w:color w:val="1F497D"/>
                <w:lang w:val="en-CA"/>
              </w:rPr>
              <w:t>automatic calculation of Paternity Leave in non-family duty stations</w:t>
            </w:r>
          </w:p>
          <w:p w14:paraId="7B3BB2EC" w14:textId="77777777" w:rsidR="00AA3F1B" w:rsidRDefault="00AA3F1B">
            <w:pPr>
              <w:spacing w:before="240" w:after="240" w:line="276" w:lineRule="auto"/>
              <w:ind w:left="720"/>
              <w:rPr>
                <w:color w:val="1F497D"/>
                <w:lang w:val="en-CA"/>
              </w:rPr>
            </w:pPr>
            <w:r>
              <w:rPr>
                <w:color w:val="1F497D"/>
                <w:lang w:val="en-CA"/>
              </w:rPr>
              <w:t xml:space="preserve">The changes described above will reduce the time spent on managing leave and increasing efficiencies. The new reporting tools will also allow offices to manage and have a better overview of their staff members’ leave situation. </w:t>
            </w:r>
          </w:p>
          <w:p w14:paraId="3C4C1101" w14:textId="77777777" w:rsidR="00AA3F1B" w:rsidRDefault="00AA3F1B">
            <w:pPr>
              <w:spacing w:before="240" w:after="240" w:line="276" w:lineRule="auto"/>
              <w:ind w:left="720"/>
              <w:rPr>
                <w:color w:val="1F497D"/>
                <w:lang w:val="en-CA"/>
              </w:rPr>
            </w:pPr>
            <w:r>
              <w:rPr>
                <w:color w:val="1F497D"/>
                <w:lang w:val="en-CA"/>
              </w:rPr>
              <w:t>Leave management and record accuracy is the responsibility of the staff member and their supervisor.</w:t>
            </w:r>
          </w:p>
          <w:p w14:paraId="4D352436" w14:textId="77777777" w:rsidR="00AA3F1B" w:rsidRDefault="00AA3F1B">
            <w:pPr>
              <w:spacing w:before="240" w:after="240" w:line="276" w:lineRule="auto"/>
              <w:ind w:left="720"/>
              <w:rPr>
                <w:color w:val="1F497D"/>
                <w:lang w:val="en-CA"/>
              </w:rPr>
            </w:pPr>
            <w:r>
              <w:rPr>
                <w:color w:val="1F497D"/>
                <w:lang w:val="en-CA"/>
              </w:rPr>
              <w:t>OHR will organize three Webinars for leave monitors to introduce the new leave recording functionalities in eServices and to answer questions. The</w:t>
            </w:r>
            <w:r>
              <w:rPr>
                <w:lang w:val="en-CA"/>
              </w:rPr>
              <w:t xml:space="preserve"> </w:t>
            </w:r>
            <w:r>
              <w:rPr>
                <w:color w:val="1F497D"/>
                <w:lang w:val="en-CA"/>
              </w:rPr>
              <w:t xml:space="preserve">Webinars will take place on </w:t>
            </w:r>
            <w:r>
              <w:rPr>
                <w:b/>
                <w:bCs/>
                <w:color w:val="1F497D"/>
                <w:lang w:val="en-CA"/>
              </w:rPr>
              <w:t>Monday 5</w:t>
            </w:r>
            <w:r>
              <w:rPr>
                <w:b/>
                <w:bCs/>
                <w:color w:val="1F497D"/>
                <w:vertAlign w:val="superscript"/>
                <w:lang w:val="en-CA"/>
              </w:rPr>
              <w:t>th</w:t>
            </w:r>
            <w:r>
              <w:rPr>
                <w:b/>
                <w:bCs/>
                <w:color w:val="1F497D"/>
                <w:lang w:val="en-CA"/>
              </w:rPr>
              <w:t xml:space="preserve"> October </w:t>
            </w:r>
            <w:r>
              <w:rPr>
                <w:color w:val="1F497D"/>
                <w:lang w:val="en-CA"/>
              </w:rPr>
              <w:t xml:space="preserve">and </w:t>
            </w:r>
            <w:r>
              <w:rPr>
                <w:b/>
                <w:bCs/>
                <w:color w:val="1F497D"/>
                <w:lang w:val="en-CA"/>
              </w:rPr>
              <w:t>Tuesday 6</w:t>
            </w:r>
            <w:r>
              <w:rPr>
                <w:b/>
                <w:bCs/>
                <w:color w:val="1F497D"/>
                <w:vertAlign w:val="superscript"/>
                <w:lang w:val="en-CA"/>
              </w:rPr>
              <w:t>th</w:t>
            </w:r>
            <w:r>
              <w:rPr>
                <w:b/>
                <w:bCs/>
                <w:color w:val="1F497D"/>
                <w:lang w:val="en-CA"/>
              </w:rPr>
              <w:t xml:space="preserve"> October 2015</w:t>
            </w:r>
            <w:r>
              <w:rPr>
                <w:color w:val="1F497D"/>
                <w:lang w:val="en-CA"/>
              </w:rPr>
              <w:t xml:space="preserve">. To attend the </w:t>
            </w:r>
            <w:proofErr w:type="gramStart"/>
            <w:r>
              <w:rPr>
                <w:color w:val="1F497D"/>
                <w:lang w:val="en-CA"/>
              </w:rPr>
              <w:t>Webinars</w:t>
            </w:r>
            <w:proofErr w:type="gramEnd"/>
            <w:r>
              <w:rPr>
                <w:color w:val="1F497D"/>
                <w:lang w:val="en-CA"/>
              </w:rPr>
              <w:t xml:space="preserve"> you can register directly on the SAS website </w:t>
            </w:r>
            <w:hyperlink r:id="rId8" w:history="1">
              <w:r>
                <w:rPr>
                  <w:rStyle w:val="Hyperlink"/>
                  <w:b/>
                  <w:bCs/>
                </w:rPr>
                <w:t>https://info.undp.org/sas/Pages/LEAVE-My-Leave.aspx</w:t>
              </w:r>
            </w:hyperlink>
            <w:r>
              <w:rPr>
                <w:b/>
                <w:bCs/>
                <w:color w:val="FF0000"/>
              </w:rPr>
              <w:t>.</w:t>
            </w:r>
            <w:r>
              <w:rPr>
                <w:color w:val="1F497D"/>
              </w:rPr>
              <w:t xml:space="preserve">  </w:t>
            </w:r>
            <w:r>
              <w:rPr>
                <w:color w:val="1F497D"/>
                <w:lang w:val="en-CA"/>
              </w:rPr>
              <w:t>I request that you please make sure that your Leave Monitors attend one of the Webinars.</w:t>
            </w:r>
          </w:p>
          <w:p w14:paraId="0ABB0516" w14:textId="77777777" w:rsidR="00AA3F1B" w:rsidRDefault="00AA3F1B">
            <w:pPr>
              <w:spacing w:before="240" w:after="240" w:line="276" w:lineRule="auto"/>
              <w:ind w:left="720"/>
              <w:rPr>
                <w:color w:val="1F497D"/>
                <w:lang w:val="en-CA"/>
              </w:rPr>
            </w:pPr>
            <w:r>
              <w:rPr>
                <w:color w:val="1F497D"/>
                <w:lang w:val="en-CA"/>
              </w:rPr>
              <w:t>Please see below for the updated guidelines for Leave Monitors:</w:t>
            </w:r>
          </w:p>
          <w:p w14:paraId="43BECBD3" w14:textId="77777777" w:rsidR="00AA3F1B" w:rsidRDefault="00AA3F1B">
            <w:pPr>
              <w:spacing w:after="200" w:line="276" w:lineRule="auto"/>
              <w:ind w:left="720"/>
              <w:rPr>
                <w:sz w:val="8"/>
                <w:szCs w:val="8"/>
              </w:rPr>
            </w:pPr>
          </w:p>
          <w:tbl>
            <w:tblPr>
              <w:tblW w:w="0" w:type="auto"/>
              <w:tblInd w:w="720" w:type="dxa"/>
              <w:tblCellMar>
                <w:left w:w="0" w:type="dxa"/>
                <w:right w:w="0" w:type="dxa"/>
              </w:tblCellMar>
              <w:tblLook w:val="04A0" w:firstRow="1" w:lastRow="0" w:firstColumn="1" w:lastColumn="0" w:noHBand="0" w:noVBand="1"/>
            </w:tblPr>
            <w:tblGrid>
              <w:gridCol w:w="9796"/>
            </w:tblGrid>
            <w:tr w:rsidR="00AA3F1B" w14:paraId="11D7819E" w14:textId="77777777">
              <w:tc>
                <w:tcPr>
                  <w:tcW w:w="11486" w:type="dxa"/>
                  <w:tcBorders>
                    <w:top w:val="single" w:sz="8" w:space="0" w:color="1F497D"/>
                    <w:left w:val="single" w:sz="8" w:space="0" w:color="1F497D"/>
                    <w:bottom w:val="single" w:sz="8" w:space="0" w:color="1F497D"/>
                    <w:right w:val="single" w:sz="8" w:space="0" w:color="1F497D"/>
                  </w:tcBorders>
                  <w:tcMar>
                    <w:top w:w="0" w:type="dxa"/>
                    <w:left w:w="108" w:type="dxa"/>
                    <w:bottom w:w="0" w:type="dxa"/>
                    <w:right w:w="108" w:type="dxa"/>
                  </w:tcMar>
                </w:tcPr>
                <w:p w14:paraId="099E254A" w14:textId="77777777" w:rsidR="00AA3F1B" w:rsidRDefault="00AA3F1B">
                  <w:pPr>
                    <w:spacing w:after="240" w:line="276" w:lineRule="auto"/>
                    <w:ind w:left="720"/>
                    <w:jc w:val="center"/>
                    <w:rPr>
                      <w:b/>
                      <w:bCs/>
                      <w:color w:val="1F497D"/>
                    </w:rPr>
                  </w:pPr>
                </w:p>
                <w:p w14:paraId="13092DE0" w14:textId="77777777" w:rsidR="00AA3F1B" w:rsidRDefault="00AA3F1B">
                  <w:pPr>
                    <w:spacing w:after="240" w:line="276" w:lineRule="auto"/>
                    <w:jc w:val="center"/>
                  </w:pPr>
                  <w:r>
                    <w:rPr>
                      <w:b/>
                      <w:bCs/>
                      <w:color w:val="1F497D"/>
                    </w:rPr>
                    <w:t>Revised Functions and Roles of Leave Monitors</w:t>
                  </w:r>
                </w:p>
                <w:p w14:paraId="6231A15F" w14:textId="77777777" w:rsidR="00AA3F1B" w:rsidRDefault="00AA3F1B">
                  <w:pPr>
                    <w:spacing w:after="240" w:line="276" w:lineRule="auto"/>
                  </w:pPr>
                  <w:r>
                    <w:rPr>
                      <w:color w:val="1F497D"/>
                    </w:rPr>
                    <w:t xml:space="preserve">With the introduction of eServices, the role and functions of leave monitors have changed.  eServices </w:t>
                  </w:r>
                  <w:proofErr w:type="gramStart"/>
                  <w:r>
                    <w:rPr>
                      <w:color w:val="1F497D"/>
                    </w:rPr>
                    <w:t>has</w:t>
                  </w:r>
                  <w:proofErr w:type="gramEnd"/>
                  <w:r>
                    <w:rPr>
                      <w:color w:val="1F497D"/>
                    </w:rPr>
                    <w:t xml:space="preserve"> reduced the need for leave monitors to record and administer leave in the Atlas Absence module.  At present, annual leave, home leave, uncertified sick leave, certified sick leave, family leave, maternity leave, paternity leave and SLWOP are now requested, recorded and approved directly in eServices, between the staff member and their supervisor. As such, the leave monitor’s functions have shifted away from monitoring towards advising functions on questions of leave. More specifically:</w:t>
                  </w:r>
                </w:p>
                <w:p w14:paraId="25089FCA" w14:textId="77777777" w:rsidR="00AA3F1B" w:rsidRDefault="00AA3F1B" w:rsidP="0006222D">
                  <w:pPr>
                    <w:numPr>
                      <w:ilvl w:val="0"/>
                      <w:numId w:val="2"/>
                    </w:numPr>
                    <w:spacing w:after="240" w:line="276" w:lineRule="auto"/>
                    <w:ind w:left="360"/>
                  </w:pPr>
                  <w:r>
                    <w:rPr>
                      <w:color w:val="1F497D"/>
                    </w:rPr>
                    <w:t xml:space="preserve">Informing and </w:t>
                  </w:r>
                  <w:proofErr w:type="gramStart"/>
                  <w:r>
                    <w:rPr>
                      <w:color w:val="1F497D"/>
                    </w:rPr>
                    <w:t>training  new</w:t>
                  </w:r>
                  <w:proofErr w:type="gramEnd"/>
                  <w:r>
                    <w:rPr>
                      <w:color w:val="1F497D"/>
                    </w:rPr>
                    <w:t xml:space="preserve"> staff members on how to use My Leave in eServices; </w:t>
                  </w:r>
                </w:p>
                <w:p w14:paraId="56E6DFE6" w14:textId="77777777" w:rsidR="00AA3F1B" w:rsidRDefault="00AA3F1B" w:rsidP="0006222D">
                  <w:pPr>
                    <w:numPr>
                      <w:ilvl w:val="0"/>
                      <w:numId w:val="2"/>
                    </w:numPr>
                    <w:spacing w:after="240" w:line="276" w:lineRule="auto"/>
                    <w:ind w:left="360"/>
                  </w:pPr>
                  <w:r>
                    <w:rPr>
                      <w:color w:val="1F497D"/>
                    </w:rPr>
                    <w:t xml:space="preserve">Assisting staff members who have questions on leave; </w:t>
                  </w:r>
                </w:p>
                <w:p w14:paraId="72285A63" w14:textId="77777777" w:rsidR="00AA3F1B" w:rsidRDefault="00AA3F1B" w:rsidP="0006222D">
                  <w:pPr>
                    <w:numPr>
                      <w:ilvl w:val="0"/>
                      <w:numId w:val="2"/>
                    </w:numPr>
                    <w:spacing w:after="240" w:line="276" w:lineRule="auto"/>
                    <w:ind w:left="360"/>
                    <w:rPr>
                      <w:color w:val="1F497D"/>
                    </w:rPr>
                  </w:pPr>
                  <w:r>
                    <w:rPr>
                      <w:color w:val="1F497D"/>
                    </w:rPr>
                    <w:t xml:space="preserve">Assisting staff members or </w:t>
                  </w:r>
                  <w:proofErr w:type="gramStart"/>
                  <w:r>
                    <w:rPr>
                      <w:color w:val="1F497D"/>
                    </w:rPr>
                    <w:t>HR  if</w:t>
                  </w:r>
                  <w:proofErr w:type="gramEnd"/>
                  <w:r>
                    <w:rPr>
                      <w:color w:val="1F497D"/>
                    </w:rPr>
                    <w:t xml:space="preserve"> there is a one-time need for adjusting a leave balance, including for staff being seconded or transferred to UNDP; </w:t>
                  </w:r>
                </w:p>
                <w:p w14:paraId="11206E05" w14:textId="77777777" w:rsidR="00AA3F1B" w:rsidRDefault="00AA3F1B" w:rsidP="0006222D">
                  <w:pPr>
                    <w:numPr>
                      <w:ilvl w:val="0"/>
                      <w:numId w:val="2"/>
                    </w:numPr>
                    <w:spacing w:after="240" w:line="276" w:lineRule="auto"/>
                    <w:ind w:left="360"/>
                    <w:rPr>
                      <w:color w:val="1F497D"/>
                    </w:rPr>
                  </w:pPr>
                  <w:r>
                    <w:rPr>
                      <w:color w:val="1F497D"/>
                    </w:rPr>
                    <w:t>Entering leave types not yet included in e-Services (such as Compensatory Time Off, Jury Duty, R&amp;R) in the Absence module and ensuring requested documentation to be kept on file for audit purposes;</w:t>
                  </w:r>
                </w:p>
                <w:p w14:paraId="24297894" w14:textId="77777777" w:rsidR="00AA3F1B" w:rsidRDefault="00AA3F1B" w:rsidP="0006222D">
                  <w:pPr>
                    <w:numPr>
                      <w:ilvl w:val="0"/>
                      <w:numId w:val="2"/>
                    </w:numPr>
                    <w:spacing w:after="240" w:line="276" w:lineRule="auto"/>
                    <w:ind w:left="360"/>
                    <w:rPr>
                      <w:color w:val="1F497D"/>
                    </w:rPr>
                  </w:pPr>
                  <w:r>
                    <w:rPr>
                      <w:color w:val="1F497D"/>
                    </w:rPr>
                    <w:t xml:space="preserve">Executing the yearly absence Record Card; and    </w:t>
                  </w:r>
                </w:p>
                <w:p w14:paraId="66039989" w14:textId="77777777" w:rsidR="00AA3F1B" w:rsidRDefault="00AA3F1B" w:rsidP="0006222D">
                  <w:pPr>
                    <w:numPr>
                      <w:ilvl w:val="0"/>
                      <w:numId w:val="2"/>
                    </w:numPr>
                    <w:spacing w:after="240" w:line="276" w:lineRule="auto"/>
                    <w:ind w:left="360"/>
                    <w:rPr>
                      <w:color w:val="1F497D"/>
                    </w:rPr>
                  </w:pPr>
                  <w:r>
                    <w:rPr>
                      <w:color w:val="1F497D"/>
                    </w:rPr>
                    <w:t>Keeping management informed on any issues pertaining to leave</w:t>
                  </w:r>
                </w:p>
                <w:p w14:paraId="3325F975" w14:textId="77777777" w:rsidR="00AA3F1B" w:rsidRDefault="00AA3F1B">
                  <w:pPr>
                    <w:spacing w:after="240" w:line="276" w:lineRule="auto"/>
                  </w:pPr>
                  <w:r>
                    <w:rPr>
                      <w:color w:val="1F497D"/>
                    </w:rPr>
                    <w:t xml:space="preserve">There is an updated version of the </w:t>
                  </w:r>
                  <w:hyperlink r:id="rId9" w:tgtFrame="_blank" w:history="1">
                    <w:r>
                      <w:rPr>
                        <w:rStyle w:val="Hyperlink"/>
                        <w:b/>
                        <w:bCs/>
                      </w:rPr>
                      <w:t>Guide for Leave Monitors</w:t>
                    </w:r>
                  </w:hyperlink>
                  <w:r>
                    <w:rPr>
                      <w:color w:val="1F497D"/>
                    </w:rPr>
                    <w:t xml:space="preserve"> on the eServices Leave module, as well as an </w:t>
                  </w:r>
                  <w:hyperlink r:id="rId10" w:history="1">
                    <w:r>
                      <w:rPr>
                        <w:rStyle w:val="Hyperlink"/>
                        <w:b/>
                        <w:bCs/>
                      </w:rPr>
                      <w:t>FAQ for staff</w:t>
                    </w:r>
                  </w:hyperlink>
                  <w:r>
                    <w:rPr>
                      <w:b/>
                      <w:bCs/>
                      <w:color w:val="1F497D"/>
                    </w:rPr>
                    <w:t xml:space="preserve"> </w:t>
                  </w:r>
                  <w:r>
                    <w:rPr>
                      <w:color w:val="1F497D"/>
                    </w:rPr>
                    <w:t>and</w:t>
                  </w:r>
                  <w:r>
                    <w:rPr>
                      <w:b/>
                      <w:bCs/>
                      <w:color w:val="1F497D"/>
                    </w:rPr>
                    <w:t xml:space="preserve"> </w:t>
                  </w:r>
                  <w:hyperlink r:id="rId11" w:history="1">
                    <w:r>
                      <w:rPr>
                        <w:rStyle w:val="Hyperlink"/>
                        <w:b/>
                        <w:bCs/>
                      </w:rPr>
                      <w:t>FAQ for Leave Monitors</w:t>
                    </w:r>
                  </w:hyperlink>
                  <w:r>
                    <w:rPr>
                      <w:color w:val="1F497D"/>
                    </w:rPr>
                    <w:t xml:space="preserve"> on the eServices Leave module for staff members. </w:t>
                  </w:r>
                </w:p>
                <w:p w14:paraId="52DFCB6E" w14:textId="77777777" w:rsidR="00AA3F1B" w:rsidRDefault="00AA3F1B">
                  <w:pPr>
                    <w:spacing w:after="240" w:line="276" w:lineRule="auto"/>
                  </w:pPr>
                  <w:r>
                    <w:rPr>
                      <w:color w:val="1F497D"/>
                    </w:rPr>
                    <w:t xml:space="preserve">As a Leave Monitor your Atlas Argus focal Point should set you up with the </w:t>
                  </w:r>
                  <w:r>
                    <w:rPr>
                      <w:b/>
                      <w:bCs/>
                      <w:color w:val="1F497D"/>
                    </w:rPr>
                    <w:t>‘Absence Processor’</w:t>
                  </w:r>
                  <w:r>
                    <w:rPr>
                      <w:color w:val="1F497D"/>
                    </w:rPr>
                    <w:t xml:space="preserve"> profile as the eServices Leave module is linked to the Absence Module. Everything entered in eServices will automatically be </w:t>
                  </w:r>
                  <w:proofErr w:type="gramStart"/>
                  <w:r>
                    <w:rPr>
                      <w:color w:val="1F497D"/>
                    </w:rPr>
                    <w:t>entered into</w:t>
                  </w:r>
                  <w:proofErr w:type="gramEnd"/>
                  <w:r>
                    <w:rPr>
                      <w:color w:val="1F497D"/>
                    </w:rPr>
                    <w:t xml:space="preserve"> the payroll module for absences. Please familiarize yourself with the data entry procedure in the absence module (section 2.3 of the Guide for Leave Monitors).</w:t>
                  </w:r>
                </w:p>
                <w:p w14:paraId="6E8C1133" w14:textId="77777777" w:rsidR="00AA3F1B" w:rsidRDefault="00AA3F1B">
                  <w:pPr>
                    <w:spacing w:after="240" w:line="276" w:lineRule="auto"/>
                  </w:pPr>
                  <w:r>
                    <w:rPr>
                      <w:color w:val="1F497D"/>
                    </w:rPr>
                    <w:t>Current leave recording procedures will be amended to require that Attendance Cards be signed off yearly, by 15 February. The Attendance Card will be signed by 1) the staff member; 2) the direct supervisor; and 3) the leave monitor.  Attendance Cards will be filed by the leave monitor for audit purposes.</w:t>
                  </w:r>
                </w:p>
                <w:p w14:paraId="0E7CD45B" w14:textId="77777777" w:rsidR="00AA3F1B" w:rsidRDefault="00AA3F1B">
                  <w:pPr>
                    <w:spacing w:after="240" w:line="276" w:lineRule="auto"/>
                  </w:pPr>
                  <w:r>
                    <w:rPr>
                      <w:color w:val="1F497D"/>
                    </w:rPr>
                    <w:t xml:space="preserve">You may find further information on the SharePoint site on the SAS website </w:t>
                  </w:r>
                  <w:hyperlink r:id="rId12" w:history="1">
                    <w:r>
                      <w:rPr>
                        <w:rStyle w:val="Hyperlink"/>
                        <w:b/>
                        <w:bCs/>
                      </w:rPr>
                      <w:t>https://info.undp.org/sas/Pages/LEAVE-My-Leave.aspx</w:t>
                    </w:r>
                  </w:hyperlink>
                </w:p>
                <w:p w14:paraId="65EB603A" w14:textId="77777777" w:rsidR="00AA3F1B" w:rsidRDefault="00AA3F1B">
                  <w:pPr>
                    <w:spacing w:before="240" w:after="240" w:line="276" w:lineRule="auto"/>
                    <w:rPr>
                      <w:color w:val="1F497D"/>
                      <w:lang w:val="en-CA"/>
                    </w:rPr>
                  </w:pPr>
                </w:p>
              </w:tc>
            </w:tr>
          </w:tbl>
          <w:p w14:paraId="13943722" w14:textId="77777777" w:rsidR="00AA3F1B" w:rsidRDefault="00AA3F1B"/>
          <w:p w14:paraId="3813D7B0" w14:textId="77777777" w:rsidR="00AA3F1B" w:rsidRDefault="00AA3F1B">
            <w:pPr>
              <w:spacing w:after="240" w:line="276" w:lineRule="auto"/>
            </w:pPr>
          </w:p>
          <w:p w14:paraId="6C464796" w14:textId="77777777" w:rsidR="00AA3F1B" w:rsidRDefault="00AA3F1B">
            <w:pPr>
              <w:spacing w:after="240" w:line="276" w:lineRule="auto"/>
              <w:ind w:left="720"/>
              <w:rPr>
                <w:color w:val="1F497D"/>
              </w:rPr>
            </w:pPr>
            <w:r>
              <w:rPr>
                <w:color w:val="1F497D"/>
              </w:rPr>
              <w:t>Warm regards,</w:t>
            </w:r>
          </w:p>
          <w:p w14:paraId="5F353EB9" w14:textId="77777777" w:rsidR="00AA3F1B" w:rsidRDefault="00AA3F1B">
            <w:pPr>
              <w:spacing w:after="240" w:line="276" w:lineRule="auto"/>
              <w:ind w:left="720"/>
              <w:rPr>
                <w:color w:val="1F497D"/>
              </w:rPr>
            </w:pPr>
            <w:r>
              <w:rPr>
                <w:color w:val="1F497D"/>
              </w:rPr>
              <w:t>Martha Helena</w:t>
            </w:r>
          </w:p>
          <w:p w14:paraId="18B43B84" w14:textId="77777777" w:rsidR="00AA3F1B" w:rsidRDefault="00AA3F1B">
            <w:pPr>
              <w:spacing w:after="240" w:line="276" w:lineRule="auto"/>
              <w:rPr>
                <w:sz w:val="2"/>
                <w:szCs w:val="2"/>
              </w:rPr>
            </w:pPr>
          </w:p>
          <w:tbl>
            <w:tblPr>
              <w:tblW w:w="7325" w:type="dxa"/>
              <w:tblInd w:w="605" w:type="dxa"/>
              <w:tblCellMar>
                <w:left w:w="0" w:type="dxa"/>
                <w:right w:w="0" w:type="dxa"/>
              </w:tblCellMar>
              <w:tblLook w:val="04A0" w:firstRow="1" w:lastRow="0" w:firstColumn="1" w:lastColumn="0" w:noHBand="0" w:noVBand="1"/>
            </w:tblPr>
            <w:tblGrid>
              <w:gridCol w:w="1376"/>
              <w:gridCol w:w="3843"/>
              <w:gridCol w:w="1140"/>
              <w:gridCol w:w="966"/>
            </w:tblGrid>
            <w:tr w:rsidR="00AA3F1B" w14:paraId="1E7CF8CC" w14:textId="77777777">
              <w:trPr>
                <w:trHeight w:val="2555"/>
              </w:trPr>
              <w:tc>
                <w:tcPr>
                  <w:tcW w:w="1376" w:type="dxa"/>
                  <w:tcMar>
                    <w:top w:w="0" w:type="dxa"/>
                    <w:left w:w="115" w:type="dxa"/>
                    <w:bottom w:w="0" w:type="dxa"/>
                    <w:right w:w="115" w:type="dxa"/>
                  </w:tcMar>
                  <w:hideMark/>
                </w:tcPr>
                <w:p w14:paraId="555BF78A" w14:textId="29EDDFBB" w:rsidR="00AA3F1B" w:rsidRDefault="00AA3F1B">
                  <w:pPr>
                    <w:spacing w:line="276" w:lineRule="auto"/>
                    <w:rPr>
                      <w:rFonts w:ascii="Arial" w:hAnsi="Arial" w:cs="Arial"/>
                      <w:color w:val="1F497D"/>
                      <w:sz w:val="16"/>
                      <w:szCs w:val="16"/>
                    </w:rPr>
                  </w:pPr>
                  <w:r>
                    <w:rPr>
                      <w:rFonts w:ascii="Arial" w:hAnsi="Arial" w:cs="Arial"/>
                      <w:noProof/>
                      <w:sz w:val="16"/>
                      <w:szCs w:val="16"/>
                    </w:rPr>
                    <w:lastRenderedPageBreak/>
                    <w:drawing>
                      <wp:inline distT="0" distB="0" distL="0" distR="0" wp14:anchorId="5577AFED" wp14:editId="3ECBC268">
                        <wp:extent cx="723265" cy="1550670"/>
                        <wp:effectExtent l="0" t="0" r="635" b="0"/>
                        <wp:docPr id="4" name="Picture 4" descr="cid:image013.png@01D10764.64F029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13.png@01D10764.64F029C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723265" cy="1550670"/>
                                </a:xfrm>
                                <a:prstGeom prst="rect">
                                  <a:avLst/>
                                </a:prstGeom>
                                <a:noFill/>
                                <a:ln>
                                  <a:noFill/>
                                </a:ln>
                              </pic:spPr>
                            </pic:pic>
                          </a:graphicData>
                        </a:graphic>
                      </wp:inline>
                    </w:drawing>
                  </w:r>
                </w:p>
              </w:tc>
              <w:tc>
                <w:tcPr>
                  <w:tcW w:w="3843" w:type="dxa"/>
                  <w:hideMark/>
                </w:tcPr>
                <w:p w14:paraId="44345900" w14:textId="77777777" w:rsidR="00AA3F1B" w:rsidRDefault="00AA3F1B">
                  <w:pPr>
                    <w:spacing w:line="220" w:lineRule="exact"/>
                    <w:rPr>
                      <w:rFonts w:ascii="Arial" w:hAnsi="Arial" w:cs="Arial"/>
                      <w:b/>
                      <w:bCs/>
                      <w:color w:val="1F497D"/>
                      <w:sz w:val="16"/>
                      <w:szCs w:val="16"/>
                    </w:rPr>
                  </w:pPr>
                  <w:r>
                    <w:rPr>
                      <w:rFonts w:ascii="Arial" w:hAnsi="Arial" w:cs="Arial"/>
                      <w:b/>
                      <w:bCs/>
                      <w:color w:val="1F497D"/>
                      <w:sz w:val="16"/>
                      <w:szCs w:val="16"/>
                    </w:rPr>
                    <w:t>Martha Helena López</w:t>
                  </w:r>
                </w:p>
                <w:p w14:paraId="2747361C" w14:textId="77777777" w:rsidR="00AA3F1B" w:rsidRDefault="00AA3F1B">
                  <w:pPr>
                    <w:spacing w:line="220" w:lineRule="exact"/>
                    <w:rPr>
                      <w:rFonts w:ascii="Arial" w:hAnsi="Arial" w:cs="Arial"/>
                      <w:color w:val="1F497D"/>
                      <w:sz w:val="16"/>
                      <w:szCs w:val="16"/>
                    </w:rPr>
                  </w:pPr>
                  <w:r>
                    <w:rPr>
                      <w:rFonts w:ascii="Arial" w:hAnsi="Arial" w:cs="Arial"/>
                      <w:color w:val="1F497D"/>
                      <w:sz w:val="16"/>
                      <w:szCs w:val="16"/>
                    </w:rPr>
                    <w:t>Director, Office of Human Resources</w:t>
                  </w:r>
                </w:p>
                <w:p w14:paraId="71F3933B" w14:textId="77777777" w:rsidR="00AA3F1B" w:rsidRDefault="00AA3F1B">
                  <w:pPr>
                    <w:spacing w:line="220" w:lineRule="exact"/>
                    <w:rPr>
                      <w:rFonts w:ascii="Arial" w:hAnsi="Arial" w:cs="Arial"/>
                      <w:color w:val="1F497D"/>
                      <w:sz w:val="16"/>
                      <w:szCs w:val="16"/>
                    </w:rPr>
                  </w:pPr>
                  <w:r>
                    <w:rPr>
                      <w:rFonts w:ascii="Arial" w:hAnsi="Arial" w:cs="Arial"/>
                      <w:color w:val="1F497D"/>
                      <w:sz w:val="16"/>
                      <w:szCs w:val="16"/>
                    </w:rPr>
                    <w:t>Bureau of Management</w:t>
                  </w:r>
                </w:p>
                <w:p w14:paraId="28642E14" w14:textId="77777777" w:rsidR="00AA3F1B" w:rsidRDefault="00AA3F1B">
                  <w:pPr>
                    <w:spacing w:line="220" w:lineRule="exact"/>
                    <w:rPr>
                      <w:rFonts w:ascii="Arial" w:hAnsi="Arial" w:cs="Arial"/>
                      <w:color w:val="1F497D"/>
                      <w:sz w:val="16"/>
                      <w:szCs w:val="16"/>
                    </w:rPr>
                  </w:pPr>
                  <w:r>
                    <w:rPr>
                      <w:rFonts w:ascii="Arial" w:hAnsi="Arial" w:cs="Arial"/>
                      <w:color w:val="1F497D"/>
                      <w:sz w:val="16"/>
                      <w:szCs w:val="16"/>
                    </w:rPr>
                    <w:t>United Nations Development Programme</w:t>
                  </w:r>
                </w:p>
                <w:p w14:paraId="2648819F" w14:textId="77777777" w:rsidR="00AA3F1B" w:rsidRDefault="00AA3F1B">
                  <w:pPr>
                    <w:spacing w:line="220" w:lineRule="exact"/>
                    <w:rPr>
                      <w:rFonts w:ascii="Arial" w:hAnsi="Arial" w:cs="Arial"/>
                      <w:color w:val="1F497D"/>
                      <w:sz w:val="16"/>
                      <w:szCs w:val="16"/>
                    </w:rPr>
                  </w:pPr>
                  <w:r>
                    <w:rPr>
                      <w:rFonts w:ascii="Arial" w:hAnsi="Arial" w:cs="Arial"/>
                      <w:color w:val="1F497D"/>
                      <w:sz w:val="16"/>
                      <w:szCs w:val="16"/>
                    </w:rPr>
                    <w:t>One United Nations Plaza, DC1-1828</w:t>
                  </w:r>
                </w:p>
                <w:p w14:paraId="46A167C2" w14:textId="77777777" w:rsidR="00AA3F1B" w:rsidRDefault="00AA3F1B">
                  <w:pPr>
                    <w:spacing w:line="220" w:lineRule="exact"/>
                    <w:rPr>
                      <w:rFonts w:ascii="Arial" w:hAnsi="Arial" w:cs="Arial"/>
                      <w:color w:val="1F497D"/>
                      <w:sz w:val="16"/>
                      <w:szCs w:val="16"/>
                    </w:rPr>
                  </w:pPr>
                  <w:hyperlink r:id="rId15" w:history="1">
                    <w:r>
                      <w:rPr>
                        <w:rStyle w:val="Hyperlink"/>
                        <w:rFonts w:ascii="Arial" w:hAnsi="Arial" w:cs="Arial"/>
                        <w:sz w:val="16"/>
                        <w:szCs w:val="16"/>
                      </w:rPr>
                      <w:t>martha.helena.lopez@undp.org</w:t>
                    </w:r>
                  </w:hyperlink>
                  <w:r>
                    <w:rPr>
                      <w:rFonts w:ascii="Arial" w:hAnsi="Arial" w:cs="Arial"/>
                      <w:sz w:val="16"/>
                      <w:szCs w:val="16"/>
                    </w:rPr>
                    <w:t xml:space="preserve"> </w:t>
                  </w:r>
                  <w:r>
                    <w:rPr>
                      <w:rFonts w:ascii="Arial" w:hAnsi="Arial" w:cs="Arial"/>
                      <w:color w:val="1F497D"/>
                      <w:sz w:val="16"/>
                      <w:szCs w:val="16"/>
                    </w:rPr>
                    <w:t> </w:t>
                  </w:r>
                </w:p>
                <w:p w14:paraId="391663C1" w14:textId="77777777" w:rsidR="00AA3F1B" w:rsidRDefault="00AA3F1B">
                  <w:pPr>
                    <w:spacing w:line="220" w:lineRule="exact"/>
                    <w:rPr>
                      <w:rFonts w:ascii="Arial" w:hAnsi="Arial" w:cs="Arial"/>
                      <w:color w:val="1F497D"/>
                      <w:sz w:val="16"/>
                      <w:szCs w:val="16"/>
                    </w:rPr>
                  </w:pPr>
                  <w:r>
                    <w:rPr>
                      <w:rFonts w:ascii="Arial" w:hAnsi="Arial" w:cs="Arial"/>
                      <w:color w:val="1F497D"/>
                      <w:sz w:val="16"/>
                      <w:szCs w:val="16"/>
                    </w:rPr>
                    <w:t>Office: +1 212 906 5200</w:t>
                  </w:r>
                </w:p>
                <w:p w14:paraId="2AFDBAA2" w14:textId="77777777" w:rsidR="00AA3F1B" w:rsidRDefault="00AA3F1B">
                  <w:pPr>
                    <w:spacing w:line="220" w:lineRule="exact"/>
                    <w:rPr>
                      <w:rFonts w:ascii="Arial" w:hAnsi="Arial" w:cs="Arial"/>
                      <w:color w:val="1F497D"/>
                      <w:sz w:val="16"/>
                      <w:szCs w:val="16"/>
                    </w:rPr>
                  </w:pPr>
                  <w:r>
                    <w:rPr>
                      <w:rFonts w:ascii="Arial" w:hAnsi="Arial" w:cs="Arial"/>
                      <w:color w:val="1F497D"/>
                      <w:sz w:val="16"/>
                      <w:szCs w:val="16"/>
                    </w:rPr>
                    <w:t>Mobile: +1 929 248 2990</w:t>
                  </w:r>
                </w:p>
                <w:p w14:paraId="62ED9252" w14:textId="77777777" w:rsidR="00AA3F1B" w:rsidRDefault="00AA3F1B">
                  <w:pPr>
                    <w:spacing w:line="220" w:lineRule="exact"/>
                    <w:rPr>
                      <w:rFonts w:ascii="Arial" w:hAnsi="Arial" w:cs="Arial"/>
                      <w:color w:val="1F497D"/>
                      <w:sz w:val="16"/>
                      <w:szCs w:val="16"/>
                    </w:rPr>
                  </w:pPr>
                  <w:r>
                    <w:rPr>
                      <w:rFonts w:ascii="Arial" w:hAnsi="Arial" w:cs="Arial"/>
                      <w:color w:val="1F497D"/>
                      <w:sz w:val="16"/>
                      <w:szCs w:val="16"/>
                    </w:rPr>
                    <w:t>Fax: +1 212 906 5282</w:t>
                  </w:r>
                </w:p>
                <w:p w14:paraId="4F1339D7" w14:textId="4E323F3B" w:rsidR="00AA3F1B" w:rsidRDefault="00AA3F1B">
                  <w:pPr>
                    <w:spacing w:line="480" w:lineRule="exact"/>
                    <w:rPr>
                      <w:rFonts w:ascii="Arial" w:hAnsi="Arial" w:cs="Arial"/>
                      <w:color w:val="1F497D"/>
                      <w:sz w:val="16"/>
                      <w:szCs w:val="16"/>
                    </w:rPr>
                  </w:pPr>
                  <w:hyperlink r:id="rId16" w:history="1">
                    <w:r>
                      <w:rPr>
                        <w:rStyle w:val="Hyperlink"/>
                        <w:rFonts w:ascii="Arial" w:hAnsi="Arial" w:cs="Arial"/>
                        <w:color w:val="1F497D"/>
                        <w:sz w:val="16"/>
                        <w:szCs w:val="16"/>
                      </w:rPr>
                      <w:t>www.undp.org</w:t>
                    </w:r>
                  </w:hyperlink>
                  <w:r>
                    <w:rPr>
                      <w:rFonts w:ascii="Arial" w:hAnsi="Arial" w:cs="Arial"/>
                      <w:color w:val="1F497D"/>
                      <w:sz w:val="16"/>
                      <w:szCs w:val="16"/>
                    </w:rPr>
                    <w:t xml:space="preserve">  Follow us: </w:t>
                  </w:r>
                  <w:r>
                    <w:rPr>
                      <w:rFonts w:ascii="Arial" w:hAnsi="Arial" w:cs="Arial"/>
                      <w:noProof/>
                      <w:sz w:val="16"/>
                      <w:szCs w:val="16"/>
                    </w:rPr>
                    <w:drawing>
                      <wp:inline distT="0" distB="0" distL="0" distR="0" wp14:anchorId="6BA4FFFF" wp14:editId="0D27E2BE">
                        <wp:extent cx="158750" cy="158750"/>
                        <wp:effectExtent l="0" t="0" r="0" b="0"/>
                        <wp:docPr id="3" name="Picture 3" descr="cid:image014.png@01D10764.64F029C0">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14.png@01D10764.64F029C0"/>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r>
                    <w:rPr>
                      <w:rFonts w:ascii="Arial" w:hAnsi="Arial" w:cs="Arial"/>
                      <w:color w:val="1F497D"/>
                      <w:sz w:val="16"/>
                      <w:szCs w:val="16"/>
                    </w:rPr>
                    <w:t>  </w:t>
                  </w:r>
                  <w:r>
                    <w:rPr>
                      <w:rFonts w:ascii="Arial" w:hAnsi="Arial" w:cs="Arial"/>
                      <w:noProof/>
                      <w:sz w:val="16"/>
                      <w:szCs w:val="16"/>
                    </w:rPr>
                    <w:drawing>
                      <wp:inline distT="0" distB="0" distL="0" distR="0" wp14:anchorId="33FDD5DE" wp14:editId="11C1F357">
                        <wp:extent cx="182880" cy="158750"/>
                        <wp:effectExtent l="0" t="0" r="7620" b="0"/>
                        <wp:docPr id="2" name="Picture 2" descr="cid:image015.png@01D10764.64F029C0">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15.png@01D10764.64F029C0"/>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182880" cy="158750"/>
                                </a:xfrm>
                                <a:prstGeom prst="rect">
                                  <a:avLst/>
                                </a:prstGeom>
                                <a:noFill/>
                                <a:ln>
                                  <a:noFill/>
                                </a:ln>
                              </pic:spPr>
                            </pic:pic>
                          </a:graphicData>
                        </a:graphic>
                      </wp:inline>
                    </w:drawing>
                  </w:r>
                  <w:r>
                    <w:rPr>
                      <w:rFonts w:ascii="Arial" w:hAnsi="Arial" w:cs="Arial"/>
                      <w:color w:val="1F497D"/>
                      <w:sz w:val="16"/>
                      <w:szCs w:val="16"/>
                    </w:rPr>
                    <w:t>  </w:t>
                  </w:r>
                  <w:r>
                    <w:rPr>
                      <w:rFonts w:ascii="Arial" w:hAnsi="Arial" w:cs="Arial"/>
                      <w:noProof/>
                      <w:sz w:val="16"/>
                      <w:szCs w:val="16"/>
                    </w:rPr>
                    <w:drawing>
                      <wp:inline distT="0" distB="0" distL="0" distR="0" wp14:anchorId="2C0285C8" wp14:editId="72DE8241">
                        <wp:extent cx="158750" cy="158750"/>
                        <wp:effectExtent l="0" t="0" r="0" b="0"/>
                        <wp:docPr id="1" name="Picture 1" descr="cid:image016.png@01D10764.64F029C0">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16.png@01D10764.64F029C0"/>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r>
                    <w:rPr>
                      <w:rFonts w:ascii="Arial" w:hAnsi="Arial" w:cs="Arial"/>
                      <w:color w:val="1F497D"/>
                      <w:sz w:val="16"/>
                      <w:szCs w:val="16"/>
                    </w:rPr>
                    <w:t xml:space="preserve">     </w:t>
                  </w:r>
                </w:p>
              </w:tc>
              <w:tc>
                <w:tcPr>
                  <w:tcW w:w="1140" w:type="dxa"/>
                </w:tcPr>
                <w:p w14:paraId="2F9ED615" w14:textId="77777777" w:rsidR="00AA3F1B" w:rsidRDefault="00AA3F1B">
                  <w:pPr>
                    <w:spacing w:line="276" w:lineRule="auto"/>
                    <w:rPr>
                      <w:rFonts w:ascii="Times New Roman" w:hAnsi="Times New Roman" w:cs="Times New Roman"/>
                      <w:color w:val="1F497D"/>
                      <w:sz w:val="16"/>
                      <w:szCs w:val="16"/>
                    </w:rPr>
                  </w:pPr>
                </w:p>
              </w:tc>
              <w:tc>
                <w:tcPr>
                  <w:tcW w:w="966" w:type="dxa"/>
                </w:tcPr>
                <w:p w14:paraId="7B87A975" w14:textId="77777777" w:rsidR="00AA3F1B" w:rsidRDefault="00AA3F1B">
                  <w:pPr>
                    <w:spacing w:line="480" w:lineRule="exact"/>
                    <w:rPr>
                      <w:rFonts w:ascii="Arial" w:hAnsi="Arial" w:cs="Arial"/>
                      <w:color w:val="1F497D"/>
                      <w:sz w:val="16"/>
                      <w:szCs w:val="16"/>
                    </w:rPr>
                  </w:pPr>
                </w:p>
              </w:tc>
            </w:tr>
          </w:tbl>
          <w:p w14:paraId="3B61775C" w14:textId="77777777" w:rsidR="00AA3F1B" w:rsidRDefault="00AA3F1B">
            <w:pPr>
              <w:spacing w:after="240" w:line="276" w:lineRule="auto"/>
              <w:rPr>
                <w:sz w:val="2"/>
                <w:szCs w:val="2"/>
              </w:rPr>
            </w:pPr>
          </w:p>
          <w:p w14:paraId="252CE8AE" w14:textId="77777777" w:rsidR="00AA3F1B" w:rsidRDefault="00AA3F1B">
            <w:pPr>
              <w:spacing w:after="240" w:line="276" w:lineRule="auto"/>
              <w:rPr>
                <w:color w:val="1F497D"/>
                <w:sz w:val="2"/>
                <w:szCs w:val="2"/>
              </w:rPr>
            </w:pPr>
          </w:p>
        </w:tc>
      </w:tr>
    </w:tbl>
    <w:p w14:paraId="295F0548" w14:textId="77777777" w:rsidR="00AA3F1B" w:rsidRDefault="00AA3F1B" w:rsidP="00AA3F1B">
      <w:pPr>
        <w:rPr>
          <w:color w:val="1F497D"/>
          <w:lang w:val="en-US"/>
        </w:rPr>
      </w:pPr>
    </w:p>
    <w:p w14:paraId="3A5AFCCF" w14:textId="77777777" w:rsidR="00CD35C9" w:rsidRPr="00AA3F1B" w:rsidRDefault="00CD35C9">
      <w:pPr>
        <w:rPr>
          <w:lang w:val="en-US"/>
        </w:rPr>
      </w:pPr>
    </w:p>
    <w:sectPr w:rsidR="00CD35C9" w:rsidRPr="00AA3F1B" w:rsidSect="00AA3F1B">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403649"/>
    <w:multiLevelType w:val="hybridMultilevel"/>
    <w:tmpl w:val="7E48111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7FAA01BF"/>
    <w:multiLevelType w:val="hybridMultilevel"/>
    <w:tmpl w:val="455644AC"/>
    <w:lvl w:ilvl="0" w:tplc="02560278">
      <w:numFmt w:val="bullet"/>
      <w:lvlText w:val="-"/>
      <w:lvlJc w:val="left"/>
      <w:pPr>
        <w:ind w:left="1080" w:hanging="360"/>
      </w:pPr>
      <w:rPr>
        <w:rFonts w:ascii="Calibri" w:eastAsia="Calibr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F1B"/>
    <w:rsid w:val="00AA3F1B"/>
    <w:rsid w:val="00CD35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BD728"/>
  <w15:chartTrackingRefBased/>
  <w15:docId w15:val="{585C921E-455A-473E-A8F0-152F2EAAC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3F1B"/>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A3F1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3507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fo.undp.org/sas/Pages/LEAVE-My-Leave.aspx" TargetMode="External"/><Relationship Id="rId13" Type="http://schemas.openxmlformats.org/officeDocument/2006/relationships/image" Target="media/image2.png"/><Relationship Id="rId18" Type="http://schemas.openxmlformats.org/officeDocument/2006/relationships/image" Target="media/image3.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4.png"/><Relationship Id="rId7" Type="http://schemas.openxmlformats.org/officeDocument/2006/relationships/hyperlink" Target="https://info.undp.org/sas/Pages/LEAVE-My-Leave.aspx" TargetMode="External"/><Relationship Id="rId12" Type="http://schemas.openxmlformats.org/officeDocument/2006/relationships/hyperlink" Target="https://info.undp.org/sas/Pages/LEAVE-My-Leave.aspx" TargetMode="External"/><Relationship Id="rId17" Type="http://schemas.openxmlformats.org/officeDocument/2006/relationships/hyperlink" Target="http://www.facebook.com/UNDP" TargetMode="External"/><Relationship Id="rId25" Type="http://schemas.openxmlformats.org/officeDocument/2006/relationships/image" Target="cid:image016.png@01D10764.64F029C0" TargetMode="External"/><Relationship Id="rId2" Type="http://schemas.openxmlformats.org/officeDocument/2006/relationships/styles" Target="styles.xml"/><Relationship Id="rId16" Type="http://schemas.openxmlformats.org/officeDocument/2006/relationships/hyperlink" Target="http://www.undp.org/" TargetMode="External"/><Relationship Id="rId20" Type="http://schemas.openxmlformats.org/officeDocument/2006/relationships/hyperlink" Target="http://www.twitter.com/undp" TargetMode="External"/><Relationship Id="rId29"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image" Target="cid:image012.png@01D10764.64F029C0" TargetMode="External"/><Relationship Id="rId11" Type="http://schemas.openxmlformats.org/officeDocument/2006/relationships/hyperlink" Target="https://info.undp.org/sas/Pages/LEAVE-LM-FAQs-for-Leave-Monitors.aspx" TargetMode="External"/><Relationship Id="rId24" Type="http://schemas.openxmlformats.org/officeDocument/2006/relationships/image" Target="media/image5.png"/><Relationship Id="rId5" Type="http://schemas.openxmlformats.org/officeDocument/2006/relationships/image" Target="media/image1.png"/><Relationship Id="rId15" Type="http://schemas.openxmlformats.org/officeDocument/2006/relationships/hyperlink" Target="mailto:martha.helena.lopez@undp.org" TargetMode="External"/><Relationship Id="rId23" Type="http://schemas.openxmlformats.org/officeDocument/2006/relationships/hyperlink" Target="http://www.youtube.com/undp" TargetMode="External"/><Relationship Id="rId28" Type="http://schemas.openxmlformats.org/officeDocument/2006/relationships/customXml" Target="../customXml/item1.xml"/><Relationship Id="rId10" Type="http://schemas.openxmlformats.org/officeDocument/2006/relationships/hyperlink" Target="https://info.undp.org/sas/Pages/FAQs-for-Staff.aspx" TargetMode="External"/><Relationship Id="rId19" Type="http://schemas.openxmlformats.org/officeDocument/2006/relationships/image" Target="cid:image014.png@01D10764.64F029C0" TargetMode="External"/><Relationship Id="rId4" Type="http://schemas.openxmlformats.org/officeDocument/2006/relationships/webSettings" Target="webSettings.xml"/><Relationship Id="rId9" Type="http://schemas.openxmlformats.org/officeDocument/2006/relationships/hyperlink" Target="http://sas.undp.org/Documents/Guide%26FAQ_eServices_Leave.pdf" TargetMode="External"/><Relationship Id="rId14" Type="http://schemas.openxmlformats.org/officeDocument/2006/relationships/image" Target="cid:image013.png@01D10764.64F029C0" TargetMode="External"/><Relationship Id="rId22" Type="http://schemas.openxmlformats.org/officeDocument/2006/relationships/image" Target="cid:image015.png@01D10764.64F029C0" TargetMode="External"/><Relationship Id="rId27" Type="http://schemas.openxmlformats.org/officeDocument/2006/relationships/theme" Target="theme/theme1.xml"/><Relationship Id="rId30"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9E904310F9BF4F86800442E2C3CD5D" ma:contentTypeVersion="1" ma:contentTypeDescription="Create a new document." ma:contentTypeScope="" ma:versionID="6610321a805e5b61defba2132fe49ded">
  <xsd:schema xmlns:xsd="http://www.w3.org/2001/XMLSchema" xmlns:xs="http://www.w3.org/2001/XMLSchema" xmlns:p="http://schemas.microsoft.com/office/2006/metadata/properties" xmlns:ns1="http://schemas.microsoft.com/sharepoint/v3" targetNamespace="http://schemas.microsoft.com/office/2006/metadata/properties" ma:root="true" ma:fieldsID="bfa53a8320f8b1c95a8960917c09239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7957867-D174-410F-836A-9A124839D50F}"/>
</file>

<file path=customXml/itemProps2.xml><?xml version="1.0" encoding="utf-8"?>
<ds:datastoreItem xmlns:ds="http://schemas.openxmlformats.org/officeDocument/2006/customXml" ds:itemID="{85BFB033-B26D-421D-A99F-BD0E98A8E983}"/>
</file>

<file path=customXml/itemProps3.xml><?xml version="1.0" encoding="utf-8"?>
<ds:datastoreItem xmlns:ds="http://schemas.openxmlformats.org/officeDocument/2006/customXml" ds:itemID="{B0A07F31-FC46-4BB6-90C3-C3510DB598ED}"/>
</file>

<file path=docProps/app.xml><?xml version="1.0" encoding="utf-8"?>
<Properties xmlns="http://schemas.openxmlformats.org/officeDocument/2006/extended-properties" xmlns:vt="http://schemas.openxmlformats.org/officeDocument/2006/docPropsVTypes">
  <Template>Normal</Template>
  <TotalTime>2</TotalTime>
  <Pages>3</Pages>
  <Words>795</Words>
  <Characters>4532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Gilmartin</dc:creator>
  <cp:keywords/>
  <dc:description/>
  <cp:lastModifiedBy>Thomas Gilmartin</cp:lastModifiedBy>
  <cp:revision>1</cp:revision>
  <dcterms:created xsi:type="dcterms:W3CDTF">2018-09-05T15:42:00Z</dcterms:created>
  <dcterms:modified xsi:type="dcterms:W3CDTF">2018-09-05T15:44:00Z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0x010100F09E904310F9BF4F86800442E2C3CD5D</vt:lpwstr>
  </property>
</Properties>
</file>